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0F29C" w14:textId="77777777" w:rsidR="00DB1E48" w:rsidRDefault="00DB1E48" w:rsidP="00DB1E48">
      <w:pPr>
        <w:jc w:val="center"/>
        <w:rPr>
          <w:rFonts w:ascii="Arial" w:hAnsi="Arial" w:cs="Arial"/>
          <w:b/>
          <w:color w:val="3E762A" w:themeColor="accent1" w:themeShade="BF"/>
          <w:sz w:val="40"/>
        </w:rPr>
      </w:pPr>
    </w:p>
    <w:p w14:paraId="4967ECE1" w14:textId="77777777" w:rsidR="00DB1E48" w:rsidRDefault="00DB1E48" w:rsidP="00DB1E48">
      <w:pPr>
        <w:jc w:val="center"/>
        <w:rPr>
          <w:rFonts w:ascii="Arial" w:hAnsi="Arial" w:cs="Arial"/>
          <w:b/>
          <w:color w:val="3E762A" w:themeColor="accent1" w:themeShade="BF"/>
          <w:sz w:val="40"/>
        </w:rPr>
      </w:pPr>
    </w:p>
    <w:p w14:paraId="0E7E58B5" w14:textId="277833CC" w:rsidR="006C0204" w:rsidRPr="005A4CD4" w:rsidRDefault="008203DB" w:rsidP="00DB1E48">
      <w:pPr>
        <w:jc w:val="center"/>
        <w:rPr>
          <w:rFonts w:ascii="Arial" w:hAnsi="Arial" w:cs="Arial"/>
          <w:color w:val="3E762A" w:themeColor="accent1" w:themeShade="BF"/>
        </w:rPr>
      </w:pPr>
      <w:r w:rsidRPr="005A4CD4">
        <w:rPr>
          <w:rFonts w:ascii="Arial" w:hAnsi="Arial" w:cs="Arial"/>
          <w:b/>
          <w:color w:val="3E762A" w:themeColor="accent1" w:themeShade="BF"/>
          <w:sz w:val="40"/>
        </w:rPr>
        <w:t>Identifying and Supporting Children’s Developmental Needs in Early Years Settings</w:t>
      </w:r>
    </w:p>
    <w:p w14:paraId="54D53386" w14:textId="77777777" w:rsidR="00DB1E48" w:rsidRDefault="00DB1E48" w:rsidP="00DB1E48">
      <w:pPr>
        <w:jc w:val="center"/>
        <w:rPr>
          <w:rFonts w:ascii="Arial" w:hAnsi="Arial" w:cs="Arial"/>
          <w:sz w:val="24"/>
        </w:rPr>
      </w:pPr>
    </w:p>
    <w:p w14:paraId="201DDA98" w14:textId="32F7506D" w:rsidR="006C0204" w:rsidRPr="00623ED1" w:rsidRDefault="008203DB" w:rsidP="00DB1E48">
      <w:pPr>
        <w:jc w:val="center"/>
        <w:rPr>
          <w:rFonts w:ascii="Arial" w:hAnsi="Arial" w:cs="Arial"/>
        </w:rPr>
      </w:pPr>
      <w:r w:rsidRPr="00623ED1">
        <w:rPr>
          <w:rFonts w:ascii="Arial" w:hAnsi="Arial" w:cs="Arial"/>
          <w:sz w:val="24"/>
        </w:rPr>
        <w:t>Nottinghamshire toolkit • Updated March 2026</w:t>
      </w:r>
    </w:p>
    <w:p w14:paraId="67ED4732" w14:textId="77777777" w:rsidR="00DB1E48" w:rsidRDefault="00DB1E48" w:rsidP="00DB1E48">
      <w:pPr>
        <w:jc w:val="center"/>
        <w:rPr>
          <w:rFonts w:ascii="Arial" w:hAnsi="Arial" w:cs="Arial"/>
        </w:rPr>
      </w:pPr>
    </w:p>
    <w:p w14:paraId="3457AD98" w14:textId="122671ED" w:rsidR="006C0204" w:rsidRDefault="008203DB" w:rsidP="00DB1E48">
      <w:pPr>
        <w:jc w:val="center"/>
        <w:rPr>
          <w:rFonts w:ascii="Arial" w:hAnsi="Arial" w:cs="Arial"/>
        </w:rPr>
      </w:pPr>
      <w:r w:rsidRPr="00623ED1">
        <w:rPr>
          <w:rFonts w:ascii="Arial" w:hAnsi="Arial" w:cs="Arial"/>
        </w:rPr>
        <w:t>This toolkit is designed for busy PVI early years settings</w:t>
      </w:r>
      <w:r w:rsidR="00EC207D">
        <w:rPr>
          <w:rFonts w:ascii="Arial" w:hAnsi="Arial" w:cs="Arial"/>
        </w:rPr>
        <w:t xml:space="preserve"> and childminders</w:t>
      </w:r>
      <w:r w:rsidRPr="00623ED1">
        <w:rPr>
          <w:rFonts w:ascii="Arial" w:hAnsi="Arial" w:cs="Arial"/>
        </w:rPr>
        <w:t>. It supports practitioners to notice, adjust and support children’s development within everyday practice. It is not a diagnostic tool. Use it to strengthen inclusive practice and support the graduated approach (Assess–Plan–Do–Review).</w:t>
      </w:r>
    </w:p>
    <w:p w14:paraId="56BBD665" w14:textId="77777777" w:rsidR="00EA1377" w:rsidRDefault="00EA1377" w:rsidP="00DB1E48">
      <w:pPr>
        <w:jc w:val="center"/>
        <w:rPr>
          <w:rFonts w:ascii="Arial" w:hAnsi="Arial" w:cs="Arial"/>
        </w:rPr>
      </w:pPr>
    </w:p>
    <w:p w14:paraId="0D3AF8ED" w14:textId="77777777" w:rsidR="00EA1377" w:rsidRDefault="00EA1377" w:rsidP="00DB1E48">
      <w:pPr>
        <w:jc w:val="center"/>
        <w:rPr>
          <w:rFonts w:ascii="Arial" w:hAnsi="Arial" w:cs="Arial"/>
        </w:rPr>
      </w:pPr>
    </w:p>
    <w:p w14:paraId="17949352" w14:textId="77777777" w:rsidR="00EA1377" w:rsidRPr="00623ED1" w:rsidRDefault="00EA1377" w:rsidP="00DB1E48">
      <w:pPr>
        <w:jc w:val="center"/>
        <w:rPr>
          <w:rFonts w:ascii="Arial" w:hAnsi="Arial" w:cs="Arial"/>
        </w:rPr>
      </w:pPr>
    </w:p>
    <w:p w14:paraId="3E93E502" w14:textId="109D50B1" w:rsidR="00EC207D" w:rsidRDefault="00EA1377" w:rsidP="00EA1377">
      <w:pPr>
        <w:jc w:val="center"/>
        <w:rPr>
          <w:rFonts w:ascii="Arial" w:eastAsiaTheme="majorEastAsia" w:hAnsi="Arial" w:cs="Arial"/>
          <w:b/>
          <w:bCs/>
          <w:color w:val="549E39" w:themeColor="accent1"/>
          <w:sz w:val="26"/>
          <w:szCs w:val="26"/>
        </w:rPr>
      </w:pPr>
      <w:r>
        <w:rPr>
          <w:noProof/>
        </w:rPr>
        <w:drawing>
          <wp:inline distT="0" distB="0" distL="0" distR="0" wp14:anchorId="7E2D5C5B" wp14:editId="2D3D08E5">
            <wp:extent cx="6591300" cy="1130082"/>
            <wp:effectExtent l="0" t="0" r="0" b="0"/>
            <wp:docPr id="526206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34372" cy="1137467"/>
                    </a:xfrm>
                    <a:prstGeom prst="rect">
                      <a:avLst/>
                    </a:prstGeom>
                    <a:noFill/>
                    <a:ln>
                      <a:noFill/>
                    </a:ln>
                  </pic:spPr>
                </pic:pic>
              </a:graphicData>
            </a:graphic>
          </wp:inline>
        </w:drawing>
      </w:r>
      <w:r w:rsidR="00EC207D">
        <w:rPr>
          <w:rFonts w:ascii="Arial" w:hAnsi="Arial" w:cs="Arial"/>
        </w:rPr>
        <w:br w:type="page"/>
      </w:r>
    </w:p>
    <w:p w14:paraId="22AB78C9" w14:textId="2F147331" w:rsidR="006C0204" w:rsidRPr="00623ED1" w:rsidRDefault="008203DB">
      <w:pPr>
        <w:pStyle w:val="Heading2"/>
        <w:rPr>
          <w:rFonts w:ascii="Arial" w:hAnsi="Arial" w:cs="Arial"/>
        </w:rPr>
      </w:pPr>
      <w:r w:rsidRPr="00623ED1">
        <w:rPr>
          <w:rFonts w:ascii="Arial" w:hAnsi="Arial" w:cs="Arial"/>
        </w:rPr>
        <w:lastRenderedPageBreak/>
        <w:t>Quick reassurance</w:t>
      </w:r>
    </w:p>
    <w:p w14:paraId="27458552" w14:textId="77777777" w:rsidR="006C0204" w:rsidRPr="00623ED1" w:rsidRDefault="008203DB">
      <w:pPr>
        <w:shd w:val="clear" w:color="auto" w:fill="FFF2CC"/>
        <w:rPr>
          <w:rFonts w:ascii="Arial" w:hAnsi="Arial" w:cs="Arial"/>
        </w:rPr>
      </w:pPr>
      <w:r w:rsidRPr="00623ED1">
        <w:rPr>
          <w:rFonts w:ascii="Segoe UI Emoji" w:hAnsi="Segoe UI Emoji" w:cs="Segoe UI Emoji"/>
        </w:rPr>
        <w:t>✅</w:t>
      </w:r>
      <w:r w:rsidRPr="00623ED1">
        <w:rPr>
          <w:rFonts w:ascii="Arial" w:hAnsi="Arial" w:cs="Arial"/>
        </w:rPr>
        <w:t xml:space="preserve"> You are not expected to be specialists. Your role is to notice patterns over time, reduce barriers in the environment and interactions, and work alongside families. Seeking advice or signposting is good practice.</w:t>
      </w:r>
    </w:p>
    <w:p w14:paraId="31186D83" w14:textId="77777777" w:rsidR="006C0204" w:rsidRPr="00623ED1" w:rsidRDefault="008203DB">
      <w:pPr>
        <w:pStyle w:val="Heading2"/>
        <w:rPr>
          <w:rFonts w:ascii="Arial" w:hAnsi="Arial" w:cs="Arial"/>
        </w:rPr>
      </w:pPr>
      <w:r w:rsidRPr="00623ED1">
        <w:rPr>
          <w:rFonts w:ascii="Arial" w:hAnsi="Arial" w:cs="Arial"/>
        </w:rPr>
        <w:t>Who this is for</w:t>
      </w:r>
    </w:p>
    <w:p w14:paraId="112E0273" w14:textId="5730F56B" w:rsidR="006C0204" w:rsidRPr="00EC207D" w:rsidRDefault="008203DB" w:rsidP="00EC207D">
      <w:pPr>
        <w:pStyle w:val="ListBullet"/>
        <w:rPr>
          <w:rFonts w:ascii="Arial" w:hAnsi="Arial" w:cs="Arial"/>
        </w:rPr>
      </w:pPr>
      <w:r w:rsidRPr="00623ED1">
        <w:rPr>
          <w:rFonts w:ascii="Arial" w:hAnsi="Arial" w:cs="Arial"/>
        </w:rPr>
        <w:t>Private, voluntary and independent (PVI) nurseries, pre</w:t>
      </w:r>
      <w:r w:rsidRPr="00623ED1">
        <w:rPr>
          <w:rFonts w:ascii="Cambria Math" w:hAnsi="Cambria Math" w:cs="Cambria Math"/>
        </w:rPr>
        <w:t>‑</w:t>
      </w:r>
      <w:r w:rsidRPr="00623ED1">
        <w:rPr>
          <w:rFonts w:ascii="Arial" w:hAnsi="Arial" w:cs="Arial"/>
        </w:rPr>
        <w:t xml:space="preserve">schools and </w:t>
      </w:r>
      <w:r w:rsidR="00EC207D">
        <w:rPr>
          <w:rFonts w:ascii="Arial" w:hAnsi="Arial" w:cs="Arial"/>
        </w:rPr>
        <w:t>childminders</w:t>
      </w:r>
      <w:r w:rsidRPr="00EC207D">
        <w:rPr>
          <w:rFonts w:ascii="Arial" w:hAnsi="Arial" w:cs="Arial"/>
        </w:rPr>
        <w:t>.</w:t>
      </w:r>
    </w:p>
    <w:p w14:paraId="2D20B0AC" w14:textId="77777777" w:rsidR="006C0204" w:rsidRPr="00623ED1" w:rsidRDefault="008203DB">
      <w:pPr>
        <w:pStyle w:val="ListBullet"/>
        <w:rPr>
          <w:rFonts w:ascii="Arial" w:hAnsi="Arial" w:cs="Arial"/>
        </w:rPr>
      </w:pPr>
      <w:r w:rsidRPr="00623ED1">
        <w:rPr>
          <w:rFonts w:ascii="Arial" w:hAnsi="Arial" w:cs="Arial"/>
        </w:rPr>
        <w:t>Setting SENCOs/SEND leads, managers, room leaders, key persons and practitioners.</w:t>
      </w:r>
    </w:p>
    <w:p w14:paraId="5A26877B" w14:textId="77777777" w:rsidR="006C0204" w:rsidRPr="00623ED1" w:rsidRDefault="008203DB">
      <w:pPr>
        <w:pStyle w:val="ListBullet"/>
        <w:rPr>
          <w:rFonts w:ascii="Arial" w:hAnsi="Arial" w:cs="Arial"/>
        </w:rPr>
      </w:pPr>
      <w:r w:rsidRPr="00623ED1">
        <w:rPr>
          <w:rFonts w:ascii="Arial" w:hAnsi="Arial" w:cs="Arial"/>
        </w:rPr>
        <w:t>Children from birth to five (including support for transition into Reception).</w:t>
      </w:r>
    </w:p>
    <w:p w14:paraId="13286116" w14:textId="0E1F63F8" w:rsidR="006C0204" w:rsidRPr="00623ED1" w:rsidRDefault="008203DB">
      <w:pPr>
        <w:pStyle w:val="Heading2"/>
        <w:rPr>
          <w:rFonts w:ascii="Arial" w:hAnsi="Arial" w:cs="Arial"/>
        </w:rPr>
      </w:pPr>
      <w:r w:rsidRPr="00623ED1">
        <w:rPr>
          <w:rFonts w:ascii="Arial" w:hAnsi="Arial" w:cs="Arial"/>
        </w:rPr>
        <w:t>Statutory and guidance context</w:t>
      </w:r>
    </w:p>
    <w:p w14:paraId="0F2155F2" w14:textId="77777777" w:rsidR="006C0204" w:rsidRPr="00623ED1" w:rsidRDefault="008203DB">
      <w:pPr>
        <w:pStyle w:val="ListBullet"/>
        <w:rPr>
          <w:rFonts w:ascii="Arial" w:hAnsi="Arial" w:cs="Arial"/>
        </w:rPr>
      </w:pPr>
      <w:r w:rsidRPr="00623ED1">
        <w:rPr>
          <w:rFonts w:ascii="Arial" w:hAnsi="Arial" w:cs="Arial"/>
        </w:rPr>
        <w:t>Use alongside the EYFS statutory framework (use the current version for your provider type).</w:t>
      </w:r>
    </w:p>
    <w:p w14:paraId="0CEAED4C" w14:textId="77777777" w:rsidR="006C0204" w:rsidRPr="00623ED1" w:rsidRDefault="008203DB">
      <w:pPr>
        <w:pStyle w:val="ListBullet"/>
        <w:rPr>
          <w:rFonts w:ascii="Arial" w:hAnsi="Arial" w:cs="Arial"/>
        </w:rPr>
      </w:pPr>
      <w:r w:rsidRPr="00623ED1">
        <w:rPr>
          <w:rFonts w:ascii="Arial" w:hAnsi="Arial" w:cs="Arial"/>
        </w:rPr>
        <w:t>Use alongside the SEND Code of Practice (0–25 years) and local SEND processes.</w:t>
      </w:r>
    </w:p>
    <w:p w14:paraId="2B9E41EB" w14:textId="77777777" w:rsidR="006C0204" w:rsidRDefault="008203DB">
      <w:pPr>
        <w:pStyle w:val="ListBullet"/>
        <w:rPr>
          <w:rFonts w:ascii="Arial" w:hAnsi="Arial" w:cs="Arial"/>
        </w:rPr>
      </w:pPr>
      <w:r w:rsidRPr="00623ED1">
        <w:rPr>
          <w:rFonts w:ascii="Arial" w:hAnsi="Arial" w:cs="Arial"/>
        </w:rPr>
        <w:t>Use alongside Working Together to Safeguard Children (current statutory guidance) and local safeguarding arrangements.</w:t>
      </w:r>
    </w:p>
    <w:p w14:paraId="7153AEE2" w14:textId="77777777" w:rsidR="006C0204" w:rsidRPr="00623ED1" w:rsidRDefault="008203DB">
      <w:pPr>
        <w:pStyle w:val="Heading2"/>
        <w:rPr>
          <w:rFonts w:ascii="Arial" w:hAnsi="Arial" w:cs="Arial"/>
        </w:rPr>
      </w:pPr>
      <w:r w:rsidRPr="00623ED1">
        <w:rPr>
          <w:rFonts w:ascii="Arial" w:hAnsi="Arial" w:cs="Arial"/>
        </w:rPr>
        <w:t>Principles (strengths</w:t>
      </w:r>
      <w:r w:rsidRPr="00623ED1">
        <w:rPr>
          <w:rFonts w:ascii="Cambria Math" w:hAnsi="Cambria Math" w:cs="Cambria Math"/>
        </w:rPr>
        <w:t>‑</w:t>
      </w:r>
      <w:r w:rsidRPr="00623ED1">
        <w:rPr>
          <w:rFonts w:ascii="Arial" w:hAnsi="Arial" w:cs="Arial"/>
        </w:rPr>
        <w:t>based and neurodiversity</w:t>
      </w:r>
      <w:r w:rsidRPr="00623ED1">
        <w:rPr>
          <w:rFonts w:ascii="Cambria Math" w:hAnsi="Cambria Math" w:cs="Cambria Math"/>
        </w:rPr>
        <w:t>‑</w:t>
      </w:r>
      <w:r w:rsidRPr="00623ED1">
        <w:rPr>
          <w:rFonts w:ascii="Arial" w:hAnsi="Arial" w:cs="Arial"/>
        </w:rPr>
        <w:t>affirming)</w:t>
      </w:r>
    </w:p>
    <w:p w14:paraId="3268FE20" w14:textId="77777777" w:rsidR="006C0204" w:rsidRPr="00623ED1" w:rsidRDefault="008203DB">
      <w:pPr>
        <w:pStyle w:val="ListBullet"/>
        <w:rPr>
          <w:rFonts w:ascii="Arial" w:hAnsi="Arial" w:cs="Arial"/>
        </w:rPr>
      </w:pPr>
      <w:r w:rsidRPr="00623ED1">
        <w:rPr>
          <w:rFonts w:ascii="Arial" w:hAnsi="Arial" w:cs="Arial"/>
        </w:rPr>
        <w:t>Children develop in different ways and at different rates. Variation is expected and valued.</w:t>
      </w:r>
    </w:p>
    <w:p w14:paraId="00E9EC5E" w14:textId="77777777" w:rsidR="006C0204" w:rsidRPr="00623ED1" w:rsidRDefault="008203DB">
      <w:pPr>
        <w:pStyle w:val="ListBullet"/>
        <w:rPr>
          <w:rFonts w:ascii="Arial" w:hAnsi="Arial" w:cs="Arial"/>
        </w:rPr>
      </w:pPr>
      <w:r w:rsidRPr="00623ED1">
        <w:rPr>
          <w:rFonts w:ascii="Arial" w:hAnsi="Arial" w:cs="Arial"/>
        </w:rPr>
        <w:t>Start with strengths: what the child enjoys, can do, and what helps them feel safe and engaged.</w:t>
      </w:r>
    </w:p>
    <w:p w14:paraId="291D845A" w14:textId="77777777" w:rsidR="006C0204" w:rsidRPr="00623ED1" w:rsidRDefault="008203DB">
      <w:pPr>
        <w:pStyle w:val="ListBullet"/>
        <w:rPr>
          <w:rFonts w:ascii="Arial" w:hAnsi="Arial" w:cs="Arial"/>
        </w:rPr>
      </w:pPr>
      <w:r w:rsidRPr="00623ED1">
        <w:rPr>
          <w:rFonts w:ascii="Arial" w:hAnsi="Arial" w:cs="Arial"/>
        </w:rPr>
        <w:t>Reduce barriers in the environment and interactions before assuming the ‘problem’ sits within the child.</w:t>
      </w:r>
    </w:p>
    <w:p w14:paraId="6C6B3EFF" w14:textId="77777777" w:rsidR="006C0204" w:rsidRPr="00623ED1" w:rsidRDefault="008203DB">
      <w:pPr>
        <w:pStyle w:val="ListBullet"/>
        <w:rPr>
          <w:rFonts w:ascii="Arial" w:hAnsi="Arial" w:cs="Arial"/>
        </w:rPr>
      </w:pPr>
      <w:r w:rsidRPr="00623ED1">
        <w:rPr>
          <w:rFonts w:ascii="Arial" w:hAnsi="Arial" w:cs="Arial"/>
        </w:rPr>
        <w:t>Prioritise connection and co</w:t>
      </w:r>
      <w:r w:rsidRPr="00623ED1">
        <w:rPr>
          <w:rFonts w:ascii="Cambria Math" w:hAnsi="Cambria Math" w:cs="Cambria Math"/>
        </w:rPr>
        <w:t>‑</w:t>
      </w:r>
      <w:r w:rsidRPr="00623ED1">
        <w:rPr>
          <w:rFonts w:ascii="Arial" w:hAnsi="Arial" w:cs="Arial"/>
        </w:rPr>
        <w:t>regulation over compliance.</w:t>
      </w:r>
    </w:p>
    <w:p w14:paraId="695C9ADB" w14:textId="77777777" w:rsidR="006C0204" w:rsidRPr="00623ED1" w:rsidRDefault="008203DB">
      <w:pPr>
        <w:pStyle w:val="ListBullet"/>
        <w:rPr>
          <w:rFonts w:ascii="Arial" w:hAnsi="Arial" w:cs="Arial"/>
        </w:rPr>
      </w:pPr>
      <w:r w:rsidRPr="00623ED1">
        <w:rPr>
          <w:rFonts w:ascii="Arial" w:hAnsi="Arial" w:cs="Arial"/>
        </w:rPr>
        <w:t>Work in genuine partnership with parents/carers. Seek consent and share information respectfully.</w:t>
      </w:r>
    </w:p>
    <w:p w14:paraId="20ADC077" w14:textId="77777777" w:rsidR="006C0204" w:rsidRPr="00623ED1" w:rsidRDefault="008203DB">
      <w:pPr>
        <w:pStyle w:val="ListBullet"/>
        <w:rPr>
          <w:rFonts w:ascii="Arial" w:hAnsi="Arial" w:cs="Arial"/>
        </w:rPr>
      </w:pPr>
      <w:r w:rsidRPr="00623ED1">
        <w:rPr>
          <w:rFonts w:ascii="Arial" w:hAnsi="Arial" w:cs="Arial"/>
        </w:rPr>
        <w:t>Use clear, factual observation rather than labels.</w:t>
      </w:r>
    </w:p>
    <w:p w14:paraId="10DF7A4A" w14:textId="77777777" w:rsidR="00EC207D" w:rsidRDefault="00EC207D">
      <w:pPr>
        <w:rPr>
          <w:rFonts w:ascii="Arial" w:eastAsiaTheme="majorEastAsia" w:hAnsi="Arial" w:cs="Arial"/>
          <w:b/>
          <w:bCs/>
          <w:color w:val="3E762A" w:themeColor="accent1" w:themeShade="BF"/>
          <w:sz w:val="28"/>
          <w:szCs w:val="28"/>
        </w:rPr>
      </w:pPr>
      <w:r>
        <w:rPr>
          <w:rFonts w:ascii="Arial" w:hAnsi="Arial" w:cs="Arial"/>
        </w:rPr>
        <w:br w:type="page"/>
      </w:r>
    </w:p>
    <w:p w14:paraId="44BD6734" w14:textId="4427C8D5" w:rsidR="006C0204" w:rsidRPr="00623ED1" w:rsidRDefault="008203DB">
      <w:pPr>
        <w:pStyle w:val="Heading1"/>
        <w:rPr>
          <w:rFonts w:ascii="Arial" w:hAnsi="Arial" w:cs="Arial"/>
        </w:rPr>
      </w:pPr>
      <w:r w:rsidRPr="00623ED1">
        <w:rPr>
          <w:rFonts w:ascii="Arial" w:hAnsi="Arial" w:cs="Arial"/>
        </w:rPr>
        <w:lastRenderedPageBreak/>
        <w:t>How to use this toolkit</w:t>
      </w:r>
    </w:p>
    <w:p w14:paraId="312D04CB" w14:textId="77777777" w:rsidR="006C0204" w:rsidRPr="00623ED1" w:rsidRDefault="008203DB">
      <w:pPr>
        <w:rPr>
          <w:rFonts w:ascii="Arial" w:hAnsi="Arial" w:cs="Arial"/>
        </w:rPr>
      </w:pPr>
      <w:r w:rsidRPr="00623ED1">
        <w:rPr>
          <w:rFonts w:ascii="Arial" w:hAnsi="Arial" w:cs="Arial"/>
        </w:rPr>
        <w:t>You do not need to complete every section. Pick what fits the child and your setting. Small, consistent changes often make the biggest difference.</w:t>
      </w:r>
    </w:p>
    <w:p w14:paraId="271D9D7D" w14:textId="77777777" w:rsidR="006C0204" w:rsidRPr="00623ED1" w:rsidRDefault="008203DB">
      <w:pPr>
        <w:pStyle w:val="ListNumber"/>
        <w:rPr>
          <w:rFonts w:ascii="Arial" w:hAnsi="Arial" w:cs="Arial"/>
        </w:rPr>
      </w:pPr>
      <w:r w:rsidRPr="00623ED1">
        <w:rPr>
          <w:rFonts w:ascii="Arial" w:hAnsi="Arial" w:cs="Arial"/>
        </w:rPr>
        <w:t>ASSESS – What do we notice over time? (What, when, where, with whom?)</w:t>
      </w:r>
    </w:p>
    <w:p w14:paraId="362F91AA" w14:textId="77777777" w:rsidR="006C0204" w:rsidRPr="00623ED1" w:rsidRDefault="008203DB">
      <w:pPr>
        <w:pStyle w:val="ListNumber"/>
        <w:rPr>
          <w:rFonts w:ascii="Arial" w:hAnsi="Arial" w:cs="Arial"/>
        </w:rPr>
      </w:pPr>
      <w:r w:rsidRPr="00623ED1">
        <w:rPr>
          <w:rFonts w:ascii="Arial" w:hAnsi="Arial" w:cs="Arial"/>
        </w:rPr>
        <w:t>PLAN – What small changes could help? Agree 1–3 strategies and what ‘better’ would look like.</w:t>
      </w:r>
    </w:p>
    <w:p w14:paraId="59F3E4A6" w14:textId="77777777" w:rsidR="006C0204" w:rsidRPr="00623ED1" w:rsidRDefault="008203DB">
      <w:pPr>
        <w:pStyle w:val="ListNumber"/>
        <w:rPr>
          <w:rFonts w:ascii="Arial" w:hAnsi="Arial" w:cs="Arial"/>
        </w:rPr>
      </w:pPr>
      <w:r w:rsidRPr="00623ED1">
        <w:rPr>
          <w:rFonts w:ascii="Arial" w:hAnsi="Arial" w:cs="Arial"/>
        </w:rPr>
        <w:t>DO – Try the strategies consistently (usually 2–6 weeks).</w:t>
      </w:r>
    </w:p>
    <w:p w14:paraId="7C978F7D" w14:textId="77777777" w:rsidR="006C0204" w:rsidRPr="00623ED1" w:rsidRDefault="008203DB">
      <w:pPr>
        <w:pStyle w:val="ListNumber"/>
        <w:rPr>
          <w:rFonts w:ascii="Arial" w:hAnsi="Arial" w:cs="Arial"/>
        </w:rPr>
      </w:pPr>
      <w:r w:rsidRPr="00623ED1">
        <w:rPr>
          <w:rFonts w:ascii="Arial" w:hAnsi="Arial" w:cs="Arial"/>
        </w:rPr>
        <w:t>REVIEW – Is it helping? Keep, tweak, or step up support (early help / specialist advice if needed).</w:t>
      </w:r>
    </w:p>
    <w:p w14:paraId="5D68B0C9" w14:textId="77777777" w:rsidR="006C0204" w:rsidRPr="00623ED1" w:rsidRDefault="008203DB">
      <w:pPr>
        <w:pStyle w:val="Heading2"/>
        <w:rPr>
          <w:rFonts w:ascii="Arial" w:hAnsi="Arial" w:cs="Arial"/>
        </w:rPr>
      </w:pPr>
      <w:r w:rsidRPr="00623ED1">
        <w:rPr>
          <w:rFonts w:ascii="Arial" w:hAnsi="Arial" w:cs="Arial"/>
        </w:rPr>
        <w:t>What counts as evidence? (keep it simple)</w:t>
      </w:r>
    </w:p>
    <w:p w14:paraId="1452EAF6" w14:textId="77777777" w:rsidR="006C0204" w:rsidRPr="00623ED1" w:rsidRDefault="008203DB">
      <w:pPr>
        <w:shd w:val="clear" w:color="auto" w:fill="E7F3FE"/>
        <w:rPr>
          <w:rFonts w:ascii="Arial" w:hAnsi="Arial" w:cs="Arial"/>
        </w:rPr>
      </w:pPr>
      <w:r w:rsidRPr="00623ED1">
        <w:rPr>
          <w:rFonts w:ascii="Arial" w:hAnsi="Arial" w:cs="Arial"/>
        </w:rPr>
        <w:t xml:space="preserve">Evidence can be simple and proportionate: </w:t>
      </w:r>
    </w:p>
    <w:p w14:paraId="4C0C8DF9" w14:textId="77777777" w:rsidR="006C0204" w:rsidRPr="00623ED1" w:rsidRDefault="008203DB">
      <w:pPr>
        <w:pStyle w:val="ListBullet"/>
        <w:rPr>
          <w:rFonts w:ascii="Arial" w:hAnsi="Arial" w:cs="Arial"/>
        </w:rPr>
      </w:pPr>
      <w:r w:rsidRPr="00623ED1">
        <w:rPr>
          <w:rFonts w:ascii="Arial" w:hAnsi="Arial" w:cs="Arial"/>
        </w:rPr>
        <w:t>Short observation notes that describe what you saw/heard (no labels).</w:t>
      </w:r>
    </w:p>
    <w:p w14:paraId="18AF628D" w14:textId="77777777" w:rsidR="006C0204" w:rsidRPr="00623ED1" w:rsidRDefault="008203DB">
      <w:pPr>
        <w:pStyle w:val="ListBullet"/>
        <w:rPr>
          <w:rFonts w:ascii="Arial" w:hAnsi="Arial" w:cs="Arial"/>
        </w:rPr>
      </w:pPr>
      <w:r w:rsidRPr="00623ED1">
        <w:rPr>
          <w:rFonts w:ascii="Arial" w:hAnsi="Arial" w:cs="Arial"/>
        </w:rPr>
        <w:t>Photos of the child learning in context (with consent and your setting policy).</w:t>
      </w:r>
    </w:p>
    <w:p w14:paraId="1B646D94" w14:textId="77777777" w:rsidR="006C0204" w:rsidRPr="00623ED1" w:rsidRDefault="008203DB">
      <w:pPr>
        <w:pStyle w:val="ListBullet"/>
        <w:rPr>
          <w:rFonts w:ascii="Arial" w:hAnsi="Arial" w:cs="Arial"/>
        </w:rPr>
      </w:pPr>
      <w:r w:rsidRPr="00623ED1">
        <w:rPr>
          <w:rFonts w:ascii="Arial" w:hAnsi="Arial" w:cs="Arial"/>
        </w:rPr>
        <w:t>What parents/carers tell you about home routines and what helps.</w:t>
      </w:r>
    </w:p>
    <w:p w14:paraId="76CC7CA3" w14:textId="77777777" w:rsidR="006C0204" w:rsidRPr="00623ED1" w:rsidRDefault="008203DB">
      <w:pPr>
        <w:pStyle w:val="ListBullet"/>
        <w:rPr>
          <w:rFonts w:ascii="Arial" w:hAnsi="Arial" w:cs="Arial"/>
        </w:rPr>
      </w:pPr>
      <w:r w:rsidRPr="00623ED1">
        <w:rPr>
          <w:rFonts w:ascii="Arial" w:hAnsi="Arial" w:cs="Arial"/>
        </w:rPr>
        <w:t>A note of what you tried and what changed.</w:t>
      </w:r>
    </w:p>
    <w:p w14:paraId="1DD66A0F" w14:textId="77777777" w:rsidR="006C0204" w:rsidRPr="00623ED1" w:rsidRDefault="008203DB">
      <w:pPr>
        <w:pStyle w:val="Heading2"/>
        <w:rPr>
          <w:rFonts w:ascii="Arial" w:hAnsi="Arial" w:cs="Arial"/>
        </w:rPr>
      </w:pPr>
      <w:r w:rsidRPr="00623ED1">
        <w:rPr>
          <w:rFonts w:ascii="Arial" w:hAnsi="Arial" w:cs="Arial"/>
        </w:rPr>
        <w:t>Decision guide: monitor, early help, or safeguarding?</w:t>
      </w:r>
    </w:p>
    <w:p w14:paraId="45AF8A34" w14:textId="77777777" w:rsidR="006C0204" w:rsidRPr="00623ED1" w:rsidRDefault="008203DB">
      <w:pPr>
        <w:pStyle w:val="ListBullet"/>
        <w:rPr>
          <w:rFonts w:ascii="Arial" w:hAnsi="Arial" w:cs="Arial"/>
        </w:rPr>
      </w:pPr>
      <w:r w:rsidRPr="00623ED1">
        <w:rPr>
          <w:rFonts w:ascii="Arial" w:hAnsi="Arial" w:cs="Arial"/>
        </w:rPr>
        <w:t>Monitor and adapt: differences where the child is generally safe and participation improves with inclusive adjustments.</w:t>
      </w:r>
    </w:p>
    <w:p w14:paraId="7A55D50A" w14:textId="77777777" w:rsidR="006C0204" w:rsidRPr="00623ED1" w:rsidRDefault="008203DB">
      <w:pPr>
        <w:pStyle w:val="ListBullet"/>
        <w:rPr>
          <w:rFonts w:ascii="Arial" w:hAnsi="Arial" w:cs="Arial"/>
        </w:rPr>
      </w:pPr>
      <w:r w:rsidRPr="00623ED1">
        <w:rPr>
          <w:rFonts w:ascii="Arial" w:hAnsi="Arial" w:cs="Arial"/>
        </w:rPr>
        <w:t>Early help / targeted support: needs are persistent and significantly affect daily participation, or the family would benefit from extra support.</w:t>
      </w:r>
    </w:p>
    <w:p w14:paraId="49DACCE7" w14:textId="77777777" w:rsidR="006C0204" w:rsidRPr="00623ED1" w:rsidRDefault="008203DB">
      <w:pPr>
        <w:pStyle w:val="ListBullet"/>
        <w:rPr>
          <w:rFonts w:ascii="Arial" w:hAnsi="Arial" w:cs="Arial"/>
        </w:rPr>
      </w:pPr>
      <w:r w:rsidRPr="00623ED1">
        <w:rPr>
          <w:rFonts w:ascii="Arial" w:hAnsi="Arial" w:cs="Arial"/>
        </w:rPr>
        <w:t>Safeguarding: any concern the child may be at risk of significant harm, neglect or abuse—follow safeguarding procedures immediately.</w:t>
      </w:r>
    </w:p>
    <w:p w14:paraId="3AF63DF2" w14:textId="77777777" w:rsidR="00EC207D" w:rsidRDefault="00EC207D">
      <w:pPr>
        <w:rPr>
          <w:rFonts w:ascii="Arial" w:eastAsiaTheme="majorEastAsia" w:hAnsi="Arial" w:cs="Arial"/>
          <w:b/>
          <w:bCs/>
          <w:color w:val="3E762A" w:themeColor="accent1" w:themeShade="BF"/>
          <w:sz w:val="28"/>
          <w:szCs w:val="28"/>
        </w:rPr>
      </w:pPr>
      <w:r>
        <w:rPr>
          <w:rFonts w:ascii="Arial" w:hAnsi="Arial" w:cs="Arial"/>
        </w:rPr>
        <w:br w:type="page"/>
      </w:r>
    </w:p>
    <w:p w14:paraId="432FEBDA" w14:textId="736B1BB6" w:rsidR="006C0204" w:rsidRDefault="008203DB" w:rsidP="00140226">
      <w:pPr>
        <w:pStyle w:val="Heading1"/>
        <w:rPr>
          <w:rFonts w:ascii="Arial" w:hAnsi="Arial" w:cs="Arial"/>
          <w:b w:val="0"/>
          <w:bCs w:val="0"/>
          <w:color w:val="auto"/>
          <w:sz w:val="24"/>
          <w:szCs w:val="24"/>
        </w:rPr>
      </w:pPr>
      <w:r w:rsidRPr="00623ED1">
        <w:rPr>
          <w:rFonts w:ascii="Arial" w:hAnsi="Arial" w:cs="Arial"/>
        </w:rPr>
        <w:lastRenderedPageBreak/>
        <w:t>Everyday prompts</w:t>
      </w:r>
      <w:r w:rsidR="00140226">
        <w:rPr>
          <w:rFonts w:ascii="Arial" w:hAnsi="Arial" w:cs="Arial"/>
        </w:rPr>
        <w:t xml:space="preserve"> - </w:t>
      </w:r>
      <w:r w:rsidRPr="00140226">
        <w:rPr>
          <w:rFonts w:ascii="Arial" w:hAnsi="Arial" w:cs="Arial"/>
          <w:b w:val="0"/>
          <w:bCs w:val="0"/>
          <w:color w:val="auto"/>
          <w:sz w:val="24"/>
          <w:szCs w:val="24"/>
        </w:rPr>
        <w:t>Use these prompts during team discussion, key person time, or when something ‘just doesn’t feel quite right’.</w:t>
      </w:r>
    </w:p>
    <w:p w14:paraId="50EC9617" w14:textId="77777777" w:rsidR="004971C7" w:rsidRPr="004971C7" w:rsidRDefault="004971C7" w:rsidP="004971C7">
      <w:pPr>
        <w:spacing w:after="0"/>
      </w:pPr>
    </w:p>
    <w:tbl>
      <w:tblPr>
        <w:tblStyle w:val="TableGrid"/>
        <w:tblW w:w="0" w:type="auto"/>
        <w:tblLook w:val="04A0" w:firstRow="1" w:lastRow="0" w:firstColumn="1" w:lastColumn="0" w:noHBand="0" w:noVBand="1"/>
      </w:tblPr>
      <w:tblGrid>
        <w:gridCol w:w="4316"/>
        <w:gridCol w:w="4317"/>
        <w:gridCol w:w="4317"/>
      </w:tblGrid>
      <w:tr w:rsidR="007956AB" w14:paraId="183623CA" w14:textId="77777777" w:rsidTr="00C351B4">
        <w:trPr>
          <w:trHeight w:val="288"/>
        </w:trPr>
        <w:tc>
          <w:tcPr>
            <w:tcW w:w="12950" w:type="dxa"/>
            <w:gridSpan w:val="3"/>
          </w:tcPr>
          <w:p w14:paraId="52AB7F0E" w14:textId="59D570CE" w:rsidR="000B5363" w:rsidRPr="000B5363" w:rsidRDefault="007956AB" w:rsidP="000B5363">
            <w:pPr>
              <w:pStyle w:val="Heading2"/>
              <w:spacing w:before="120" w:after="120"/>
              <w:rPr>
                <w:rFonts w:ascii="Arial" w:hAnsi="Arial" w:cs="Arial"/>
              </w:rPr>
            </w:pPr>
            <w:r w:rsidRPr="00623ED1">
              <w:rPr>
                <w:rFonts w:ascii="Arial" w:hAnsi="Arial" w:cs="Arial"/>
              </w:rPr>
              <w:t>Health, hearing and vision</w:t>
            </w:r>
          </w:p>
        </w:tc>
      </w:tr>
      <w:tr w:rsidR="007956AB" w14:paraId="5DAFF344" w14:textId="77777777" w:rsidTr="007956AB">
        <w:tc>
          <w:tcPr>
            <w:tcW w:w="4316" w:type="dxa"/>
          </w:tcPr>
          <w:p w14:paraId="7007BED7" w14:textId="0FC581A2" w:rsidR="007956AB" w:rsidRDefault="007956AB" w:rsidP="000B5363">
            <w:pPr>
              <w:spacing w:before="120" w:after="120"/>
              <w:rPr>
                <w:rFonts w:ascii="Arial" w:hAnsi="Arial" w:cs="Arial"/>
              </w:rPr>
            </w:pPr>
            <w:r w:rsidRPr="00623ED1">
              <w:rPr>
                <w:rFonts w:ascii="Arial" w:hAnsi="Arial" w:cs="Arial"/>
              </w:rPr>
              <w:t>WHEN IT MAY SHOW UP:</w:t>
            </w:r>
          </w:p>
        </w:tc>
        <w:tc>
          <w:tcPr>
            <w:tcW w:w="4317" w:type="dxa"/>
          </w:tcPr>
          <w:p w14:paraId="743142BA" w14:textId="236CD2AD" w:rsidR="007956AB" w:rsidRDefault="007956AB" w:rsidP="000B5363">
            <w:pPr>
              <w:spacing w:before="120" w:after="120"/>
              <w:rPr>
                <w:rFonts w:ascii="Arial" w:hAnsi="Arial" w:cs="Arial"/>
              </w:rPr>
            </w:pPr>
            <w:r w:rsidRPr="00623ED1">
              <w:rPr>
                <w:rFonts w:ascii="Arial" w:hAnsi="Arial" w:cs="Arial"/>
              </w:rPr>
              <w:t>TRY FIRST:</w:t>
            </w:r>
          </w:p>
        </w:tc>
        <w:tc>
          <w:tcPr>
            <w:tcW w:w="4317" w:type="dxa"/>
          </w:tcPr>
          <w:p w14:paraId="20D9C6E5" w14:textId="0902DE61" w:rsidR="007956AB" w:rsidRDefault="007956AB" w:rsidP="000B5363">
            <w:pPr>
              <w:spacing w:before="120" w:after="120"/>
              <w:rPr>
                <w:rFonts w:ascii="Arial" w:hAnsi="Arial" w:cs="Arial"/>
              </w:rPr>
            </w:pPr>
            <w:r w:rsidRPr="00623ED1">
              <w:rPr>
                <w:rFonts w:ascii="Arial" w:hAnsi="Arial" w:cs="Arial"/>
              </w:rPr>
              <w:t>STEP UP:</w:t>
            </w:r>
          </w:p>
        </w:tc>
      </w:tr>
      <w:tr w:rsidR="007956AB" w14:paraId="4F82F441" w14:textId="77777777" w:rsidTr="007956AB">
        <w:tc>
          <w:tcPr>
            <w:tcW w:w="4316" w:type="dxa"/>
          </w:tcPr>
          <w:p w14:paraId="537C77D7" w14:textId="77777777" w:rsidR="00A16289" w:rsidRDefault="007956AB" w:rsidP="00A16289">
            <w:pPr>
              <w:pStyle w:val="ListParagraph"/>
              <w:numPr>
                <w:ilvl w:val="0"/>
                <w:numId w:val="7"/>
              </w:numPr>
              <w:rPr>
                <w:rFonts w:ascii="Arial" w:hAnsi="Arial" w:cs="Arial"/>
              </w:rPr>
            </w:pPr>
            <w:r w:rsidRPr="00A16289">
              <w:rPr>
                <w:rFonts w:ascii="Arial" w:hAnsi="Arial" w:cs="Arial"/>
              </w:rPr>
              <w:t xml:space="preserve">unclear speech, </w:t>
            </w:r>
          </w:p>
          <w:p w14:paraId="64CA5029" w14:textId="77777777" w:rsidR="00A16289" w:rsidRDefault="007956AB" w:rsidP="00A16289">
            <w:pPr>
              <w:pStyle w:val="ListParagraph"/>
              <w:numPr>
                <w:ilvl w:val="0"/>
                <w:numId w:val="7"/>
              </w:numPr>
              <w:rPr>
                <w:rFonts w:ascii="Arial" w:hAnsi="Arial" w:cs="Arial"/>
              </w:rPr>
            </w:pPr>
            <w:r w:rsidRPr="00A16289">
              <w:rPr>
                <w:rFonts w:ascii="Arial" w:hAnsi="Arial" w:cs="Arial"/>
              </w:rPr>
              <w:t xml:space="preserve">not responding consistently, </w:t>
            </w:r>
          </w:p>
          <w:p w14:paraId="774F3E8E" w14:textId="77777777" w:rsidR="00A16289" w:rsidRDefault="007956AB" w:rsidP="00A16289">
            <w:pPr>
              <w:pStyle w:val="ListParagraph"/>
              <w:numPr>
                <w:ilvl w:val="0"/>
                <w:numId w:val="7"/>
              </w:numPr>
              <w:rPr>
                <w:rFonts w:ascii="Arial" w:hAnsi="Arial" w:cs="Arial"/>
              </w:rPr>
            </w:pPr>
            <w:r w:rsidRPr="00A16289">
              <w:rPr>
                <w:rFonts w:ascii="Arial" w:hAnsi="Arial" w:cs="Arial"/>
              </w:rPr>
              <w:t xml:space="preserve">frustration, </w:t>
            </w:r>
          </w:p>
          <w:p w14:paraId="7AFBC929" w14:textId="77777777" w:rsidR="00A16289" w:rsidRDefault="007956AB" w:rsidP="004C2A05">
            <w:pPr>
              <w:pStyle w:val="ListParagraph"/>
              <w:numPr>
                <w:ilvl w:val="0"/>
                <w:numId w:val="7"/>
              </w:numPr>
              <w:rPr>
                <w:rFonts w:ascii="Arial" w:hAnsi="Arial" w:cs="Arial"/>
              </w:rPr>
            </w:pPr>
            <w:r w:rsidRPr="00A16289">
              <w:rPr>
                <w:rFonts w:ascii="Arial" w:hAnsi="Arial" w:cs="Arial"/>
              </w:rPr>
              <w:t xml:space="preserve">fluctuating attention, </w:t>
            </w:r>
          </w:p>
          <w:p w14:paraId="42145AC2" w14:textId="361FBF54" w:rsidR="007956AB" w:rsidRPr="00A16289" w:rsidRDefault="007956AB" w:rsidP="00A16289">
            <w:pPr>
              <w:pStyle w:val="ListParagraph"/>
              <w:numPr>
                <w:ilvl w:val="0"/>
                <w:numId w:val="7"/>
              </w:numPr>
              <w:rPr>
                <w:rFonts w:ascii="Arial" w:hAnsi="Arial" w:cs="Arial"/>
              </w:rPr>
            </w:pPr>
            <w:r w:rsidRPr="00A16289">
              <w:rPr>
                <w:rFonts w:ascii="Arial" w:hAnsi="Arial" w:cs="Arial"/>
              </w:rPr>
              <w:t>frequent illness</w:t>
            </w:r>
          </w:p>
        </w:tc>
        <w:tc>
          <w:tcPr>
            <w:tcW w:w="4317" w:type="dxa"/>
          </w:tcPr>
          <w:p w14:paraId="3CF939CD" w14:textId="77777777" w:rsidR="00A16289" w:rsidRDefault="007956AB" w:rsidP="00A16289">
            <w:pPr>
              <w:pStyle w:val="ListParagraph"/>
              <w:numPr>
                <w:ilvl w:val="0"/>
                <w:numId w:val="7"/>
              </w:numPr>
              <w:rPr>
                <w:rFonts w:ascii="Arial" w:hAnsi="Arial" w:cs="Arial"/>
              </w:rPr>
            </w:pPr>
            <w:r w:rsidRPr="00A16289">
              <w:rPr>
                <w:rFonts w:ascii="Arial" w:hAnsi="Arial" w:cs="Arial"/>
              </w:rPr>
              <w:t xml:space="preserve">reduce background noise; </w:t>
            </w:r>
          </w:p>
          <w:p w14:paraId="55A6AD64" w14:textId="77777777" w:rsidR="00A16289" w:rsidRDefault="007956AB" w:rsidP="00A16289">
            <w:pPr>
              <w:pStyle w:val="ListParagraph"/>
              <w:numPr>
                <w:ilvl w:val="0"/>
                <w:numId w:val="7"/>
              </w:numPr>
              <w:rPr>
                <w:rFonts w:ascii="Arial" w:hAnsi="Arial" w:cs="Arial"/>
              </w:rPr>
            </w:pPr>
            <w:r w:rsidRPr="00A16289">
              <w:rPr>
                <w:rFonts w:ascii="Arial" w:hAnsi="Arial" w:cs="Arial"/>
              </w:rPr>
              <w:t>face</w:t>
            </w:r>
            <w:r w:rsidRPr="00A16289">
              <w:rPr>
                <w:rFonts w:ascii="Cambria Math" w:hAnsi="Cambria Math" w:cs="Cambria Math"/>
              </w:rPr>
              <w:t>‑</w:t>
            </w:r>
            <w:r w:rsidRPr="00A16289">
              <w:rPr>
                <w:rFonts w:ascii="Arial" w:hAnsi="Arial" w:cs="Arial"/>
              </w:rPr>
              <w:t>to</w:t>
            </w:r>
            <w:r w:rsidRPr="00A16289">
              <w:rPr>
                <w:rFonts w:ascii="Cambria Math" w:hAnsi="Cambria Math" w:cs="Cambria Math"/>
              </w:rPr>
              <w:t>‑</w:t>
            </w:r>
            <w:r w:rsidRPr="00A16289">
              <w:rPr>
                <w:rFonts w:ascii="Arial" w:hAnsi="Arial" w:cs="Arial"/>
              </w:rPr>
              <w:t xml:space="preserve">face communication; </w:t>
            </w:r>
          </w:p>
          <w:p w14:paraId="785C8157" w14:textId="77777777" w:rsidR="00A16289" w:rsidRDefault="007956AB" w:rsidP="00A16289">
            <w:pPr>
              <w:pStyle w:val="ListParagraph"/>
              <w:numPr>
                <w:ilvl w:val="0"/>
                <w:numId w:val="7"/>
              </w:numPr>
              <w:rPr>
                <w:rFonts w:ascii="Arial" w:hAnsi="Arial" w:cs="Arial"/>
              </w:rPr>
            </w:pPr>
            <w:r w:rsidRPr="00A16289">
              <w:rPr>
                <w:rFonts w:ascii="Arial" w:hAnsi="Arial" w:cs="Arial"/>
              </w:rPr>
              <w:t xml:space="preserve">simple routines; </w:t>
            </w:r>
          </w:p>
          <w:p w14:paraId="21EAA343" w14:textId="7656BB4D" w:rsidR="007956AB" w:rsidRPr="00A16289" w:rsidRDefault="007956AB" w:rsidP="00A16289">
            <w:pPr>
              <w:pStyle w:val="ListParagraph"/>
              <w:numPr>
                <w:ilvl w:val="0"/>
                <w:numId w:val="7"/>
              </w:numPr>
              <w:rPr>
                <w:rFonts w:ascii="Arial" w:hAnsi="Arial" w:cs="Arial"/>
              </w:rPr>
            </w:pPr>
            <w:r w:rsidRPr="00A16289">
              <w:rPr>
                <w:rFonts w:ascii="Arial" w:hAnsi="Arial" w:cs="Arial"/>
              </w:rPr>
              <w:t>check with parents about hearing/vision/health</w:t>
            </w:r>
          </w:p>
        </w:tc>
        <w:tc>
          <w:tcPr>
            <w:tcW w:w="4317" w:type="dxa"/>
          </w:tcPr>
          <w:p w14:paraId="36386A61" w14:textId="77777777" w:rsidR="00A16289" w:rsidRDefault="00A16289" w:rsidP="00A16289">
            <w:pPr>
              <w:pStyle w:val="ListParagraph"/>
              <w:numPr>
                <w:ilvl w:val="0"/>
                <w:numId w:val="7"/>
              </w:numPr>
              <w:rPr>
                <w:rFonts w:ascii="Arial" w:hAnsi="Arial" w:cs="Arial"/>
              </w:rPr>
            </w:pPr>
            <w:r w:rsidRPr="00A16289">
              <w:rPr>
                <w:rFonts w:ascii="Arial" w:hAnsi="Arial" w:cs="Arial"/>
              </w:rPr>
              <w:t xml:space="preserve">signpost to Healthy Family Team/GP; </w:t>
            </w:r>
          </w:p>
          <w:p w14:paraId="41861290" w14:textId="7D580EB0" w:rsidR="007956AB" w:rsidRPr="00A16289" w:rsidRDefault="00A16289" w:rsidP="00A16289">
            <w:pPr>
              <w:pStyle w:val="ListParagraph"/>
              <w:numPr>
                <w:ilvl w:val="0"/>
                <w:numId w:val="7"/>
              </w:numPr>
              <w:rPr>
                <w:rFonts w:ascii="Arial" w:hAnsi="Arial" w:cs="Arial"/>
              </w:rPr>
            </w:pPr>
            <w:r w:rsidRPr="00A16289">
              <w:rPr>
                <w:rFonts w:ascii="Arial" w:hAnsi="Arial" w:cs="Arial"/>
              </w:rPr>
              <w:t>consider Speech &amp; Language Therapy if communication is impacted</w:t>
            </w:r>
          </w:p>
        </w:tc>
      </w:tr>
    </w:tbl>
    <w:p w14:paraId="2E96ACA9" w14:textId="77777777" w:rsidR="00A047EA" w:rsidRDefault="00A047EA" w:rsidP="000B5363">
      <w:pPr>
        <w:spacing w:after="0"/>
        <w:rPr>
          <w:rFonts w:ascii="Arial" w:hAnsi="Arial" w:cs="Arial"/>
        </w:rPr>
      </w:pPr>
    </w:p>
    <w:tbl>
      <w:tblPr>
        <w:tblStyle w:val="TableGrid"/>
        <w:tblW w:w="0" w:type="auto"/>
        <w:tblLook w:val="04A0" w:firstRow="1" w:lastRow="0" w:firstColumn="1" w:lastColumn="0" w:noHBand="0" w:noVBand="1"/>
      </w:tblPr>
      <w:tblGrid>
        <w:gridCol w:w="4316"/>
        <w:gridCol w:w="4317"/>
        <w:gridCol w:w="4317"/>
      </w:tblGrid>
      <w:tr w:rsidR="00A16289" w14:paraId="44FF92EC" w14:textId="77777777" w:rsidTr="00707419">
        <w:trPr>
          <w:trHeight w:val="285"/>
        </w:trPr>
        <w:tc>
          <w:tcPr>
            <w:tcW w:w="12950" w:type="dxa"/>
            <w:gridSpan w:val="3"/>
          </w:tcPr>
          <w:p w14:paraId="617AF46B" w14:textId="74D45ED6" w:rsidR="00A16289" w:rsidRDefault="00A16289" w:rsidP="000B5363">
            <w:pPr>
              <w:pStyle w:val="Heading2"/>
              <w:spacing w:before="120" w:after="120"/>
              <w:rPr>
                <w:rFonts w:ascii="Arial" w:hAnsi="Arial" w:cs="Arial"/>
              </w:rPr>
            </w:pPr>
            <w:r w:rsidRPr="00623ED1">
              <w:rPr>
                <w:rFonts w:ascii="Arial" w:hAnsi="Arial" w:cs="Arial"/>
              </w:rPr>
              <w:t>Sensory differences (noise, light, touch, movement)</w:t>
            </w:r>
          </w:p>
        </w:tc>
      </w:tr>
      <w:tr w:rsidR="00A16289" w14:paraId="3E4DA481" w14:textId="77777777" w:rsidTr="00AF5715">
        <w:tc>
          <w:tcPr>
            <w:tcW w:w="4316" w:type="dxa"/>
          </w:tcPr>
          <w:p w14:paraId="1BB450B6" w14:textId="77777777" w:rsidR="00A16289" w:rsidRDefault="00A16289" w:rsidP="000B5363">
            <w:pPr>
              <w:spacing w:before="120" w:after="120"/>
              <w:rPr>
                <w:rFonts w:ascii="Arial" w:hAnsi="Arial" w:cs="Arial"/>
              </w:rPr>
            </w:pPr>
            <w:r w:rsidRPr="00623ED1">
              <w:rPr>
                <w:rFonts w:ascii="Arial" w:hAnsi="Arial" w:cs="Arial"/>
              </w:rPr>
              <w:t>WHEN IT MAY SHOW UP:</w:t>
            </w:r>
          </w:p>
        </w:tc>
        <w:tc>
          <w:tcPr>
            <w:tcW w:w="4317" w:type="dxa"/>
          </w:tcPr>
          <w:p w14:paraId="6F891BF3" w14:textId="77777777" w:rsidR="00A16289" w:rsidRDefault="00A16289" w:rsidP="000B5363">
            <w:pPr>
              <w:spacing w:before="120" w:after="120"/>
              <w:rPr>
                <w:rFonts w:ascii="Arial" w:hAnsi="Arial" w:cs="Arial"/>
              </w:rPr>
            </w:pPr>
            <w:r w:rsidRPr="00623ED1">
              <w:rPr>
                <w:rFonts w:ascii="Arial" w:hAnsi="Arial" w:cs="Arial"/>
              </w:rPr>
              <w:t>TRY FIRST:</w:t>
            </w:r>
          </w:p>
        </w:tc>
        <w:tc>
          <w:tcPr>
            <w:tcW w:w="4317" w:type="dxa"/>
          </w:tcPr>
          <w:p w14:paraId="7A021E34" w14:textId="77777777" w:rsidR="00A16289" w:rsidRDefault="00A16289" w:rsidP="000B5363">
            <w:pPr>
              <w:spacing w:before="120" w:after="120"/>
              <w:rPr>
                <w:rFonts w:ascii="Arial" w:hAnsi="Arial" w:cs="Arial"/>
              </w:rPr>
            </w:pPr>
            <w:r w:rsidRPr="00623ED1">
              <w:rPr>
                <w:rFonts w:ascii="Arial" w:hAnsi="Arial" w:cs="Arial"/>
              </w:rPr>
              <w:t>STEP UP:</w:t>
            </w:r>
          </w:p>
        </w:tc>
      </w:tr>
      <w:tr w:rsidR="00A16289" w14:paraId="1E54F5AD" w14:textId="77777777" w:rsidTr="00AF5715">
        <w:tc>
          <w:tcPr>
            <w:tcW w:w="4316" w:type="dxa"/>
          </w:tcPr>
          <w:p w14:paraId="0E6E260D" w14:textId="77777777" w:rsidR="00BA594F" w:rsidRDefault="007D338A" w:rsidP="00AF5715">
            <w:pPr>
              <w:pStyle w:val="ListParagraph"/>
              <w:numPr>
                <w:ilvl w:val="0"/>
                <w:numId w:val="7"/>
              </w:numPr>
              <w:rPr>
                <w:rFonts w:ascii="Arial" w:hAnsi="Arial" w:cs="Arial"/>
              </w:rPr>
            </w:pPr>
            <w:r w:rsidRPr="00623ED1">
              <w:rPr>
                <w:rFonts w:ascii="Arial" w:hAnsi="Arial" w:cs="Arial"/>
              </w:rPr>
              <w:t>busy free</w:t>
            </w:r>
            <w:r w:rsidRPr="00623ED1">
              <w:rPr>
                <w:rFonts w:ascii="Cambria Math" w:hAnsi="Cambria Math" w:cs="Cambria Math"/>
              </w:rPr>
              <w:t>‑</w:t>
            </w:r>
            <w:r w:rsidRPr="00623ED1">
              <w:rPr>
                <w:rFonts w:ascii="Arial" w:hAnsi="Arial" w:cs="Arial"/>
              </w:rPr>
              <w:t xml:space="preserve">flow, </w:t>
            </w:r>
          </w:p>
          <w:p w14:paraId="1FE4940D" w14:textId="77777777" w:rsidR="00BA594F" w:rsidRDefault="007D338A" w:rsidP="00AF5715">
            <w:pPr>
              <w:pStyle w:val="ListParagraph"/>
              <w:numPr>
                <w:ilvl w:val="0"/>
                <w:numId w:val="7"/>
              </w:numPr>
              <w:rPr>
                <w:rFonts w:ascii="Arial" w:hAnsi="Arial" w:cs="Arial"/>
              </w:rPr>
            </w:pPr>
            <w:r w:rsidRPr="00623ED1">
              <w:rPr>
                <w:rFonts w:ascii="Arial" w:hAnsi="Arial" w:cs="Arial"/>
              </w:rPr>
              <w:t xml:space="preserve">lunchtimes, </w:t>
            </w:r>
          </w:p>
          <w:p w14:paraId="557EC469" w14:textId="77777777" w:rsidR="00BA594F" w:rsidRDefault="007D338A" w:rsidP="00AF5715">
            <w:pPr>
              <w:pStyle w:val="ListParagraph"/>
              <w:numPr>
                <w:ilvl w:val="0"/>
                <w:numId w:val="7"/>
              </w:numPr>
              <w:rPr>
                <w:rFonts w:ascii="Arial" w:hAnsi="Arial" w:cs="Arial"/>
              </w:rPr>
            </w:pPr>
            <w:r w:rsidRPr="00623ED1">
              <w:rPr>
                <w:rFonts w:ascii="Arial" w:hAnsi="Arial" w:cs="Arial"/>
              </w:rPr>
              <w:t>tidy</w:t>
            </w:r>
            <w:r w:rsidRPr="00623ED1">
              <w:rPr>
                <w:rFonts w:ascii="Cambria Math" w:hAnsi="Cambria Math" w:cs="Cambria Math"/>
              </w:rPr>
              <w:t>‑</w:t>
            </w:r>
            <w:r w:rsidRPr="00623ED1">
              <w:rPr>
                <w:rFonts w:ascii="Arial" w:hAnsi="Arial" w:cs="Arial"/>
              </w:rPr>
              <w:t xml:space="preserve">up, </w:t>
            </w:r>
          </w:p>
          <w:p w14:paraId="291C159F" w14:textId="77777777" w:rsidR="00BA594F" w:rsidRDefault="007D338A" w:rsidP="00AF5715">
            <w:pPr>
              <w:pStyle w:val="ListParagraph"/>
              <w:numPr>
                <w:ilvl w:val="0"/>
                <w:numId w:val="7"/>
              </w:numPr>
              <w:rPr>
                <w:rFonts w:ascii="Arial" w:hAnsi="Arial" w:cs="Arial"/>
              </w:rPr>
            </w:pPr>
            <w:r w:rsidRPr="00623ED1">
              <w:rPr>
                <w:rFonts w:ascii="Arial" w:hAnsi="Arial" w:cs="Arial"/>
              </w:rPr>
              <w:t>group time,</w:t>
            </w:r>
          </w:p>
          <w:p w14:paraId="145696C7" w14:textId="52EF53EE" w:rsidR="00BA594F" w:rsidRDefault="007D338A" w:rsidP="00AF5715">
            <w:pPr>
              <w:pStyle w:val="ListParagraph"/>
              <w:numPr>
                <w:ilvl w:val="0"/>
                <w:numId w:val="7"/>
              </w:numPr>
              <w:rPr>
                <w:rFonts w:ascii="Arial" w:hAnsi="Arial" w:cs="Arial"/>
              </w:rPr>
            </w:pPr>
            <w:r w:rsidRPr="00623ED1">
              <w:rPr>
                <w:rFonts w:ascii="Arial" w:hAnsi="Arial" w:cs="Arial"/>
              </w:rPr>
              <w:t xml:space="preserve">transitions, </w:t>
            </w:r>
          </w:p>
          <w:p w14:paraId="132B7750" w14:textId="35763EDE" w:rsidR="00A16289" w:rsidRPr="00A16289" w:rsidRDefault="007D338A" w:rsidP="00AF5715">
            <w:pPr>
              <w:pStyle w:val="ListParagraph"/>
              <w:numPr>
                <w:ilvl w:val="0"/>
                <w:numId w:val="7"/>
              </w:numPr>
              <w:rPr>
                <w:rFonts w:ascii="Arial" w:hAnsi="Arial" w:cs="Arial"/>
              </w:rPr>
            </w:pPr>
            <w:r w:rsidRPr="00623ED1">
              <w:rPr>
                <w:rFonts w:ascii="Arial" w:hAnsi="Arial" w:cs="Arial"/>
              </w:rPr>
              <w:t>toileting.</w:t>
            </w:r>
          </w:p>
        </w:tc>
        <w:tc>
          <w:tcPr>
            <w:tcW w:w="4317" w:type="dxa"/>
          </w:tcPr>
          <w:p w14:paraId="1B394A08" w14:textId="77777777" w:rsidR="00BA594F" w:rsidRDefault="00BA594F" w:rsidP="00BA594F">
            <w:pPr>
              <w:pStyle w:val="ListBullet"/>
              <w:numPr>
                <w:ilvl w:val="0"/>
                <w:numId w:val="7"/>
              </w:numPr>
              <w:rPr>
                <w:rFonts w:ascii="Arial" w:hAnsi="Arial" w:cs="Arial"/>
              </w:rPr>
            </w:pPr>
            <w:r w:rsidRPr="00623ED1">
              <w:rPr>
                <w:rFonts w:ascii="Arial" w:hAnsi="Arial" w:cs="Arial"/>
              </w:rPr>
              <w:t xml:space="preserve">quieter space option; </w:t>
            </w:r>
          </w:p>
          <w:p w14:paraId="6064EF39" w14:textId="77777777" w:rsidR="00BA594F" w:rsidRDefault="00BA594F" w:rsidP="00BA594F">
            <w:pPr>
              <w:pStyle w:val="ListBullet"/>
              <w:numPr>
                <w:ilvl w:val="0"/>
                <w:numId w:val="7"/>
              </w:numPr>
              <w:rPr>
                <w:rFonts w:ascii="Arial" w:hAnsi="Arial" w:cs="Arial"/>
              </w:rPr>
            </w:pPr>
            <w:r w:rsidRPr="00623ED1">
              <w:rPr>
                <w:rFonts w:ascii="Arial" w:hAnsi="Arial" w:cs="Arial"/>
              </w:rPr>
              <w:t xml:space="preserve">visual cues; </w:t>
            </w:r>
          </w:p>
          <w:p w14:paraId="230A4C30" w14:textId="77777777" w:rsidR="00BA594F" w:rsidRDefault="00BA594F" w:rsidP="00BA594F">
            <w:pPr>
              <w:pStyle w:val="ListBullet"/>
              <w:numPr>
                <w:ilvl w:val="0"/>
                <w:numId w:val="7"/>
              </w:numPr>
              <w:rPr>
                <w:rFonts w:ascii="Arial" w:hAnsi="Arial" w:cs="Arial"/>
              </w:rPr>
            </w:pPr>
            <w:r w:rsidRPr="00623ED1">
              <w:rPr>
                <w:rFonts w:ascii="Arial" w:hAnsi="Arial" w:cs="Arial"/>
              </w:rPr>
              <w:t xml:space="preserve">fewer words; </w:t>
            </w:r>
          </w:p>
          <w:p w14:paraId="267A447C" w14:textId="77777777" w:rsidR="00BA594F" w:rsidRDefault="00BA594F" w:rsidP="00BA594F">
            <w:pPr>
              <w:pStyle w:val="ListBullet"/>
              <w:numPr>
                <w:ilvl w:val="0"/>
                <w:numId w:val="7"/>
              </w:numPr>
              <w:rPr>
                <w:rFonts w:ascii="Arial" w:hAnsi="Arial" w:cs="Arial"/>
              </w:rPr>
            </w:pPr>
            <w:r w:rsidRPr="00BA594F">
              <w:rPr>
                <w:rFonts w:ascii="Arial" w:hAnsi="Arial" w:cs="Arial"/>
              </w:rPr>
              <w:t xml:space="preserve">predictable routines; </w:t>
            </w:r>
          </w:p>
          <w:p w14:paraId="6C505D1C" w14:textId="77777777" w:rsidR="00BA594F" w:rsidRDefault="00BA594F" w:rsidP="00BA594F">
            <w:pPr>
              <w:pStyle w:val="ListBullet"/>
              <w:numPr>
                <w:ilvl w:val="0"/>
                <w:numId w:val="7"/>
              </w:numPr>
              <w:rPr>
                <w:rFonts w:ascii="Arial" w:hAnsi="Arial" w:cs="Arial"/>
              </w:rPr>
            </w:pPr>
            <w:r w:rsidRPr="00BA594F">
              <w:rPr>
                <w:rFonts w:ascii="Arial" w:hAnsi="Arial" w:cs="Arial"/>
              </w:rPr>
              <w:t>movement breaks;</w:t>
            </w:r>
          </w:p>
          <w:p w14:paraId="115AC354" w14:textId="7800525C" w:rsidR="00A16289" w:rsidRPr="00BA594F" w:rsidRDefault="00BA594F" w:rsidP="00BA594F">
            <w:pPr>
              <w:pStyle w:val="ListBullet"/>
              <w:numPr>
                <w:ilvl w:val="0"/>
                <w:numId w:val="7"/>
              </w:numPr>
              <w:rPr>
                <w:rFonts w:ascii="Arial" w:hAnsi="Arial" w:cs="Arial"/>
              </w:rPr>
            </w:pPr>
            <w:r w:rsidRPr="00BA594F">
              <w:rPr>
                <w:rFonts w:ascii="Arial" w:hAnsi="Arial" w:cs="Arial"/>
              </w:rPr>
              <w:t>sensory tools agreed by the setting.</w:t>
            </w:r>
          </w:p>
        </w:tc>
        <w:tc>
          <w:tcPr>
            <w:tcW w:w="4317" w:type="dxa"/>
          </w:tcPr>
          <w:p w14:paraId="3B8894C8" w14:textId="77777777" w:rsidR="00BA594F" w:rsidRDefault="00BA594F" w:rsidP="00BA594F">
            <w:pPr>
              <w:pStyle w:val="ListParagraph"/>
              <w:numPr>
                <w:ilvl w:val="0"/>
                <w:numId w:val="7"/>
              </w:numPr>
              <w:rPr>
                <w:rFonts w:ascii="Arial" w:hAnsi="Arial" w:cs="Arial"/>
              </w:rPr>
            </w:pPr>
            <w:r w:rsidRPr="00623ED1">
              <w:rPr>
                <w:rFonts w:ascii="Arial" w:hAnsi="Arial" w:cs="Arial"/>
              </w:rPr>
              <w:t xml:space="preserve">track patterns (what sensory load triggers overwhelm); </w:t>
            </w:r>
          </w:p>
          <w:p w14:paraId="5312A68D" w14:textId="77777777" w:rsidR="00BA594F" w:rsidRDefault="00BA594F" w:rsidP="00BA594F">
            <w:pPr>
              <w:pStyle w:val="ListParagraph"/>
              <w:numPr>
                <w:ilvl w:val="0"/>
                <w:numId w:val="7"/>
              </w:numPr>
              <w:rPr>
                <w:rFonts w:ascii="Arial" w:hAnsi="Arial" w:cs="Arial"/>
              </w:rPr>
            </w:pPr>
            <w:r w:rsidRPr="00BA594F">
              <w:rPr>
                <w:rFonts w:ascii="Arial" w:hAnsi="Arial" w:cs="Arial"/>
              </w:rPr>
              <w:t xml:space="preserve">adjust environment; </w:t>
            </w:r>
          </w:p>
          <w:p w14:paraId="52478F65" w14:textId="01C08DF5" w:rsidR="00A16289" w:rsidRPr="00BA594F" w:rsidRDefault="00BA594F" w:rsidP="00BA594F">
            <w:pPr>
              <w:pStyle w:val="ListParagraph"/>
              <w:numPr>
                <w:ilvl w:val="0"/>
                <w:numId w:val="7"/>
              </w:numPr>
              <w:rPr>
                <w:rFonts w:ascii="Arial" w:hAnsi="Arial" w:cs="Arial"/>
              </w:rPr>
            </w:pPr>
            <w:r w:rsidRPr="00BA594F">
              <w:rPr>
                <w:rFonts w:ascii="Arial" w:hAnsi="Arial" w:cs="Arial"/>
              </w:rPr>
              <w:t>seek Area SENCO/EYST advice.</w:t>
            </w:r>
          </w:p>
        </w:tc>
      </w:tr>
    </w:tbl>
    <w:p w14:paraId="26694652" w14:textId="77777777" w:rsidR="000B5363" w:rsidRDefault="000B5363" w:rsidP="000B5363">
      <w:pPr>
        <w:spacing w:after="0"/>
        <w:rPr>
          <w:rFonts w:ascii="Arial" w:hAnsi="Arial" w:cs="Arial"/>
        </w:rPr>
      </w:pPr>
    </w:p>
    <w:p w14:paraId="3B1FF6B6" w14:textId="77777777" w:rsidR="000B5363" w:rsidRDefault="000B5363" w:rsidP="000B5363">
      <w:pPr>
        <w:spacing w:after="0"/>
        <w:rPr>
          <w:rFonts w:ascii="Arial" w:hAnsi="Arial" w:cs="Arial"/>
        </w:rPr>
      </w:pPr>
    </w:p>
    <w:p w14:paraId="7BD2D4A6" w14:textId="77777777" w:rsidR="000B5363" w:rsidRDefault="000B5363" w:rsidP="000B5363">
      <w:pPr>
        <w:spacing w:after="0"/>
        <w:rPr>
          <w:rFonts w:ascii="Arial" w:hAnsi="Arial" w:cs="Arial"/>
        </w:rPr>
      </w:pPr>
    </w:p>
    <w:p w14:paraId="1F12E4E0" w14:textId="77777777" w:rsidR="000B5363" w:rsidRDefault="000B5363" w:rsidP="000B5363">
      <w:pPr>
        <w:spacing w:after="0"/>
        <w:rPr>
          <w:rFonts w:ascii="Arial" w:hAnsi="Arial" w:cs="Arial"/>
        </w:rPr>
      </w:pPr>
    </w:p>
    <w:tbl>
      <w:tblPr>
        <w:tblStyle w:val="TableGrid"/>
        <w:tblW w:w="0" w:type="auto"/>
        <w:tblLook w:val="04A0" w:firstRow="1" w:lastRow="0" w:firstColumn="1" w:lastColumn="0" w:noHBand="0" w:noVBand="1"/>
      </w:tblPr>
      <w:tblGrid>
        <w:gridCol w:w="4316"/>
        <w:gridCol w:w="4317"/>
        <w:gridCol w:w="4317"/>
      </w:tblGrid>
      <w:tr w:rsidR="002423F6" w14:paraId="47994586" w14:textId="77777777" w:rsidTr="00AF5715">
        <w:tc>
          <w:tcPr>
            <w:tcW w:w="12950" w:type="dxa"/>
            <w:gridSpan w:val="3"/>
          </w:tcPr>
          <w:p w14:paraId="0A5A5C72" w14:textId="0ABE5DDB" w:rsidR="002423F6" w:rsidRDefault="001C0C5E" w:rsidP="000B5363">
            <w:pPr>
              <w:pStyle w:val="Heading2"/>
              <w:spacing w:before="120" w:after="120"/>
              <w:rPr>
                <w:rFonts w:ascii="Arial" w:hAnsi="Arial" w:cs="Arial"/>
              </w:rPr>
            </w:pPr>
            <w:r w:rsidRPr="00623ED1">
              <w:rPr>
                <w:rFonts w:ascii="Arial" w:hAnsi="Arial" w:cs="Arial"/>
              </w:rPr>
              <w:lastRenderedPageBreak/>
              <w:t>Communication and interaction</w:t>
            </w:r>
          </w:p>
        </w:tc>
      </w:tr>
      <w:tr w:rsidR="002423F6" w14:paraId="66AAFCC1" w14:textId="77777777" w:rsidTr="00AF5715">
        <w:tc>
          <w:tcPr>
            <w:tcW w:w="4316" w:type="dxa"/>
          </w:tcPr>
          <w:p w14:paraId="5E0D03CA" w14:textId="77777777" w:rsidR="002423F6" w:rsidRDefault="002423F6" w:rsidP="000B5363">
            <w:pPr>
              <w:spacing w:before="120" w:after="120"/>
              <w:rPr>
                <w:rFonts w:ascii="Arial" w:hAnsi="Arial" w:cs="Arial"/>
              </w:rPr>
            </w:pPr>
            <w:r w:rsidRPr="00623ED1">
              <w:rPr>
                <w:rFonts w:ascii="Arial" w:hAnsi="Arial" w:cs="Arial"/>
              </w:rPr>
              <w:t>WHEN IT MAY SHOW UP:</w:t>
            </w:r>
          </w:p>
        </w:tc>
        <w:tc>
          <w:tcPr>
            <w:tcW w:w="4317" w:type="dxa"/>
          </w:tcPr>
          <w:p w14:paraId="34573B9E" w14:textId="77777777" w:rsidR="002423F6" w:rsidRDefault="002423F6" w:rsidP="000B5363">
            <w:pPr>
              <w:spacing w:before="120" w:after="120"/>
              <w:rPr>
                <w:rFonts w:ascii="Arial" w:hAnsi="Arial" w:cs="Arial"/>
              </w:rPr>
            </w:pPr>
            <w:r w:rsidRPr="00623ED1">
              <w:rPr>
                <w:rFonts w:ascii="Arial" w:hAnsi="Arial" w:cs="Arial"/>
              </w:rPr>
              <w:t>TRY FIRST:</w:t>
            </w:r>
          </w:p>
        </w:tc>
        <w:tc>
          <w:tcPr>
            <w:tcW w:w="4317" w:type="dxa"/>
          </w:tcPr>
          <w:p w14:paraId="1196F112" w14:textId="77777777" w:rsidR="002423F6" w:rsidRDefault="002423F6" w:rsidP="000B5363">
            <w:pPr>
              <w:spacing w:before="120" w:after="120"/>
              <w:rPr>
                <w:rFonts w:ascii="Arial" w:hAnsi="Arial" w:cs="Arial"/>
              </w:rPr>
            </w:pPr>
            <w:r w:rsidRPr="00623ED1">
              <w:rPr>
                <w:rFonts w:ascii="Arial" w:hAnsi="Arial" w:cs="Arial"/>
              </w:rPr>
              <w:t>STEP UP:</w:t>
            </w:r>
          </w:p>
        </w:tc>
      </w:tr>
      <w:tr w:rsidR="002423F6" w14:paraId="52423CA6" w14:textId="77777777" w:rsidTr="00AF5715">
        <w:tc>
          <w:tcPr>
            <w:tcW w:w="4316" w:type="dxa"/>
          </w:tcPr>
          <w:p w14:paraId="70931918" w14:textId="77777777" w:rsidR="008E3FDF" w:rsidRDefault="001C0C5E" w:rsidP="001C0C5E">
            <w:pPr>
              <w:pStyle w:val="ListBullet"/>
              <w:numPr>
                <w:ilvl w:val="0"/>
                <w:numId w:val="7"/>
              </w:numPr>
              <w:rPr>
                <w:rFonts w:ascii="Arial" w:hAnsi="Arial" w:cs="Arial"/>
              </w:rPr>
            </w:pPr>
            <w:r>
              <w:rPr>
                <w:rFonts w:ascii="Arial" w:hAnsi="Arial" w:cs="Arial"/>
              </w:rPr>
              <w:t xml:space="preserve">difficulty </w:t>
            </w:r>
            <w:r w:rsidR="008E3FDF">
              <w:rPr>
                <w:rFonts w:ascii="Arial" w:hAnsi="Arial" w:cs="Arial"/>
              </w:rPr>
              <w:t>being understood</w:t>
            </w:r>
          </w:p>
          <w:p w14:paraId="53187967" w14:textId="7F5B6733" w:rsidR="001C0C5E" w:rsidRDefault="001C0C5E" w:rsidP="001C0C5E">
            <w:pPr>
              <w:pStyle w:val="ListBullet"/>
              <w:numPr>
                <w:ilvl w:val="0"/>
                <w:numId w:val="7"/>
              </w:numPr>
              <w:rPr>
                <w:rFonts w:ascii="Arial" w:hAnsi="Arial" w:cs="Arial"/>
              </w:rPr>
            </w:pPr>
            <w:r w:rsidRPr="00623ED1">
              <w:rPr>
                <w:rFonts w:ascii="Arial" w:hAnsi="Arial" w:cs="Arial"/>
              </w:rPr>
              <w:t xml:space="preserve">difficulty following spoken instructions, </w:t>
            </w:r>
          </w:p>
          <w:p w14:paraId="3C270E03" w14:textId="77777777" w:rsidR="001C0C5E" w:rsidRDefault="001C0C5E" w:rsidP="001C0C5E">
            <w:pPr>
              <w:pStyle w:val="ListBullet"/>
              <w:numPr>
                <w:ilvl w:val="0"/>
                <w:numId w:val="7"/>
              </w:numPr>
              <w:rPr>
                <w:rFonts w:ascii="Arial" w:hAnsi="Arial" w:cs="Arial"/>
              </w:rPr>
            </w:pPr>
            <w:r w:rsidRPr="00623ED1">
              <w:rPr>
                <w:rFonts w:ascii="Arial" w:hAnsi="Arial" w:cs="Arial"/>
              </w:rPr>
              <w:t xml:space="preserve">needing extra time, </w:t>
            </w:r>
          </w:p>
          <w:p w14:paraId="6BB18618" w14:textId="77777777" w:rsidR="001C0C5E" w:rsidRDefault="001C0C5E" w:rsidP="001C0C5E">
            <w:pPr>
              <w:pStyle w:val="ListBullet"/>
              <w:numPr>
                <w:ilvl w:val="0"/>
                <w:numId w:val="7"/>
              </w:numPr>
              <w:rPr>
                <w:rFonts w:ascii="Arial" w:hAnsi="Arial" w:cs="Arial"/>
              </w:rPr>
            </w:pPr>
            <w:r w:rsidRPr="00623ED1">
              <w:rPr>
                <w:rFonts w:ascii="Arial" w:hAnsi="Arial" w:cs="Arial"/>
              </w:rPr>
              <w:t xml:space="preserve">using scripted language, </w:t>
            </w:r>
          </w:p>
          <w:p w14:paraId="099597B8" w14:textId="237B13EF" w:rsidR="002423F6" w:rsidRPr="001C0C5E" w:rsidRDefault="001C0C5E" w:rsidP="001C0C5E">
            <w:pPr>
              <w:pStyle w:val="ListBullet"/>
              <w:numPr>
                <w:ilvl w:val="0"/>
                <w:numId w:val="7"/>
              </w:numPr>
              <w:rPr>
                <w:rFonts w:ascii="Arial" w:hAnsi="Arial" w:cs="Arial"/>
              </w:rPr>
            </w:pPr>
            <w:r w:rsidRPr="00623ED1">
              <w:rPr>
                <w:rFonts w:ascii="Arial" w:hAnsi="Arial" w:cs="Arial"/>
              </w:rPr>
              <w:t>reduced joint attention.</w:t>
            </w:r>
          </w:p>
        </w:tc>
        <w:tc>
          <w:tcPr>
            <w:tcW w:w="4317" w:type="dxa"/>
          </w:tcPr>
          <w:p w14:paraId="07CFAA1C" w14:textId="77777777" w:rsidR="008E3FDF" w:rsidRDefault="001C0C5E" w:rsidP="001C0C5E">
            <w:pPr>
              <w:pStyle w:val="ListBullet"/>
              <w:numPr>
                <w:ilvl w:val="0"/>
                <w:numId w:val="7"/>
              </w:numPr>
              <w:rPr>
                <w:rFonts w:ascii="Arial" w:hAnsi="Arial" w:cs="Arial"/>
              </w:rPr>
            </w:pPr>
            <w:r w:rsidRPr="00623ED1">
              <w:rPr>
                <w:rFonts w:ascii="Arial" w:hAnsi="Arial" w:cs="Arial"/>
              </w:rPr>
              <w:t xml:space="preserve">visuals/objects of reference; </w:t>
            </w:r>
          </w:p>
          <w:p w14:paraId="3B67F662" w14:textId="77777777" w:rsidR="008E3FDF" w:rsidRDefault="001C0C5E" w:rsidP="001C0C5E">
            <w:pPr>
              <w:pStyle w:val="ListBullet"/>
              <w:numPr>
                <w:ilvl w:val="0"/>
                <w:numId w:val="7"/>
              </w:numPr>
              <w:rPr>
                <w:rFonts w:ascii="Arial" w:hAnsi="Arial" w:cs="Arial"/>
              </w:rPr>
            </w:pPr>
            <w:r w:rsidRPr="00623ED1">
              <w:rPr>
                <w:rFonts w:ascii="Arial" w:hAnsi="Arial" w:cs="Arial"/>
              </w:rPr>
              <w:t xml:space="preserve">model language in play; </w:t>
            </w:r>
          </w:p>
          <w:p w14:paraId="76E12C2E" w14:textId="77777777" w:rsidR="008E3FDF" w:rsidRDefault="001C0C5E" w:rsidP="001C0C5E">
            <w:pPr>
              <w:pStyle w:val="ListBullet"/>
              <w:numPr>
                <w:ilvl w:val="0"/>
                <w:numId w:val="7"/>
              </w:numPr>
              <w:rPr>
                <w:rFonts w:ascii="Arial" w:hAnsi="Arial" w:cs="Arial"/>
              </w:rPr>
            </w:pPr>
            <w:r w:rsidRPr="00623ED1">
              <w:rPr>
                <w:rFonts w:ascii="Arial" w:hAnsi="Arial" w:cs="Arial"/>
              </w:rPr>
              <w:t xml:space="preserve">allow processing time; </w:t>
            </w:r>
          </w:p>
          <w:p w14:paraId="4D416610" w14:textId="77777777" w:rsidR="008E3FDF" w:rsidRDefault="001C0C5E" w:rsidP="001C0C5E">
            <w:pPr>
              <w:pStyle w:val="ListBullet"/>
              <w:numPr>
                <w:ilvl w:val="0"/>
                <w:numId w:val="7"/>
              </w:numPr>
              <w:rPr>
                <w:rFonts w:ascii="Arial" w:hAnsi="Arial" w:cs="Arial"/>
              </w:rPr>
            </w:pPr>
            <w:r w:rsidRPr="00623ED1">
              <w:rPr>
                <w:rFonts w:ascii="Arial" w:hAnsi="Arial" w:cs="Arial"/>
              </w:rPr>
              <w:t xml:space="preserve">reduce questions; </w:t>
            </w:r>
          </w:p>
          <w:p w14:paraId="243A3D90" w14:textId="3768DF0A" w:rsidR="001C0C5E" w:rsidRPr="00623ED1" w:rsidRDefault="001C0C5E" w:rsidP="001C0C5E">
            <w:pPr>
              <w:pStyle w:val="ListBullet"/>
              <w:numPr>
                <w:ilvl w:val="0"/>
                <w:numId w:val="7"/>
              </w:numPr>
              <w:rPr>
                <w:rFonts w:ascii="Arial" w:hAnsi="Arial" w:cs="Arial"/>
              </w:rPr>
            </w:pPr>
            <w:r w:rsidRPr="00623ED1">
              <w:rPr>
                <w:rFonts w:ascii="Arial" w:hAnsi="Arial" w:cs="Arial"/>
              </w:rPr>
              <w:t>comment more than test.</w:t>
            </w:r>
          </w:p>
          <w:p w14:paraId="1FDCE5A9" w14:textId="724034E6" w:rsidR="002423F6" w:rsidRPr="00BA594F" w:rsidRDefault="002423F6" w:rsidP="008E3FDF">
            <w:pPr>
              <w:pStyle w:val="ListBullet"/>
              <w:numPr>
                <w:ilvl w:val="0"/>
                <w:numId w:val="0"/>
              </w:numPr>
              <w:ind w:left="360" w:hanging="360"/>
              <w:rPr>
                <w:rFonts w:ascii="Arial" w:hAnsi="Arial" w:cs="Arial"/>
              </w:rPr>
            </w:pPr>
          </w:p>
        </w:tc>
        <w:tc>
          <w:tcPr>
            <w:tcW w:w="4317" w:type="dxa"/>
          </w:tcPr>
          <w:p w14:paraId="072F11E7" w14:textId="77777777" w:rsidR="00707419" w:rsidRDefault="008E3FDF" w:rsidP="00AF5715">
            <w:pPr>
              <w:pStyle w:val="ListParagraph"/>
              <w:numPr>
                <w:ilvl w:val="0"/>
                <w:numId w:val="7"/>
              </w:numPr>
              <w:rPr>
                <w:rFonts w:ascii="Arial" w:hAnsi="Arial" w:cs="Arial"/>
              </w:rPr>
            </w:pPr>
            <w:r>
              <w:rPr>
                <w:rFonts w:ascii="Arial" w:hAnsi="Arial" w:cs="Arial"/>
              </w:rPr>
              <w:t xml:space="preserve">Referral to </w:t>
            </w:r>
            <w:r w:rsidR="00707419">
              <w:rPr>
                <w:rFonts w:ascii="Arial" w:hAnsi="Arial" w:cs="Arial"/>
              </w:rPr>
              <w:t>Family Hub Services</w:t>
            </w:r>
          </w:p>
          <w:p w14:paraId="06D5C70F" w14:textId="33CE7F38" w:rsidR="002423F6" w:rsidRPr="00BA594F" w:rsidRDefault="001C0C5E" w:rsidP="00AF5715">
            <w:pPr>
              <w:pStyle w:val="ListParagraph"/>
              <w:numPr>
                <w:ilvl w:val="0"/>
                <w:numId w:val="7"/>
              </w:numPr>
              <w:rPr>
                <w:rFonts w:ascii="Arial" w:hAnsi="Arial" w:cs="Arial"/>
              </w:rPr>
            </w:pPr>
            <w:r w:rsidRPr="00623ED1">
              <w:rPr>
                <w:rFonts w:ascii="Arial" w:hAnsi="Arial" w:cs="Arial"/>
              </w:rPr>
              <w:t>Speech &amp; Language Therapy referral (with guardian consent).</w:t>
            </w:r>
          </w:p>
        </w:tc>
      </w:tr>
    </w:tbl>
    <w:p w14:paraId="64EE1AA7" w14:textId="77777777" w:rsidR="002423F6" w:rsidRDefault="002423F6" w:rsidP="000B5363">
      <w:pPr>
        <w:spacing w:after="0"/>
        <w:rPr>
          <w:rFonts w:ascii="Arial" w:hAnsi="Arial" w:cs="Arial"/>
        </w:rPr>
      </w:pPr>
    </w:p>
    <w:tbl>
      <w:tblPr>
        <w:tblStyle w:val="TableGrid"/>
        <w:tblW w:w="0" w:type="auto"/>
        <w:tblLook w:val="04A0" w:firstRow="1" w:lastRow="0" w:firstColumn="1" w:lastColumn="0" w:noHBand="0" w:noVBand="1"/>
      </w:tblPr>
      <w:tblGrid>
        <w:gridCol w:w="4316"/>
        <w:gridCol w:w="4317"/>
        <w:gridCol w:w="4317"/>
      </w:tblGrid>
      <w:tr w:rsidR="00707419" w14:paraId="32F759DE" w14:textId="77777777" w:rsidTr="00AF5715">
        <w:tc>
          <w:tcPr>
            <w:tcW w:w="12950" w:type="dxa"/>
            <w:gridSpan w:val="3"/>
          </w:tcPr>
          <w:p w14:paraId="1F1991B4" w14:textId="4ABDA2E3" w:rsidR="00707419" w:rsidRDefault="00707419" w:rsidP="000B5363">
            <w:pPr>
              <w:pStyle w:val="Heading2"/>
              <w:spacing w:before="120" w:after="120"/>
              <w:rPr>
                <w:rFonts w:ascii="Arial" w:hAnsi="Arial" w:cs="Arial"/>
              </w:rPr>
            </w:pPr>
            <w:r w:rsidRPr="00623ED1">
              <w:rPr>
                <w:rFonts w:ascii="Arial" w:hAnsi="Arial" w:cs="Arial"/>
              </w:rPr>
              <w:t>Emotional wellbeing, regulation and engagement</w:t>
            </w:r>
          </w:p>
        </w:tc>
      </w:tr>
      <w:tr w:rsidR="00707419" w14:paraId="3C2CFEF1" w14:textId="77777777" w:rsidTr="00AF5715">
        <w:tc>
          <w:tcPr>
            <w:tcW w:w="4316" w:type="dxa"/>
          </w:tcPr>
          <w:p w14:paraId="563F6B52" w14:textId="77777777" w:rsidR="00707419" w:rsidRDefault="00707419" w:rsidP="000B5363">
            <w:pPr>
              <w:spacing w:before="120" w:after="120"/>
              <w:rPr>
                <w:rFonts w:ascii="Arial" w:hAnsi="Arial" w:cs="Arial"/>
              </w:rPr>
            </w:pPr>
            <w:r w:rsidRPr="00623ED1">
              <w:rPr>
                <w:rFonts w:ascii="Arial" w:hAnsi="Arial" w:cs="Arial"/>
              </w:rPr>
              <w:t>WHEN IT MAY SHOW UP:</w:t>
            </w:r>
          </w:p>
        </w:tc>
        <w:tc>
          <w:tcPr>
            <w:tcW w:w="4317" w:type="dxa"/>
          </w:tcPr>
          <w:p w14:paraId="5A05022D" w14:textId="77777777" w:rsidR="00707419" w:rsidRDefault="00707419" w:rsidP="000B5363">
            <w:pPr>
              <w:spacing w:before="120" w:after="120"/>
              <w:rPr>
                <w:rFonts w:ascii="Arial" w:hAnsi="Arial" w:cs="Arial"/>
              </w:rPr>
            </w:pPr>
            <w:r w:rsidRPr="00623ED1">
              <w:rPr>
                <w:rFonts w:ascii="Arial" w:hAnsi="Arial" w:cs="Arial"/>
              </w:rPr>
              <w:t>TRY FIRST:</w:t>
            </w:r>
          </w:p>
        </w:tc>
        <w:tc>
          <w:tcPr>
            <w:tcW w:w="4317" w:type="dxa"/>
          </w:tcPr>
          <w:p w14:paraId="0D316CF1" w14:textId="77777777" w:rsidR="00707419" w:rsidRDefault="00707419" w:rsidP="000B5363">
            <w:pPr>
              <w:spacing w:before="120" w:after="120"/>
              <w:rPr>
                <w:rFonts w:ascii="Arial" w:hAnsi="Arial" w:cs="Arial"/>
              </w:rPr>
            </w:pPr>
            <w:r w:rsidRPr="00623ED1">
              <w:rPr>
                <w:rFonts w:ascii="Arial" w:hAnsi="Arial" w:cs="Arial"/>
              </w:rPr>
              <w:t>STEP UP:</w:t>
            </w:r>
          </w:p>
        </w:tc>
      </w:tr>
      <w:tr w:rsidR="00707419" w14:paraId="1DB43784" w14:textId="77777777" w:rsidTr="00AF5715">
        <w:tc>
          <w:tcPr>
            <w:tcW w:w="4316" w:type="dxa"/>
          </w:tcPr>
          <w:p w14:paraId="648AE8C9" w14:textId="77777777" w:rsidR="00707419" w:rsidRDefault="00707419" w:rsidP="00707419">
            <w:pPr>
              <w:pStyle w:val="ListBullet"/>
              <w:numPr>
                <w:ilvl w:val="0"/>
                <w:numId w:val="7"/>
              </w:numPr>
              <w:rPr>
                <w:rFonts w:ascii="Arial" w:hAnsi="Arial" w:cs="Arial"/>
              </w:rPr>
            </w:pPr>
            <w:r w:rsidRPr="00623ED1">
              <w:rPr>
                <w:rFonts w:ascii="Arial" w:hAnsi="Arial" w:cs="Arial"/>
              </w:rPr>
              <w:t>distress at drop</w:t>
            </w:r>
            <w:r w:rsidRPr="00623ED1">
              <w:rPr>
                <w:rFonts w:ascii="Cambria Math" w:hAnsi="Cambria Math" w:cs="Cambria Math"/>
              </w:rPr>
              <w:t>‑</w:t>
            </w:r>
            <w:r w:rsidRPr="00623ED1">
              <w:rPr>
                <w:rFonts w:ascii="Arial" w:hAnsi="Arial" w:cs="Arial"/>
              </w:rPr>
              <w:t xml:space="preserve">off, ‘clingy’ behaviour, </w:t>
            </w:r>
          </w:p>
          <w:p w14:paraId="756CF5FD" w14:textId="77777777" w:rsidR="00707419" w:rsidRDefault="00707419" w:rsidP="00707419">
            <w:pPr>
              <w:pStyle w:val="ListBullet"/>
              <w:numPr>
                <w:ilvl w:val="0"/>
                <w:numId w:val="7"/>
              </w:numPr>
              <w:rPr>
                <w:rFonts w:ascii="Arial" w:hAnsi="Arial" w:cs="Arial"/>
              </w:rPr>
            </w:pPr>
            <w:r w:rsidRPr="00623ED1">
              <w:rPr>
                <w:rFonts w:ascii="Arial" w:hAnsi="Arial" w:cs="Arial"/>
              </w:rPr>
              <w:t xml:space="preserve">shutdown/withdrawal, </w:t>
            </w:r>
          </w:p>
          <w:p w14:paraId="7A7460CC" w14:textId="77777777" w:rsidR="00707419" w:rsidRDefault="00707419" w:rsidP="00707419">
            <w:pPr>
              <w:pStyle w:val="ListBullet"/>
              <w:numPr>
                <w:ilvl w:val="0"/>
                <w:numId w:val="7"/>
              </w:numPr>
              <w:rPr>
                <w:rFonts w:ascii="Arial" w:hAnsi="Arial" w:cs="Arial"/>
              </w:rPr>
            </w:pPr>
            <w:r w:rsidRPr="00623ED1">
              <w:rPr>
                <w:rFonts w:ascii="Arial" w:hAnsi="Arial" w:cs="Arial"/>
              </w:rPr>
              <w:t xml:space="preserve">frequent overwhelm, </w:t>
            </w:r>
          </w:p>
          <w:p w14:paraId="1F4B0614" w14:textId="604C2A18" w:rsidR="00707419" w:rsidRPr="00707419" w:rsidRDefault="00707419" w:rsidP="00707419">
            <w:pPr>
              <w:pStyle w:val="ListBullet"/>
              <w:numPr>
                <w:ilvl w:val="0"/>
                <w:numId w:val="7"/>
              </w:numPr>
              <w:rPr>
                <w:rFonts w:ascii="Arial" w:hAnsi="Arial" w:cs="Arial"/>
              </w:rPr>
            </w:pPr>
            <w:r w:rsidRPr="00623ED1">
              <w:rPr>
                <w:rFonts w:ascii="Arial" w:hAnsi="Arial" w:cs="Arial"/>
              </w:rPr>
              <w:t>avoiding group times.</w:t>
            </w:r>
          </w:p>
        </w:tc>
        <w:tc>
          <w:tcPr>
            <w:tcW w:w="4317" w:type="dxa"/>
          </w:tcPr>
          <w:p w14:paraId="12E0ED8B" w14:textId="77777777" w:rsidR="00707419" w:rsidRDefault="00707419" w:rsidP="00707419">
            <w:pPr>
              <w:pStyle w:val="ListBullet"/>
              <w:numPr>
                <w:ilvl w:val="0"/>
                <w:numId w:val="7"/>
              </w:numPr>
              <w:rPr>
                <w:rFonts w:ascii="Arial" w:hAnsi="Arial" w:cs="Arial"/>
              </w:rPr>
            </w:pPr>
            <w:r w:rsidRPr="00623ED1">
              <w:rPr>
                <w:rFonts w:ascii="Arial" w:hAnsi="Arial" w:cs="Arial"/>
              </w:rPr>
              <w:t>strengthen key</w:t>
            </w:r>
            <w:r w:rsidRPr="00623ED1">
              <w:rPr>
                <w:rFonts w:ascii="Cambria Math" w:hAnsi="Cambria Math" w:cs="Cambria Math"/>
              </w:rPr>
              <w:t>‑</w:t>
            </w:r>
            <w:r w:rsidRPr="00623ED1">
              <w:rPr>
                <w:rFonts w:ascii="Arial" w:hAnsi="Arial" w:cs="Arial"/>
              </w:rPr>
              <w:t xml:space="preserve">person connection; </w:t>
            </w:r>
          </w:p>
          <w:p w14:paraId="290533B4" w14:textId="77777777" w:rsidR="00707419" w:rsidRDefault="00707419" w:rsidP="00707419">
            <w:pPr>
              <w:pStyle w:val="ListBullet"/>
              <w:numPr>
                <w:ilvl w:val="0"/>
                <w:numId w:val="7"/>
              </w:numPr>
              <w:rPr>
                <w:rFonts w:ascii="Arial" w:hAnsi="Arial" w:cs="Arial"/>
              </w:rPr>
            </w:pPr>
            <w:r w:rsidRPr="00623ED1">
              <w:rPr>
                <w:rFonts w:ascii="Arial" w:hAnsi="Arial" w:cs="Arial"/>
              </w:rPr>
              <w:t xml:space="preserve">predictable routines; </w:t>
            </w:r>
          </w:p>
          <w:p w14:paraId="774B6141" w14:textId="77777777" w:rsidR="00707419" w:rsidRDefault="00707419" w:rsidP="00707419">
            <w:pPr>
              <w:pStyle w:val="ListBullet"/>
              <w:numPr>
                <w:ilvl w:val="0"/>
                <w:numId w:val="7"/>
              </w:numPr>
              <w:rPr>
                <w:rFonts w:ascii="Arial" w:hAnsi="Arial" w:cs="Arial"/>
              </w:rPr>
            </w:pPr>
            <w:r w:rsidRPr="00623ED1">
              <w:rPr>
                <w:rFonts w:ascii="Arial" w:hAnsi="Arial" w:cs="Arial"/>
              </w:rPr>
              <w:t>co</w:t>
            </w:r>
            <w:r w:rsidRPr="00623ED1">
              <w:rPr>
                <w:rFonts w:ascii="Cambria Math" w:hAnsi="Cambria Math" w:cs="Cambria Math"/>
              </w:rPr>
              <w:t>‑</w:t>
            </w:r>
            <w:r w:rsidRPr="00623ED1">
              <w:rPr>
                <w:rFonts w:ascii="Arial" w:hAnsi="Arial" w:cs="Arial"/>
              </w:rPr>
              <w:t xml:space="preserve">regulation; </w:t>
            </w:r>
          </w:p>
          <w:p w14:paraId="006EAB17" w14:textId="77777777" w:rsidR="00707419" w:rsidRDefault="00707419" w:rsidP="00707419">
            <w:pPr>
              <w:pStyle w:val="ListBullet"/>
              <w:numPr>
                <w:ilvl w:val="0"/>
                <w:numId w:val="7"/>
              </w:numPr>
              <w:rPr>
                <w:rFonts w:ascii="Arial" w:hAnsi="Arial" w:cs="Arial"/>
              </w:rPr>
            </w:pPr>
            <w:r w:rsidRPr="00623ED1">
              <w:rPr>
                <w:rFonts w:ascii="Arial" w:hAnsi="Arial" w:cs="Arial"/>
              </w:rPr>
              <w:t xml:space="preserve">transition </w:t>
            </w:r>
            <w:proofErr w:type="gramStart"/>
            <w:r w:rsidRPr="00623ED1">
              <w:rPr>
                <w:rFonts w:ascii="Arial" w:hAnsi="Arial" w:cs="Arial"/>
              </w:rPr>
              <w:t>supports</w:t>
            </w:r>
            <w:proofErr w:type="gramEnd"/>
            <w:r w:rsidRPr="00623ED1">
              <w:rPr>
                <w:rFonts w:ascii="Arial" w:hAnsi="Arial" w:cs="Arial"/>
              </w:rPr>
              <w:t xml:space="preserve">; </w:t>
            </w:r>
          </w:p>
          <w:p w14:paraId="5F4C12B7" w14:textId="7D62D09F" w:rsidR="00707419" w:rsidRPr="00912527" w:rsidRDefault="00707419" w:rsidP="00912527">
            <w:pPr>
              <w:pStyle w:val="ListBullet"/>
              <w:numPr>
                <w:ilvl w:val="0"/>
                <w:numId w:val="7"/>
              </w:numPr>
              <w:rPr>
                <w:rFonts w:ascii="Arial" w:hAnsi="Arial" w:cs="Arial"/>
              </w:rPr>
            </w:pPr>
            <w:r w:rsidRPr="00623ED1">
              <w:rPr>
                <w:rFonts w:ascii="Arial" w:hAnsi="Arial" w:cs="Arial"/>
              </w:rPr>
              <w:t>offer choice and safe spaces.</w:t>
            </w:r>
          </w:p>
        </w:tc>
        <w:tc>
          <w:tcPr>
            <w:tcW w:w="4317" w:type="dxa"/>
          </w:tcPr>
          <w:p w14:paraId="761B8C01" w14:textId="77777777" w:rsidR="00707419" w:rsidRDefault="00707419" w:rsidP="00AF5715">
            <w:pPr>
              <w:pStyle w:val="ListParagraph"/>
              <w:numPr>
                <w:ilvl w:val="0"/>
                <w:numId w:val="7"/>
              </w:numPr>
              <w:rPr>
                <w:rFonts w:ascii="Arial" w:hAnsi="Arial" w:cs="Arial"/>
              </w:rPr>
            </w:pPr>
            <w:r w:rsidRPr="00623ED1">
              <w:rPr>
                <w:rFonts w:ascii="Arial" w:hAnsi="Arial" w:cs="Arial"/>
              </w:rPr>
              <w:t xml:space="preserve">consider Leuven wellbeing/involvement scales; </w:t>
            </w:r>
          </w:p>
          <w:p w14:paraId="691B6FDA" w14:textId="12C36032" w:rsidR="00707419" w:rsidRDefault="00707419" w:rsidP="00AF5715">
            <w:pPr>
              <w:pStyle w:val="ListParagraph"/>
              <w:numPr>
                <w:ilvl w:val="0"/>
                <w:numId w:val="7"/>
              </w:numPr>
              <w:rPr>
                <w:rFonts w:ascii="Arial" w:hAnsi="Arial" w:cs="Arial"/>
              </w:rPr>
            </w:pPr>
            <w:r w:rsidRPr="00623ED1">
              <w:rPr>
                <w:rFonts w:ascii="Arial" w:hAnsi="Arial" w:cs="Arial"/>
              </w:rPr>
              <w:t>reflective tools like SSTEW</w:t>
            </w:r>
            <w:r w:rsidR="003A3FF7">
              <w:rPr>
                <w:rFonts w:ascii="Arial" w:hAnsi="Arial" w:cs="Arial"/>
              </w:rPr>
              <w:t xml:space="preserve"> </w:t>
            </w:r>
            <w:r w:rsidR="003A3FF7" w:rsidRPr="003A3FF7">
              <w:rPr>
                <w:rFonts w:ascii="Arial" w:hAnsi="Arial" w:cs="Arial"/>
              </w:rPr>
              <w:t>(Sustained Shared Thinking &amp; Emotional Well</w:t>
            </w:r>
            <w:r w:rsidR="008203DB">
              <w:rPr>
                <w:rFonts w:ascii="Arial" w:hAnsi="Arial" w:cs="Arial"/>
              </w:rPr>
              <w:t>b</w:t>
            </w:r>
            <w:r w:rsidR="003A3FF7" w:rsidRPr="003A3FF7">
              <w:rPr>
                <w:rFonts w:ascii="Arial" w:hAnsi="Arial" w:cs="Arial"/>
              </w:rPr>
              <w:t>eing)</w:t>
            </w:r>
            <w:r w:rsidRPr="003A3FF7">
              <w:rPr>
                <w:rFonts w:ascii="Arial" w:hAnsi="Arial" w:cs="Arial"/>
              </w:rPr>
              <w:t>;</w:t>
            </w:r>
            <w:r w:rsidRPr="00623ED1">
              <w:rPr>
                <w:rFonts w:ascii="Arial" w:hAnsi="Arial" w:cs="Arial"/>
              </w:rPr>
              <w:t xml:space="preserve"> </w:t>
            </w:r>
          </w:p>
          <w:p w14:paraId="5EC098D6" w14:textId="3720F190" w:rsidR="00707419" w:rsidRPr="00BA594F" w:rsidRDefault="00707419" w:rsidP="00AF5715">
            <w:pPr>
              <w:pStyle w:val="ListParagraph"/>
              <w:numPr>
                <w:ilvl w:val="0"/>
                <w:numId w:val="7"/>
              </w:numPr>
              <w:rPr>
                <w:rFonts w:ascii="Arial" w:hAnsi="Arial" w:cs="Arial"/>
              </w:rPr>
            </w:pPr>
            <w:r>
              <w:rPr>
                <w:rFonts w:ascii="Arial" w:hAnsi="Arial" w:cs="Arial"/>
              </w:rPr>
              <w:t>referral to Family Hub</w:t>
            </w:r>
            <w:r w:rsidRPr="00623ED1">
              <w:rPr>
                <w:rFonts w:ascii="Arial" w:hAnsi="Arial" w:cs="Arial"/>
              </w:rPr>
              <w:t xml:space="preserve"> if family needs wider support.</w:t>
            </w:r>
          </w:p>
        </w:tc>
      </w:tr>
    </w:tbl>
    <w:p w14:paraId="401C774D" w14:textId="77777777" w:rsidR="00707419" w:rsidRPr="00623ED1" w:rsidRDefault="00707419" w:rsidP="000B5363">
      <w:pPr>
        <w:spacing w:after="0"/>
        <w:rPr>
          <w:rFonts w:ascii="Arial" w:hAnsi="Arial" w:cs="Arial"/>
        </w:rPr>
      </w:pPr>
    </w:p>
    <w:tbl>
      <w:tblPr>
        <w:tblStyle w:val="TableGrid"/>
        <w:tblW w:w="0" w:type="auto"/>
        <w:tblLook w:val="04A0" w:firstRow="1" w:lastRow="0" w:firstColumn="1" w:lastColumn="0" w:noHBand="0" w:noVBand="1"/>
      </w:tblPr>
      <w:tblGrid>
        <w:gridCol w:w="4316"/>
        <w:gridCol w:w="4317"/>
        <w:gridCol w:w="4317"/>
      </w:tblGrid>
      <w:tr w:rsidR="00C351B4" w14:paraId="659E3636" w14:textId="77777777" w:rsidTr="00AF5715">
        <w:tc>
          <w:tcPr>
            <w:tcW w:w="12950" w:type="dxa"/>
            <w:gridSpan w:val="3"/>
          </w:tcPr>
          <w:p w14:paraId="38566645" w14:textId="56F18912" w:rsidR="00C351B4" w:rsidRDefault="00C351B4" w:rsidP="000B5363">
            <w:pPr>
              <w:pStyle w:val="Heading2"/>
              <w:spacing w:before="120" w:after="120"/>
              <w:rPr>
                <w:rFonts w:ascii="Arial" w:hAnsi="Arial" w:cs="Arial"/>
              </w:rPr>
            </w:pPr>
            <w:r w:rsidRPr="00623ED1">
              <w:rPr>
                <w:rFonts w:ascii="Arial" w:hAnsi="Arial" w:cs="Arial"/>
              </w:rPr>
              <w:t>Basic needs (food, drink, rest, toileting)</w:t>
            </w:r>
          </w:p>
        </w:tc>
      </w:tr>
      <w:tr w:rsidR="00C351B4" w14:paraId="51F376D7" w14:textId="77777777" w:rsidTr="00AF5715">
        <w:tc>
          <w:tcPr>
            <w:tcW w:w="4316" w:type="dxa"/>
          </w:tcPr>
          <w:p w14:paraId="0192AAF6" w14:textId="77777777" w:rsidR="00C351B4" w:rsidRDefault="00C351B4" w:rsidP="000B5363">
            <w:pPr>
              <w:spacing w:before="120" w:after="120"/>
              <w:rPr>
                <w:rFonts w:ascii="Arial" w:hAnsi="Arial" w:cs="Arial"/>
              </w:rPr>
            </w:pPr>
            <w:r w:rsidRPr="00623ED1">
              <w:rPr>
                <w:rFonts w:ascii="Arial" w:hAnsi="Arial" w:cs="Arial"/>
              </w:rPr>
              <w:t>WHEN IT MAY SHOW UP:</w:t>
            </w:r>
          </w:p>
        </w:tc>
        <w:tc>
          <w:tcPr>
            <w:tcW w:w="4317" w:type="dxa"/>
          </w:tcPr>
          <w:p w14:paraId="72B53DB6" w14:textId="77777777" w:rsidR="00C351B4" w:rsidRDefault="00C351B4" w:rsidP="000B5363">
            <w:pPr>
              <w:spacing w:before="120" w:after="120"/>
              <w:rPr>
                <w:rFonts w:ascii="Arial" w:hAnsi="Arial" w:cs="Arial"/>
              </w:rPr>
            </w:pPr>
            <w:r w:rsidRPr="00623ED1">
              <w:rPr>
                <w:rFonts w:ascii="Arial" w:hAnsi="Arial" w:cs="Arial"/>
              </w:rPr>
              <w:t>TRY FIRST:</w:t>
            </w:r>
          </w:p>
        </w:tc>
        <w:tc>
          <w:tcPr>
            <w:tcW w:w="4317" w:type="dxa"/>
          </w:tcPr>
          <w:p w14:paraId="2E0D5E9D" w14:textId="77777777" w:rsidR="00C351B4" w:rsidRDefault="00C351B4" w:rsidP="000B5363">
            <w:pPr>
              <w:spacing w:before="120" w:after="120"/>
              <w:rPr>
                <w:rFonts w:ascii="Arial" w:hAnsi="Arial" w:cs="Arial"/>
              </w:rPr>
            </w:pPr>
            <w:r w:rsidRPr="00623ED1">
              <w:rPr>
                <w:rFonts w:ascii="Arial" w:hAnsi="Arial" w:cs="Arial"/>
              </w:rPr>
              <w:t>STEP UP:</w:t>
            </w:r>
          </w:p>
        </w:tc>
      </w:tr>
      <w:tr w:rsidR="00C351B4" w14:paraId="67ED466D" w14:textId="77777777" w:rsidTr="00AF5715">
        <w:tc>
          <w:tcPr>
            <w:tcW w:w="4316" w:type="dxa"/>
          </w:tcPr>
          <w:p w14:paraId="0E0D11A6" w14:textId="2D844651" w:rsidR="00C351B4" w:rsidRPr="00154E18" w:rsidRDefault="00C351B4" w:rsidP="00154E18">
            <w:pPr>
              <w:pStyle w:val="ListBullet"/>
              <w:numPr>
                <w:ilvl w:val="0"/>
                <w:numId w:val="7"/>
              </w:numPr>
              <w:rPr>
                <w:rFonts w:ascii="Arial" w:hAnsi="Arial" w:cs="Arial"/>
              </w:rPr>
            </w:pPr>
            <w:r w:rsidRPr="00623ED1">
              <w:rPr>
                <w:rFonts w:ascii="Arial" w:hAnsi="Arial" w:cs="Arial"/>
              </w:rPr>
              <w:t xml:space="preserve">irritability, </w:t>
            </w:r>
            <w:r w:rsidRPr="00154E18">
              <w:rPr>
                <w:rFonts w:ascii="Arial" w:hAnsi="Arial" w:cs="Arial"/>
              </w:rPr>
              <w:t xml:space="preserve">tiredness, </w:t>
            </w:r>
          </w:p>
          <w:p w14:paraId="66C07DDB" w14:textId="77777777" w:rsidR="00C351B4" w:rsidRDefault="00C351B4" w:rsidP="00AF5715">
            <w:pPr>
              <w:pStyle w:val="ListBullet"/>
              <w:numPr>
                <w:ilvl w:val="0"/>
                <w:numId w:val="7"/>
              </w:numPr>
              <w:rPr>
                <w:rFonts w:ascii="Arial" w:hAnsi="Arial" w:cs="Arial"/>
              </w:rPr>
            </w:pPr>
            <w:r w:rsidRPr="00623ED1">
              <w:rPr>
                <w:rFonts w:ascii="Arial" w:hAnsi="Arial" w:cs="Arial"/>
              </w:rPr>
              <w:t xml:space="preserve">accidents, </w:t>
            </w:r>
          </w:p>
          <w:p w14:paraId="4FB3F0E3" w14:textId="77777777" w:rsidR="00C351B4" w:rsidRDefault="00C351B4" w:rsidP="00AF5715">
            <w:pPr>
              <w:pStyle w:val="ListBullet"/>
              <w:numPr>
                <w:ilvl w:val="0"/>
                <w:numId w:val="7"/>
              </w:numPr>
              <w:rPr>
                <w:rFonts w:ascii="Arial" w:hAnsi="Arial" w:cs="Arial"/>
              </w:rPr>
            </w:pPr>
            <w:r w:rsidRPr="00623ED1">
              <w:rPr>
                <w:rFonts w:ascii="Arial" w:hAnsi="Arial" w:cs="Arial"/>
              </w:rPr>
              <w:t xml:space="preserve">avoiding mealtimes, </w:t>
            </w:r>
          </w:p>
          <w:p w14:paraId="6F61E2C0" w14:textId="77777777" w:rsidR="00C351B4" w:rsidRDefault="00C351B4" w:rsidP="00AF5715">
            <w:pPr>
              <w:pStyle w:val="ListBullet"/>
              <w:numPr>
                <w:ilvl w:val="0"/>
                <w:numId w:val="7"/>
              </w:numPr>
              <w:rPr>
                <w:rFonts w:ascii="Arial" w:hAnsi="Arial" w:cs="Arial"/>
              </w:rPr>
            </w:pPr>
            <w:r w:rsidRPr="00623ED1">
              <w:rPr>
                <w:rFonts w:ascii="Arial" w:hAnsi="Arial" w:cs="Arial"/>
              </w:rPr>
              <w:t xml:space="preserve">grazing, </w:t>
            </w:r>
          </w:p>
          <w:p w14:paraId="44F5829C" w14:textId="452D2143" w:rsidR="00C351B4" w:rsidRPr="00707419" w:rsidRDefault="00C351B4" w:rsidP="00AF5715">
            <w:pPr>
              <w:pStyle w:val="ListBullet"/>
              <w:numPr>
                <w:ilvl w:val="0"/>
                <w:numId w:val="7"/>
              </w:numPr>
              <w:rPr>
                <w:rFonts w:ascii="Arial" w:hAnsi="Arial" w:cs="Arial"/>
              </w:rPr>
            </w:pPr>
            <w:r w:rsidRPr="00623ED1">
              <w:rPr>
                <w:rFonts w:ascii="Arial" w:hAnsi="Arial" w:cs="Arial"/>
              </w:rPr>
              <w:t>not eating in busy spaces.</w:t>
            </w:r>
          </w:p>
        </w:tc>
        <w:tc>
          <w:tcPr>
            <w:tcW w:w="4317" w:type="dxa"/>
          </w:tcPr>
          <w:p w14:paraId="0005FFC6" w14:textId="297CF0FC" w:rsidR="00C351B4" w:rsidRDefault="00C351B4" w:rsidP="00C351B4">
            <w:pPr>
              <w:pStyle w:val="ListBullet"/>
              <w:rPr>
                <w:rFonts w:ascii="Arial" w:hAnsi="Arial" w:cs="Arial"/>
              </w:rPr>
            </w:pPr>
            <w:r w:rsidRPr="00623ED1">
              <w:rPr>
                <w:rFonts w:ascii="Arial" w:hAnsi="Arial" w:cs="Arial"/>
              </w:rPr>
              <w:t xml:space="preserve">offer choice and </w:t>
            </w:r>
            <w:r w:rsidR="00154E18">
              <w:rPr>
                <w:rFonts w:ascii="Arial" w:hAnsi="Arial" w:cs="Arial"/>
              </w:rPr>
              <w:t xml:space="preserve">quiet </w:t>
            </w:r>
            <w:r w:rsidRPr="00623ED1">
              <w:rPr>
                <w:rFonts w:ascii="Arial" w:hAnsi="Arial" w:cs="Arial"/>
              </w:rPr>
              <w:t xml:space="preserve">safe spaces </w:t>
            </w:r>
          </w:p>
          <w:p w14:paraId="770EBBE4" w14:textId="77777777" w:rsidR="00C351B4" w:rsidRDefault="00C351B4" w:rsidP="00C351B4">
            <w:pPr>
              <w:pStyle w:val="ListBullet"/>
              <w:rPr>
                <w:rFonts w:ascii="Arial" w:hAnsi="Arial" w:cs="Arial"/>
              </w:rPr>
            </w:pPr>
            <w:r w:rsidRPr="00623ED1">
              <w:rPr>
                <w:rFonts w:ascii="Arial" w:hAnsi="Arial" w:cs="Arial"/>
              </w:rPr>
              <w:t xml:space="preserve">calm eating options; </w:t>
            </w:r>
          </w:p>
          <w:p w14:paraId="5BB70179" w14:textId="6E60FCE7" w:rsidR="00C351B4" w:rsidRPr="00154E18" w:rsidRDefault="00C351B4" w:rsidP="00154E18">
            <w:pPr>
              <w:pStyle w:val="ListBullet"/>
              <w:rPr>
                <w:rFonts w:ascii="Arial" w:hAnsi="Arial" w:cs="Arial"/>
              </w:rPr>
            </w:pPr>
            <w:r w:rsidRPr="00623ED1">
              <w:rPr>
                <w:rFonts w:ascii="Arial" w:hAnsi="Arial" w:cs="Arial"/>
              </w:rPr>
              <w:t xml:space="preserve">flexible snack; </w:t>
            </w:r>
          </w:p>
          <w:p w14:paraId="6C6EB807" w14:textId="77777777" w:rsidR="00C351B4" w:rsidRDefault="00C351B4" w:rsidP="00C351B4">
            <w:pPr>
              <w:pStyle w:val="ListBullet"/>
              <w:rPr>
                <w:rFonts w:ascii="Arial" w:hAnsi="Arial" w:cs="Arial"/>
              </w:rPr>
            </w:pPr>
            <w:r w:rsidRPr="00623ED1">
              <w:rPr>
                <w:rFonts w:ascii="Arial" w:hAnsi="Arial" w:cs="Arial"/>
              </w:rPr>
              <w:t xml:space="preserve">consistent toileting routine; </w:t>
            </w:r>
          </w:p>
          <w:p w14:paraId="129FD566" w14:textId="7C1C6848" w:rsidR="00C351B4" w:rsidRPr="00912527" w:rsidRDefault="00C351B4" w:rsidP="00912527">
            <w:pPr>
              <w:pStyle w:val="ListBullet"/>
              <w:rPr>
                <w:rFonts w:ascii="Arial" w:hAnsi="Arial" w:cs="Arial"/>
              </w:rPr>
            </w:pPr>
            <w:r w:rsidRPr="00623ED1">
              <w:rPr>
                <w:rFonts w:ascii="Arial" w:hAnsi="Arial" w:cs="Arial"/>
              </w:rPr>
              <w:t>check constipation and sleep routines.</w:t>
            </w:r>
          </w:p>
        </w:tc>
        <w:tc>
          <w:tcPr>
            <w:tcW w:w="4317" w:type="dxa"/>
          </w:tcPr>
          <w:p w14:paraId="2F2D62A8" w14:textId="77777777" w:rsidR="00912527" w:rsidRDefault="00C351B4" w:rsidP="00AF5715">
            <w:pPr>
              <w:pStyle w:val="ListParagraph"/>
              <w:numPr>
                <w:ilvl w:val="0"/>
                <w:numId w:val="7"/>
              </w:numPr>
              <w:rPr>
                <w:rFonts w:ascii="Arial" w:hAnsi="Arial" w:cs="Arial"/>
              </w:rPr>
            </w:pPr>
            <w:r w:rsidRPr="00623ED1">
              <w:rPr>
                <w:rFonts w:ascii="Arial" w:hAnsi="Arial" w:cs="Arial"/>
              </w:rPr>
              <w:t xml:space="preserve">involve Healthy Family Team/health professionals where appropriate; </w:t>
            </w:r>
          </w:p>
          <w:p w14:paraId="56C89447" w14:textId="0A385BFB" w:rsidR="00C351B4" w:rsidRPr="00BA594F" w:rsidRDefault="00C351B4" w:rsidP="00AF5715">
            <w:pPr>
              <w:pStyle w:val="ListParagraph"/>
              <w:numPr>
                <w:ilvl w:val="0"/>
                <w:numId w:val="7"/>
              </w:numPr>
              <w:rPr>
                <w:rFonts w:ascii="Arial" w:hAnsi="Arial" w:cs="Arial"/>
              </w:rPr>
            </w:pPr>
            <w:r w:rsidRPr="00623ED1">
              <w:rPr>
                <w:rFonts w:ascii="Arial" w:hAnsi="Arial" w:cs="Arial"/>
              </w:rPr>
              <w:t>consider sensory/feeding differences</w:t>
            </w:r>
          </w:p>
        </w:tc>
      </w:tr>
    </w:tbl>
    <w:p w14:paraId="74E576F6" w14:textId="2DE23158" w:rsidR="006C0204" w:rsidRPr="00A16289" w:rsidRDefault="006C0204" w:rsidP="000B5363">
      <w:pPr>
        <w:pStyle w:val="ListBullet"/>
        <w:numPr>
          <w:ilvl w:val="0"/>
          <w:numId w:val="0"/>
        </w:numPr>
        <w:spacing w:after="0"/>
        <w:ind w:left="360" w:hanging="360"/>
        <w:rPr>
          <w:rFonts w:ascii="Arial" w:hAnsi="Arial" w:cs="Arial"/>
        </w:rPr>
      </w:pPr>
    </w:p>
    <w:tbl>
      <w:tblPr>
        <w:tblStyle w:val="TableGrid"/>
        <w:tblW w:w="0" w:type="auto"/>
        <w:tblLook w:val="04A0" w:firstRow="1" w:lastRow="0" w:firstColumn="1" w:lastColumn="0" w:noHBand="0" w:noVBand="1"/>
      </w:tblPr>
      <w:tblGrid>
        <w:gridCol w:w="4316"/>
        <w:gridCol w:w="4317"/>
        <w:gridCol w:w="4317"/>
      </w:tblGrid>
      <w:tr w:rsidR="00E31F08" w14:paraId="65C11D0F" w14:textId="77777777" w:rsidTr="00AF5715">
        <w:tc>
          <w:tcPr>
            <w:tcW w:w="12950" w:type="dxa"/>
            <w:gridSpan w:val="3"/>
          </w:tcPr>
          <w:p w14:paraId="4212C94B" w14:textId="7AF29DEA" w:rsidR="00E31F08" w:rsidRDefault="00E31F08" w:rsidP="000B5363">
            <w:pPr>
              <w:pStyle w:val="Heading2"/>
              <w:spacing w:before="120" w:after="120"/>
              <w:rPr>
                <w:rFonts w:ascii="Arial" w:hAnsi="Arial" w:cs="Arial"/>
              </w:rPr>
            </w:pPr>
            <w:r w:rsidRPr="00623ED1">
              <w:rPr>
                <w:rFonts w:ascii="Arial" w:hAnsi="Arial" w:cs="Arial"/>
              </w:rPr>
              <w:t>Attendance and access</w:t>
            </w:r>
          </w:p>
        </w:tc>
      </w:tr>
      <w:tr w:rsidR="00E31F08" w14:paraId="59340674" w14:textId="77777777" w:rsidTr="00AF5715">
        <w:tc>
          <w:tcPr>
            <w:tcW w:w="4316" w:type="dxa"/>
          </w:tcPr>
          <w:p w14:paraId="3C84A7FC" w14:textId="77777777" w:rsidR="00E31F08" w:rsidRDefault="00E31F08" w:rsidP="000B5363">
            <w:pPr>
              <w:spacing w:before="120" w:after="120"/>
              <w:rPr>
                <w:rFonts w:ascii="Arial" w:hAnsi="Arial" w:cs="Arial"/>
              </w:rPr>
            </w:pPr>
            <w:r w:rsidRPr="00623ED1">
              <w:rPr>
                <w:rFonts w:ascii="Arial" w:hAnsi="Arial" w:cs="Arial"/>
              </w:rPr>
              <w:t>WHEN IT MAY SHOW UP:</w:t>
            </w:r>
          </w:p>
        </w:tc>
        <w:tc>
          <w:tcPr>
            <w:tcW w:w="4317" w:type="dxa"/>
          </w:tcPr>
          <w:p w14:paraId="482D38BA" w14:textId="77777777" w:rsidR="00E31F08" w:rsidRDefault="00E31F08" w:rsidP="000B5363">
            <w:pPr>
              <w:spacing w:before="120" w:after="120"/>
              <w:rPr>
                <w:rFonts w:ascii="Arial" w:hAnsi="Arial" w:cs="Arial"/>
              </w:rPr>
            </w:pPr>
            <w:r w:rsidRPr="00623ED1">
              <w:rPr>
                <w:rFonts w:ascii="Arial" w:hAnsi="Arial" w:cs="Arial"/>
              </w:rPr>
              <w:t>TRY FIRST:</w:t>
            </w:r>
          </w:p>
        </w:tc>
        <w:tc>
          <w:tcPr>
            <w:tcW w:w="4317" w:type="dxa"/>
          </w:tcPr>
          <w:p w14:paraId="09E60AAB" w14:textId="77777777" w:rsidR="00E31F08" w:rsidRDefault="00E31F08" w:rsidP="000B5363">
            <w:pPr>
              <w:spacing w:before="120" w:after="120"/>
              <w:rPr>
                <w:rFonts w:ascii="Arial" w:hAnsi="Arial" w:cs="Arial"/>
              </w:rPr>
            </w:pPr>
            <w:r w:rsidRPr="00623ED1">
              <w:rPr>
                <w:rFonts w:ascii="Arial" w:hAnsi="Arial" w:cs="Arial"/>
              </w:rPr>
              <w:t>STEP UP:</w:t>
            </w:r>
          </w:p>
        </w:tc>
      </w:tr>
      <w:tr w:rsidR="00E31F08" w14:paraId="515C5574" w14:textId="77777777" w:rsidTr="00AF5715">
        <w:tc>
          <w:tcPr>
            <w:tcW w:w="4316" w:type="dxa"/>
          </w:tcPr>
          <w:p w14:paraId="205CE833" w14:textId="77777777" w:rsidR="00E31F08" w:rsidRDefault="00E31F08" w:rsidP="00E31F08">
            <w:pPr>
              <w:pStyle w:val="ListBullet"/>
              <w:numPr>
                <w:ilvl w:val="0"/>
                <w:numId w:val="7"/>
              </w:numPr>
              <w:rPr>
                <w:rFonts w:ascii="Arial" w:hAnsi="Arial" w:cs="Arial"/>
              </w:rPr>
            </w:pPr>
            <w:r w:rsidRPr="00623ED1">
              <w:rPr>
                <w:rFonts w:ascii="Arial" w:hAnsi="Arial" w:cs="Arial"/>
              </w:rPr>
              <w:t xml:space="preserve">irregular attendance, </w:t>
            </w:r>
          </w:p>
          <w:p w14:paraId="110B3D66" w14:textId="77777777" w:rsidR="00E31F08" w:rsidRDefault="00E31F08" w:rsidP="00E31F08">
            <w:pPr>
              <w:pStyle w:val="ListBullet"/>
              <w:numPr>
                <w:ilvl w:val="0"/>
                <w:numId w:val="7"/>
              </w:numPr>
              <w:rPr>
                <w:rFonts w:ascii="Arial" w:hAnsi="Arial" w:cs="Arial"/>
              </w:rPr>
            </w:pPr>
            <w:r w:rsidRPr="00623ED1">
              <w:rPr>
                <w:rFonts w:ascii="Arial" w:hAnsi="Arial" w:cs="Arial"/>
              </w:rPr>
              <w:t xml:space="preserve">frequent lateness, </w:t>
            </w:r>
          </w:p>
          <w:p w14:paraId="4B2C36F1" w14:textId="719B3298" w:rsidR="00E31F08" w:rsidRPr="00E31F08" w:rsidRDefault="00E31F08" w:rsidP="00E31F08">
            <w:pPr>
              <w:pStyle w:val="ListBullet"/>
              <w:numPr>
                <w:ilvl w:val="0"/>
                <w:numId w:val="7"/>
              </w:numPr>
              <w:rPr>
                <w:rFonts w:ascii="Arial" w:hAnsi="Arial" w:cs="Arial"/>
              </w:rPr>
            </w:pPr>
            <w:r w:rsidRPr="00623ED1">
              <w:rPr>
                <w:rFonts w:ascii="Arial" w:hAnsi="Arial" w:cs="Arial"/>
              </w:rPr>
              <w:t>settling issues every session.</w:t>
            </w:r>
          </w:p>
        </w:tc>
        <w:tc>
          <w:tcPr>
            <w:tcW w:w="4317" w:type="dxa"/>
          </w:tcPr>
          <w:p w14:paraId="57571CDA" w14:textId="77777777" w:rsidR="00E31F08" w:rsidRDefault="00E31F08" w:rsidP="00AF5715">
            <w:pPr>
              <w:pStyle w:val="ListBullet"/>
              <w:rPr>
                <w:rFonts w:ascii="Arial" w:hAnsi="Arial" w:cs="Arial"/>
              </w:rPr>
            </w:pPr>
            <w:r w:rsidRPr="00623ED1">
              <w:rPr>
                <w:rFonts w:ascii="Arial" w:hAnsi="Arial" w:cs="Arial"/>
              </w:rPr>
              <w:t>relationship</w:t>
            </w:r>
            <w:r w:rsidRPr="00623ED1">
              <w:rPr>
                <w:rFonts w:ascii="Cambria Math" w:hAnsi="Cambria Math" w:cs="Cambria Math"/>
              </w:rPr>
              <w:t>‑</w:t>
            </w:r>
            <w:r w:rsidRPr="00623ED1">
              <w:rPr>
                <w:rFonts w:ascii="Arial" w:hAnsi="Arial" w:cs="Arial"/>
              </w:rPr>
              <w:t xml:space="preserve">based approach; </w:t>
            </w:r>
          </w:p>
          <w:p w14:paraId="034C991C" w14:textId="77777777" w:rsidR="00E31F08" w:rsidRDefault="00E31F08" w:rsidP="00AF5715">
            <w:pPr>
              <w:pStyle w:val="ListBullet"/>
              <w:rPr>
                <w:rFonts w:ascii="Arial" w:hAnsi="Arial" w:cs="Arial"/>
              </w:rPr>
            </w:pPr>
            <w:r w:rsidRPr="00623ED1">
              <w:rPr>
                <w:rFonts w:ascii="Arial" w:hAnsi="Arial" w:cs="Arial"/>
              </w:rPr>
              <w:t xml:space="preserve">consistent key person; </w:t>
            </w:r>
          </w:p>
          <w:p w14:paraId="3D1DE6F4" w14:textId="77777777" w:rsidR="00E31F08" w:rsidRDefault="00E31F08" w:rsidP="00AF5715">
            <w:pPr>
              <w:pStyle w:val="ListBullet"/>
              <w:rPr>
                <w:rFonts w:ascii="Arial" w:hAnsi="Arial" w:cs="Arial"/>
              </w:rPr>
            </w:pPr>
            <w:r w:rsidRPr="00623ED1">
              <w:rPr>
                <w:rFonts w:ascii="Arial" w:hAnsi="Arial" w:cs="Arial"/>
              </w:rPr>
              <w:t>‘</w:t>
            </w:r>
            <w:proofErr w:type="gramStart"/>
            <w:r w:rsidRPr="00623ED1">
              <w:rPr>
                <w:rFonts w:ascii="Arial" w:hAnsi="Arial" w:cs="Arial"/>
              </w:rPr>
              <w:t>settling</w:t>
            </w:r>
            <w:proofErr w:type="gramEnd"/>
            <w:r w:rsidRPr="00623ED1">
              <w:rPr>
                <w:rFonts w:ascii="Arial" w:hAnsi="Arial" w:cs="Arial"/>
              </w:rPr>
              <w:t xml:space="preserve"> plan’; </w:t>
            </w:r>
          </w:p>
          <w:p w14:paraId="76AA900B" w14:textId="2C9A78ED" w:rsidR="00E31F08" w:rsidRPr="00912527" w:rsidRDefault="00E31F08" w:rsidP="00AF5715">
            <w:pPr>
              <w:pStyle w:val="ListBullet"/>
              <w:rPr>
                <w:rFonts w:ascii="Arial" w:hAnsi="Arial" w:cs="Arial"/>
              </w:rPr>
            </w:pPr>
            <w:r w:rsidRPr="00623ED1">
              <w:rPr>
                <w:rFonts w:ascii="Arial" w:hAnsi="Arial" w:cs="Arial"/>
              </w:rPr>
              <w:t xml:space="preserve">flexible transition </w:t>
            </w:r>
            <w:proofErr w:type="gramStart"/>
            <w:r w:rsidRPr="00623ED1">
              <w:rPr>
                <w:rFonts w:ascii="Arial" w:hAnsi="Arial" w:cs="Arial"/>
              </w:rPr>
              <w:t>supports..</w:t>
            </w:r>
            <w:proofErr w:type="gramEnd"/>
          </w:p>
        </w:tc>
        <w:tc>
          <w:tcPr>
            <w:tcW w:w="4317" w:type="dxa"/>
          </w:tcPr>
          <w:p w14:paraId="43B957FD" w14:textId="77777777" w:rsidR="00E31F08" w:rsidRDefault="00E31F08" w:rsidP="00AF5715">
            <w:pPr>
              <w:pStyle w:val="ListParagraph"/>
              <w:numPr>
                <w:ilvl w:val="0"/>
                <w:numId w:val="7"/>
              </w:numPr>
              <w:rPr>
                <w:rFonts w:ascii="Arial" w:hAnsi="Arial" w:cs="Arial"/>
              </w:rPr>
            </w:pPr>
            <w:r>
              <w:rPr>
                <w:rFonts w:ascii="Arial" w:hAnsi="Arial" w:cs="Arial"/>
              </w:rPr>
              <w:t>Family Hub referral</w:t>
            </w:r>
            <w:r w:rsidRPr="00623ED1">
              <w:rPr>
                <w:rFonts w:ascii="Arial" w:hAnsi="Arial" w:cs="Arial"/>
              </w:rPr>
              <w:t xml:space="preserve"> if barriers persist; </w:t>
            </w:r>
          </w:p>
          <w:p w14:paraId="23AD7B35" w14:textId="73C4107C" w:rsidR="00E31F08" w:rsidRPr="00BA594F" w:rsidRDefault="00E31F08" w:rsidP="00AF5715">
            <w:pPr>
              <w:pStyle w:val="ListParagraph"/>
              <w:numPr>
                <w:ilvl w:val="0"/>
                <w:numId w:val="7"/>
              </w:numPr>
              <w:rPr>
                <w:rFonts w:ascii="Arial" w:hAnsi="Arial" w:cs="Arial"/>
              </w:rPr>
            </w:pPr>
            <w:r w:rsidRPr="00623ED1">
              <w:rPr>
                <w:rFonts w:ascii="Arial" w:hAnsi="Arial" w:cs="Arial"/>
              </w:rPr>
              <w:t>follow your ‘missing child’ procedure if a family goes out of contact</w:t>
            </w:r>
          </w:p>
        </w:tc>
      </w:tr>
    </w:tbl>
    <w:p w14:paraId="0CF7DBCA" w14:textId="77777777" w:rsidR="00793F19" w:rsidRDefault="00793F19" w:rsidP="000B5363">
      <w:pPr>
        <w:pStyle w:val="ListBullet"/>
        <w:numPr>
          <w:ilvl w:val="0"/>
          <w:numId w:val="0"/>
        </w:numPr>
        <w:spacing w:after="0"/>
        <w:rPr>
          <w:rFonts w:ascii="Arial" w:hAnsi="Arial" w:cs="Arial"/>
        </w:rPr>
      </w:pPr>
    </w:p>
    <w:tbl>
      <w:tblPr>
        <w:tblStyle w:val="TableGrid"/>
        <w:tblW w:w="0" w:type="auto"/>
        <w:tblLook w:val="04A0" w:firstRow="1" w:lastRow="0" w:firstColumn="1" w:lastColumn="0" w:noHBand="0" w:noVBand="1"/>
      </w:tblPr>
      <w:tblGrid>
        <w:gridCol w:w="4316"/>
        <w:gridCol w:w="4317"/>
        <w:gridCol w:w="4317"/>
      </w:tblGrid>
      <w:tr w:rsidR="004F44A9" w14:paraId="10AAB081" w14:textId="77777777" w:rsidTr="00AF5715">
        <w:tc>
          <w:tcPr>
            <w:tcW w:w="12950" w:type="dxa"/>
            <w:gridSpan w:val="3"/>
          </w:tcPr>
          <w:p w14:paraId="09B57087" w14:textId="6406BA78" w:rsidR="004F44A9" w:rsidRDefault="004F44A9" w:rsidP="000B5363">
            <w:pPr>
              <w:pStyle w:val="Heading2"/>
              <w:spacing w:before="120" w:after="120"/>
              <w:rPr>
                <w:rFonts w:ascii="Arial" w:hAnsi="Arial" w:cs="Arial"/>
              </w:rPr>
            </w:pPr>
            <w:r w:rsidRPr="00623ED1">
              <w:rPr>
                <w:rFonts w:ascii="Arial" w:hAnsi="Arial" w:cs="Arial"/>
              </w:rPr>
              <w:t>Home, culture and identity (including home language)</w:t>
            </w:r>
          </w:p>
        </w:tc>
      </w:tr>
      <w:tr w:rsidR="004F44A9" w14:paraId="235404B6" w14:textId="77777777" w:rsidTr="00AF5715">
        <w:tc>
          <w:tcPr>
            <w:tcW w:w="4316" w:type="dxa"/>
          </w:tcPr>
          <w:p w14:paraId="7F4206F2" w14:textId="77777777" w:rsidR="004F44A9" w:rsidRDefault="004F44A9" w:rsidP="000B5363">
            <w:pPr>
              <w:spacing w:before="120" w:after="120"/>
              <w:rPr>
                <w:rFonts w:ascii="Arial" w:hAnsi="Arial" w:cs="Arial"/>
              </w:rPr>
            </w:pPr>
            <w:r w:rsidRPr="00623ED1">
              <w:rPr>
                <w:rFonts w:ascii="Arial" w:hAnsi="Arial" w:cs="Arial"/>
              </w:rPr>
              <w:t>WHEN IT MAY SHOW UP:</w:t>
            </w:r>
          </w:p>
        </w:tc>
        <w:tc>
          <w:tcPr>
            <w:tcW w:w="4317" w:type="dxa"/>
          </w:tcPr>
          <w:p w14:paraId="23117A10" w14:textId="77777777" w:rsidR="004F44A9" w:rsidRDefault="004F44A9" w:rsidP="000B5363">
            <w:pPr>
              <w:spacing w:before="120" w:after="120"/>
              <w:rPr>
                <w:rFonts w:ascii="Arial" w:hAnsi="Arial" w:cs="Arial"/>
              </w:rPr>
            </w:pPr>
            <w:r w:rsidRPr="00623ED1">
              <w:rPr>
                <w:rFonts w:ascii="Arial" w:hAnsi="Arial" w:cs="Arial"/>
              </w:rPr>
              <w:t>TRY FIRST:</w:t>
            </w:r>
          </w:p>
        </w:tc>
        <w:tc>
          <w:tcPr>
            <w:tcW w:w="4317" w:type="dxa"/>
          </w:tcPr>
          <w:p w14:paraId="70846CEF" w14:textId="77777777" w:rsidR="004F44A9" w:rsidRDefault="004F44A9" w:rsidP="000B5363">
            <w:pPr>
              <w:spacing w:before="120" w:after="120"/>
              <w:rPr>
                <w:rFonts w:ascii="Arial" w:hAnsi="Arial" w:cs="Arial"/>
              </w:rPr>
            </w:pPr>
            <w:r w:rsidRPr="00623ED1">
              <w:rPr>
                <w:rFonts w:ascii="Arial" w:hAnsi="Arial" w:cs="Arial"/>
              </w:rPr>
              <w:t>STEP UP:</w:t>
            </w:r>
          </w:p>
        </w:tc>
      </w:tr>
      <w:tr w:rsidR="004F44A9" w14:paraId="605EB006" w14:textId="77777777" w:rsidTr="00AF5715">
        <w:tc>
          <w:tcPr>
            <w:tcW w:w="4316" w:type="dxa"/>
          </w:tcPr>
          <w:p w14:paraId="6551C928" w14:textId="77777777" w:rsidR="004F44A9" w:rsidRDefault="004F44A9" w:rsidP="00AF5715">
            <w:pPr>
              <w:pStyle w:val="ListBullet"/>
              <w:numPr>
                <w:ilvl w:val="0"/>
                <w:numId w:val="7"/>
              </w:numPr>
              <w:rPr>
                <w:rFonts w:ascii="Arial" w:hAnsi="Arial" w:cs="Arial"/>
              </w:rPr>
            </w:pPr>
            <w:r w:rsidRPr="00623ED1">
              <w:rPr>
                <w:rFonts w:ascii="Arial" w:hAnsi="Arial" w:cs="Arial"/>
              </w:rPr>
              <w:t xml:space="preserve">skills differ between home and setting; </w:t>
            </w:r>
          </w:p>
          <w:p w14:paraId="2709045C" w14:textId="77777777" w:rsidR="004F44A9" w:rsidRDefault="004F44A9" w:rsidP="00AF5715">
            <w:pPr>
              <w:pStyle w:val="ListBullet"/>
              <w:numPr>
                <w:ilvl w:val="0"/>
                <w:numId w:val="7"/>
              </w:numPr>
              <w:rPr>
                <w:rFonts w:ascii="Arial" w:hAnsi="Arial" w:cs="Arial"/>
              </w:rPr>
            </w:pPr>
            <w:r w:rsidRPr="00623ED1">
              <w:rPr>
                <w:rFonts w:ascii="Arial" w:hAnsi="Arial" w:cs="Arial"/>
              </w:rPr>
              <w:t xml:space="preserve">family routines shape engagement; </w:t>
            </w:r>
          </w:p>
          <w:p w14:paraId="53AD2E3B" w14:textId="0D9EFAD2" w:rsidR="004F44A9" w:rsidRPr="00E31F08" w:rsidRDefault="004F44A9" w:rsidP="00AF5715">
            <w:pPr>
              <w:pStyle w:val="ListBullet"/>
              <w:numPr>
                <w:ilvl w:val="0"/>
                <w:numId w:val="7"/>
              </w:numPr>
              <w:rPr>
                <w:rFonts w:ascii="Arial" w:hAnsi="Arial" w:cs="Arial"/>
              </w:rPr>
            </w:pPr>
            <w:r w:rsidRPr="00623ED1">
              <w:rPr>
                <w:rFonts w:ascii="Arial" w:hAnsi="Arial" w:cs="Arial"/>
              </w:rPr>
              <w:t>EAL development</w:t>
            </w:r>
          </w:p>
        </w:tc>
        <w:tc>
          <w:tcPr>
            <w:tcW w:w="4317" w:type="dxa"/>
          </w:tcPr>
          <w:p w14:paraId="30ADE625" w14:textId="77777777" w:rsidR="004F44A9" w:rsidRDefault="004F44A9" w:rsidP="00AF5715">
            <w:pPr>
              <w:pStyle w:val="ListBullet"/>
              <w:rPr>
                <w:rFonts w:ascii="Arial" w:hAnsi="Arial" w:cs="Arial"/>
              </w:rPr>
            </w:pPr>
            <w:r w:rsidRPr="00623ED1">
              <w:rPr>
                <w:rFonts w:ascii="Arial" w:hAnsi="Arial" w:cs="Arial"/>
              </w:rPr>
              <w:t xml:space="preserve">reflect home language/culture; </w:t>
            </w:r>
          </w:p>
          <w:p w14:paraId="1FD91DFB" w14:textId="0EDEA99D" w:rsidR="004F44A9" w:rsidRPr="004F44A9" w:rsidRDefault="004F44A9" w:rsidP="004F44A9">
            <w:pPr>
              <w:pStyle w:val="ListBullet"/>
              <w:rPr>
                <w:rFonts w:ascii="Arial" w:hAnsi="Arial" w:cs="Arial"/>
              </w:rPr>
            </w:pPr>
            <w:r w:rsidRPr="00623ED1">
              <w:rPr>
                <w:rFonts w:ascii="Arial" w:hAnsi="Arial" w:cs="Arial"/>
              </w:rPr>
              <w:t xml:space="preserve">use visuals; </w:t>
            </w:r>
          </w:p>
          <w:p w14:paraId="2B0ECC9A" w14:textId="77777777" w:rsidR="004F44A9" w:rsidRDefault="004F44A9" w:rsidP="004F44A9">
            <w:pPr>
              <w:pStyle w:val="ListBullet"/>
              <w:rPr>
                <w:rFonts w:ascii="Arial" w:hAnsi="Arial" w:cs="Arial"/>
              </w:rPr>
            </w:pPr>
            <w:r w:rsidRPr="00623ED1">
              <w:rPr>
                <w:rFonts w:ascii="Arial" w:hAnsi="Arial" w:cs="Arial"/>
              </w:rPr>
              <w:t>check understanding without pressure;</w:t>
            </w:r>
          </w:p>
          <w:p w14:paraId="468E6D84" w14:textId="5392352C" w:rsidR="004F44A9" w:rsidRPr="004F44A9" w:rsidRDefault="004F44A9" w:rsidP="004F44A9">
            <w:pPr>
              <w:pStyle w:val="ListBullet"/>
              <w:rPr>
                <w:rFonts w:ascii="Arial" w:hAnsi="Arial" w:cs="Arial"/>
              </w:rPr>
            </w:pPr>
            <w:r w:rsidRPr="004F44A9">
              <w:rPr>
                <w:rFonts w:ascii="Arial" w:hAnsi="Arial" w:cs="Arial"/>
              </w:rPr>
              <w:t>value bilingual development</w:t>
            </w:r>
          </w:p>
        </w:tc>
        <w:tc>
          <w:tcPr>
            <w:tcW w:w="4317" w:type="dxa"/>
          </w:tcPr>
          <w:p w14:paraId="006E7FE4" w14:textId="77777777" w:rsidR="004F44A9" w:rsidRDefault="004F44A9" w:rsidP="00AF5715">
            <w:pPr>
              <w:pStyle w:val="ListParagraph"/>
              <w:numPr>
                <w:ilvl w:val="0"/>
                <w:numId w:val="7"/>
              </w:numPr>
              <w:rPr>
                <w:rFonts w:ascii="Arial" w:hAnsi="Arial" w:cs="Arial"/>
              </w:rPr>
            </w:pPr>
            <w:r w:rsidRPr="00623ED1">
              <w:rPr>
                <w:rFonts w:ascii="Arial" w:hAnsi="Arial" w:cs="Arial"/>
              </w:rPr>
              <w:t xml:space="preserve">consider EAL tools and advice; </w:t>
            </w:r>
          </w:p>
          <w:p w14:paraId="2D243053" w14:textId="0F1DAC7A" w:rsidR="004F44A9" w:rsidRPr="00BA594F" w:rsidRDefault="004F44A9" w:rsidP="00AF5715">
            <w:pPr>
              <w:pStyle w:val="ListParagraph"/>
              <w:numPr>
                <w:ilvl w:val="0"/>
                <w:numId w:val="7"/>
              </w:numPr>
              <w:rPr>
                <w:rFonts w:ascii="Arial" w:hAnsi="Arial" w:cs="Arial"/>
              </w:rPr>
            </w:pPr>
            <w:r w:rsidRPr="00623ED1">
              <w:rPr>
                <w:rFonts w:ascii="Arial" w:hAnsi="Arial" w:cs="Arial"/>
              </w:rPr>
              <w:t>involve interpreters/translated materials if needed</w:t>
            </w:r>
          </w:p>
        </w:tc>
      </w:tr>
    </w:tbl>
    <w:p w14:paraId="0E69BE47" w14:textId="77777777" w:rsidR="004F44A9" w:rsidRDefault="004F44A9" w:rsidP="000B5363">
      <w:pPr>
        <w:pStyle w:val="ListBullet"/>
        <w:numPr>
          <w:ilvl w:val="0"/>
          <w:numId w:val="0"/>
        </w:numPr>
        <w:spacing w:after="0"/>
        <w:rPr>
          <w:rFonts w:ascii="Arial" w:hAnsi="Arial" w:cs="Arial"/>
        </w:rPr>
      </w:pPr>
    </w:p>
    <w:tbl>
      <w:tblPr>
        <w:tblStyle w:val="TableGrid"/>
        <w:tblW w:w="0" w:type="auto"/>
        <w:tblLook w:val="04A0" w:firstRow="1" w:lastRow="0" w:firstColumn="1" w:lastColumn="0" w:noHBand="0" w:noVBand="1"/>
      </w:tblPr>
      <w:tblGrid>
        <w:gridCol w:w="4316"/>
        <w:gridCol w:w="4317"/>
        <w:gridCol w:w="4317"/>
      </w:tblGrid>
      <w:tr w:rsidR="00360A18" w14:paraId="132EEC03" w14:textId="77777777" w:rsidTr="00AF5715">
        <w:tc>
          <w:tcPr>
            <w:tcW w:w="12950" w:type="dxa"/>
            <w:gridSpan w:val="3"/>
          </w:tcPr>
          <w:p w14:paraId="65D76447" w14:textId="6A0018C8" w:rsidR="00360A18" w:rsidRDefault="00360A18" w:rsidP="000B5363">
            <w:pPr>
              <w:pStyle w:val="Heading2"/>
              <w:spacing w:before="120" w:after="120"/>
              <w:rPr>
                <w:rFonts w:ascii="Arial" w:hAnsi="Arial" w:cs="Arial"/>
              </w:rPr>
            </w:pPr>
            <w:r w:rsidRPr="00623ED1">
              <w:rPr>
                <w:rFonts w:ascii="Arial" w:hAnsi="Arial" w:cs="Arial"/>
              </w:rPr>
              <w:t>Learning environment and adult interaction</w:t>
            </w:r>
          </w:p>
        </w:tc>
      </w:tr>
      <w:tr w:rsidR="00360A18" w14:paraId="724DC3D7" w14:textId="77777777" w:rsidTr="00AF5715">
        <w:tc>
          <w:tcPr>
            <w:tcW w:w="4316" w:type="dxa"/>
          </w:tcPr>
          <w:p w14:paraId="0A20D801" w14:textId="77777777" w:rsidR="00360A18" w:rsidRDefault="00360A18" w:rsidP="000B5363">
            <w:pPr>
              <w:spacing w:before="120" w:after="120"/>
              <w:rPr>
                <w:rFonts w:ascii="Arial" w:hAnsi="Arial" w:cs="Arial"/>
              </w:rPr>
            </w:pPr>
            <w:r w:rsidRPr="00623ED1">
              <w:rPr>
                <w:rFonts w:ascii="Arial" w:hAnsi="Arial" w:cs="Arial"/>
              </w:rPr>
              <w:t>WHEN IT MAY SHOW UP:</w:t>
            </w:r>
          </w:p>
        </w:tc>
        <w:tc>
          <w:tcPr>
            <w:tcW w:w="4317" w:type="dxa"/>
          </w:tcPr>
          <w:p w14:paraId="290B5896" w14:textId="77777777" w:rsidR="00360A18" w:rsidRDefault="00360A18" w:rsidP="000B5363">
            <w:pPr>
              <w:spacing w:before="120" w:after="120"/>
              <w:rPr>
                <w:rFonts w:ascii="Arial" w:hAnsi="Arial" w:cs="Arial"/>
              </w:rPr>
            </w:pPr>
            <w:r w:rsidRPr="00623ED1">
              <w:rPr>
                <w:rFonts w:ascii="Arial" w:hAnsi="Arial" w:cs="Arial"/>
              </w:rPr>
              <w:t>TRY FIRST:</w:t>
            </w:r>
          </w:p>
        </w:tc>
        <w:tc>
          <w:tcPr>
            <w:tcW w:w="4317" w:type="dxa"/>
          </w:tcPr>
          <w:p w14:paraId="33522B24" w14:textId="77777777" w:rsidR="00360A18" w:rsidRDefault="00360A18" w:rsidP="000B5363">
            <w:pPr>
              <w:spacing w:before="120" w:after="120"/>
              <w:rPr>
                <w:rFonts w:ascii="Arial" w:hAnsi="Arial" w:cs="Arial"/>
              </w:rPr>
            </w:pPr>
            <w:r w:rsidRPr="00623ED1">
              <w:rPr>
                <w:rFonts w:ascii="Arial" w:hAnsi="Arial" w:cs="Arial"/>
              </w:rPr>
              <w:t>STEP UP:</w:t>
            </w:r>
          </w:p>
        </w:tc>
      </w:tr>
      <w:tr w:rsidR="00360A18" w14:paraId="52FA7EF5" w14:textId="77777777" w:rsidTr="00AF5715">
        <w:tc>
          <w:tcPr>
            <w:tcW w:w="4316" w:type="dxa"/>
          </w:tcPr>
          <w:p w14:paraId="1BC9AC58" w14:textId="77777777" w:rsidR="00360A18" w:rsidRDefault="00360A18" w:rsidP="00360A18">
            <w:pPr>
              <w:pStyle w:val="ListBullet"/>
              <w:numPr>
                <w:ilvl w:val="0"/>
                <w:numId w:val="7"/>
              </w:numPr>
              <w:rPr>
                <w:rFonts w:ascii="Arial" w:hAnsi="Arial" w:cs="Arial"/>
              </w:rPr>
            </w:pPr>
            <w:r w:rsidRPr="00623ED1">
              <w:rPr>
                <w:rFonts w:ascii="Arial" w:hAnsi="Arial" w:cs="Arial"/>
              </w:rPr>
              <w:t xml:space="preserve">difficulties mainly in </w:t>
            </w:r>
            <w:proofErr w:type="gramStart"/>
            <w:r w:rsidRPr="00623ED1">
              <w:rPr>
                <w:rFonts w:ascii="Arial" w:hAnsi="Arial" w:cs="Arial"/>
              </w:rPr>
              <w:t>adult</w:t>
            </w:r>
            <w:r w:rsidRPr="00623ED1">
              <w:rPr>
                <w:rFonts w:ascii="Cambria Math" w:hAnsi="Cambria Math" w:cs="Cambria Math"/>
              </w:rPr>
              <w:t>‑</w:t>
            </w:r>
            <w:r w:rsidRPr="00623ED1">
              <w:rPr>
                <w:rFonts w:ascii="Arial" w:hAnsi="Arial" w:cs="Arial"/>
              </w:rPr>
              <w:t>led times</w:t>
            </w:r>
            <w:proofErr w:type="gramEnd"/>
            <w:r w:rsidRPr="00623ED1">
              <w:rPr>
                <w:rFonts w:ascii="Arial" w:hAnsi="Arial" w:cs="Arial"/>
              </w:rPr>
              <w:t xml:space="preserve">, </w:t>
            </w:r>
          </w:p>
          <w:p w14:paraId="695D06EE" w14:textId="50B3C642" w:rsidR="00360A18" w:rsidRPr="00623ED1" w:rsidRDefault="00360A18" w:rsidP="00360A18">
            <w:pPr>
              <w:pStyle w:val="ListBullet"/>
              <w:numPr>
                <w:ilvl w:val="0"/>
                <w:numId w:val="7"/>
              </w:numPr>
              <w:rPr>
                <w:rFonts w:ascii="Arial" w:hAnsi="Arial" w:cs="Arial"/>
              </w:rPr>
            </w:pPr>
            <w:r w:rsidRPr="00623ED1">
              <w:rPr>
                <w:rFonts w:ascii="Arial" w:hAnsi="Arial" w:cs="Arial"/>
              </w:rPr>
              <w:t>during tidy</w:t>
            </w:r>
            <w:r w:rsidRPr="00623ED1">
              <w:rPr>
                <w:rFonts w:ascii="Cambria Math" w:hAnsi="Cambria Math" w:cs="Cambria Math"/>
              </w:rPr>
              <w:t>‑</w:t>
            </w:r>
            <w:r w:rsidRPr="00623ED1">
              <w:rPr>
                <w:rFonts w:ascii="Arial" w:hAnsi="Arial" w:cs="Arial"/>
              </w:rPr>
              <w:t>up, or in certain spaces.</w:t>
            </w:r>
          </w:p>
          <w:p w14:paraId="580BE25E" w14:textId="085CC0CC" w:rsidR="00360A18" w:rsidRPr="00E31F08" w:rsidRDefault="00360A18" w:rsidP="00360A18">
            <w:pPr>
              <w:pStyle w:val="ListBullet"/>
              <w:numPr>
                <w:ilvl w:val="0"/>
                <w:numId w:val="0"/>
              </w:numPr>
              <w:rPr>
                <w:rFonts w:ascii="Arial" w:hAnsi="Arial" w:cs="Arial"/>
              </w:rPr>
            </w:pPr>
          </w:p>
        </w:tc>
        <w:tc>
          <w:tcPr>
            <w:tcW w:w="4317" w:type="dxa"/>
          </w:tcPr>
          <w:p w14:paraId="54E1A635" w14:textId="77777777" w:rsidR="00360A18" w:rsidRDefault="00360A18" w:rsidP="00360A18">
            <w:pPr>
              <w:pStyle w:val="ListBullet"/>
              <w:rPr>
                <w:rFonts w:ascii="Arial" w:hAnsi="Arial" w:cs="Arial"/>
              </w:rPr>
            </w:pPr>
            <w:r w:rsidRPr="00623ED1">
              <w:rPr>
                <w:rFonts w:ascii="Arial" w:hAnsi="Arial" w:cs="Arial"/>
              </w:rPr>
              <w:t xml:space="preserve">simplify routines; </w:t>
            </w:r>
          </w:p>
          <w:p w14:paraId="73A06CE5" w14:textId="77777777" w:rsidR="00360A18" w:rsidRDefault="00360A18" w:rsidP="00360A18">
            <w:pPr>
              <w:pStyle w:val="ListBullet"/>
              <w:rPr>
                <w:rFonts w:ascii="Arial" w:hAnsi="Arial" w:cs="Arial"/>
              </w:rPr>
            </w:pPr>
            <w:r w:rsidRPr="00623ED1">
              <w:rPr>
                <w:rFonts w:ascii="Arial" w:hAnsi="Arial" w:cs="Arial"/>
              </w:rPr>
              <w:t xml:space="preserve">protect uninterrupted play; </w:t>
            </w:r>
          </w:p>
          <w:p w14:paraId="3B2D9BCA" w14:textId="77777777" w:rsidR="00360A18" w:rsidRDefault="00360A18" w:rsidP="00360A18">
            <w:pPr>
              <w:pStyle w:val="ListBullet"/>
              <w:rPr>
                <w:rFonts w:ascii="Arial" w:hAnsi="Arial" w:cs="Arial"/>
              </w:rPr>
            </w:pPr>
            <w:r w:rsidRPr="00360A18">
              <w:rPr>
                <w:rFonts w:ascii="Arial" w:hAnsi="Arial" w:cs="Arial"/>
              </w:rPr>
              <w:t xml:space="preserve">use interests as the ‘hook’; </w:t>
            </w:r>
          </w:p>
          <w:p w14:paraId="286C08CF" w14:textId="77777777" w:rsidR="00360A18" w:rsidRDefault="00360A18" w:rsidP="00360A18">
            <w:pPr>
              <w:pStyle w:val="ListBullet"/>
              <w:rPr>
                <w:rFonts w:ascii="Arial" w:hAnsi="Arial" w:cs="Arial"/>
              </w:rPr>
            </w:pPr>
            <w:r w:rsidRPr="00360A18">
              <w:rPr>
                <w:rFonts w:ascii="Arial" w:hAnsi="Arial" w:cs="Arial"/>
              </w:rPr>
              <w:t xml:space="preserve">reduce waiting; </w:t>
            </w:r>
          </w:p>
          <w:p w14:paraId="61CC5B54" w14:textId="00F7A644" w:rsidR="00360A18" w:rsidRPr="00360A18" w:rsidRDefault="00360A18" w:rsidP="00360A18">
            <w:pPr>
              <w:pStyle w:val="ListBullet"/>
              <w:rPr>
                <w:rFonts w:ascii="Arial" w:hAnsi="Arial" w:cs="Arial"/>
              </w:rPr>
            </w:pPr>
            <w:r w:rsidRPr="00360A18">
              <w:rPr>
                <w:rFonts w:ascii="Arial" w:hAnsi="Arial" w:cs="Arial"/>
              </w:rPr>
              <w:t>increase sustained shared thinking.</w:t>
            </w:r>
          </w:p>
        </w:tc>
        <w:tc>
          <w:tcPr>
            <w:tcW w:w="4317" w:type="dxa"/>
          </w:tcPr>
          <w:p w14:paraId="49BA8634" w14:textId="77777777" w:rsidR="00360A18" w:rsidRDefault="00360A18" w:rsidP="00AF5715">
            <w:pPr>
              <w:pStyle w:val="ListParagraph"/>
              <w:numPr>
                <w:ilvl w:val="0"/>
                <w:numId w:val="7"/>
              </w:numPr>
              <w:rPr>
                <w:rFonts w:ascii="Arial" w:hAnsi="Arial" w:cs="Arial"/>
              </w:rPr>
            </w:pPr>
            <w:r w:rsidRPr="00623ED1">
              <w:rPr>
                <w:rFonts w:ascii="Arial" w:hAnsi="Arial" w:cs="Arial"/>
              </w:rPr>
              <w:t>room</w:t>
            </w:r>
            <w:r w:rsidRPr="00623ED1">
              <w:rPr>
                <w:rFonts w:ascii="Cambria Math" w:hAnsi="Cambria Math" w:cs="Cambria Math"/>
              </w:rPr>
              <w:t>‑</w:t>
            </w:r>
            <w:r w:rsidRPr="00623ED1">
              <w:rPr>
                <w:rFonts w:ascii="Arial" w:hAnsi="Arial" w:cs="Arial"/>
              </w:rPr>
              <w:t xml:space="preserve">level audit (noise/visual clutter); </w:t>
            </w:r>
          </w:p>
          <w:p w14:paraId="1513D997" w14:textId="77777777" w:rsidR="00360A18" w:rsidRDefault="00360A18" w:rsidP="00AF5715">
            <w:pPr>
              <w:pStyle w:val="ListParagraph"/>
              <w:numPr>
                <w:ilvl w:val="0"/>
                <w:numId w:val="7"/>
              </w:numPr>
              <w:rPr>
                <w:rFonts w:ascii="Arial" w:hAnsi="Arial" w:cs="Arial"/>
              </w:rPr>
            </w:pPr>
            <w:r w:rsidRPr="00623ED1">
              <w:rPr>
                <w:rFonts w:ascii="Arial" w:hAnsi="Arial" w:cs="Arial"/>
              </w:rPr>
              <w:t xml:space="preserve">adjust expectations; </w:t>
            </w:r>
          </w:p>
          <w:p w14:paraId="4BDC06B7" w14:textId="13BB5761" w:rsidR="00360A18" w:rsidRPr="00BA594F" w:rsidRDefault="00360A18" w:rsidP="00AF5715">
            <w:pPr>
              <w:pStyle w:val="ListParagraph"/>
              <w:numPr>
                <w:ilvl w:val="0"/>
                <w:numId w:val="7"/>
              </w:numPr>
              <w:rPr>
                <w:rFonts w:ascii="Arial" w:hAnsi="Arial" w:cs="Arial"/>
              </w:rPr>
            </w:pPr>
            <w:r w:rsidRPr="00623ED1">
              <w:rPr>
                <w:rFonts w:ascii="Arial" w:hAnsi="Arial" w:cs="Arial"/>
              </w:rPr>
              <w:t>seek coaching/training support if needed.</w:t>
            </w:r>
          </w:p>
        </w:tc>
      </w:tr>
    </w:tbl>
    <w:p w14:paraId="75FC29AA" w14:textId="77777777" w:rsidR="00360A18" w:rsidRPr="00623ED1" w:rsidRDefault="00360A18" w:rsidP="00E31F08">
      <w:pPr>
        <w:pStyle w:val="ListBullet"/>
        <w:numPr>
          <w:ilvl w:val="0"/>
          <w:numId w:val="0"/>
        </w:numPr>
        <w:rPr>
          <w:rFonts w:ascii="Arial" w:hAnsi="Arial" w:cs="Arial"/>
        </w:rPr>
      </w:pPr>
    </w:p>
    <w:p w14:paraId="3AAB51EF" w14:textId="0FADAD33" w:rsidR="006C0204" w:rsidRPr="00623ED1" w:rsidRDefault="008203DB">
      <w:pPr>
        <w:pStyle w:val="Heading1"/>
        <w:rPr>
          <w:rFonts w:ascii="Arial" w:hAnsi="Arial" w:cs="Arial"/>
        </w:rPr>
      </w:pPr>
      <w:r w:rsidRPr="00623ED1">
        <w:rPr>
          <w:rFonts w:ascii="Arial" w:hAnsi="Arial" w:cs="Arial"/>
        </w:rPr>
        <w:lastRenderedPageBreak/>
        <w:t>Working with parents/carers (</w:t>
      </w:r>
      <w:r w:rsidR="00AF5632">
        <w:rPr>
          <w:rFonts w:ascii="Arial" w:hAnsi="Arial" w:cs="Arial"/>
        </w:rPr>
        <w:t>R</w:t>
      </w:r>
      <w:r w:rsidRPr="00623ED1">
        <w:rPr>
          <w:rFonts w:ascii="Arial" w:hAnsi="Arial" w:cs="Arial"/>
        </w:rPr>
        <w:t>elationship</w:t>
      </w:r>
      <w:r w:rsidRPr="00623ED1">
        <w:rPr>
          <w:rFonts w:ascii="Cambria Math" w:hAnsi="Cambria Math" w:cs="Cambria Math"/>
        </w:rPr>
        <w:t>‑</w:t>
      </w:r>
      <w:r w:rsidRPr="00623ED1">
        <w:rPr>
          <w:rFonts w:ascii="Arial" w:hAnsi="Arial" w:cs="Arial"/>
        </w:rPr>
        <w:t>first approach)</w:t>
      </w:r>
    </w:p>
    <w:p w14:paraId="5973169D" w14:textId="77777777" w:rsidR="006C0204" w:rsidRPr="00623ED1" w:rsidRDefault="008203DB">
      <w:pPr>
        <w:pStyle w:val="ListBullet"/>
        <w:rPr>
          <w:rFonts w:ascii="Arial" w:hAnsi="Arial" w:cs="Arial"/>
        </w:rPr>
      </w:pPr>
      <w:r w:rsidRPr="00623ED1">
        <w:rPr>
          <w:rFonts w:ascii="Arial" w:hAnsi="Arial" w:cs="Arial"/>
        </w:rPr>
        <w:t>Start early and keep it informal: small check</w:t>
      </w:r>
      <w:r w:rsidRPr="00623ED1">
        <w:rPr>
          <w:rFonts w:ascii="Cambria Math" w:hAnsi="Cambria Math" w:cs="Cambria Math"/>
        </w:rPr>
        <w:t>‑</w:t>
      </w:r>
      <w:r w:rsidRPr="00623ED1">
        <w:rPr>
          <w:rFonts w:ascii="Arial" w:hAnsi="Arial" w:cs="Arial"/>
        </w:rPr>
        <w:t>ins work better than ‘big meetings’.</w:t>
      </w:r>
    </w:p>
    <w:p w14:paraId="2F37683E" w14:textId="77777777" w:rsidR="006C0204" w:rsidRPr="00623ED1" w:rsidRDefault="008203DB">
      <w:pPr>
        <w:pStyle w:val="ListBullet"/>
        <w:rPr>
          <w:rFonts w:ascii="Arial" w:hAnsi="Arial" w:cs="Arial"/>
        </w:rPr>
      </w:pPr>
      <w:r w:rsidRPr="00623ED1">
        <w:rPr>
          <w:rFonts w:ascii="Arial" w:hAnsi="Arial" w:cs="Arial"/>
        </w:rPr>
        <w:t>Share strengths first. Then describe what you’ve noticed using clear, factual examples.</w:t>
      </w:r>
    </w:p>
    <w:p w14:paraId="7BA6D8E1" w14:textId="77777777" w:rsidR="006C0204" w:rsidRPr="00623ED1" w:rsidRDefault="008203DB">
      <w:pPr>
        <w:pStyle w:val="ListBullet"/>
        <w:rPr>
          <w:rFonts w:ascii="Arial" w:hAnsi="Arial" w:cs="Arial"/>
        </w:rPr>
      </w:pPr>
      <w:r w:rsidRPr="00623ED1">
        <w:rPr>
          <w:rFonts w:ascii="Arial" w:hAnsi="Arial" w:cs="Arial"/>
        </w:rPr>
        <w:t>Ask: ‘What helps at home?’ and ‘What worries you most right now?’</w:t>
      </w:r>
    </w:p>
    <w:p w14:paraId="4ADB1F15" w14:textId="77777777" w:rsidR="006C0204" w:rsidRPr="00623ED1" w:rsidRDefault="008203DB">
      <w:pPr>
        <w:pStyle w:val="ListBullet"/>
        <w:rPr>
          <w:rFonts w:ascii="Arial" w:hAnsi="Arial" w:cs="Arial"/>
        </w:rPr>
      </w:pPr>
      <w:r w:rsidRPr="00623ED1">
        <w:rPr>
          <w:rFonts w:ascii="Arial" w:hAnsi="Arial" w:cs="Arial"/>
        </w:rPr>
        <w:t>Agree 1–3 shared strategies (home + setting) and review after 2–6 weeks.</w:t>
      </w:r>
    </w:p>
    <w:p w14:paraId="53443F78" w14:textId="77777777" w:rsidR="006C0204" w:rsidRPr="00623ED1" w:rsidRDefault="008203DB">
      <w:pPr>
        <w:pStyle w:val="ListBullet"/>
        <w:rPr>
          <w:rFonts w:ascii="Arial" w:hAnsi="Arial" w:cs="Arial"/>
        </w:rPr>
      </w:pPr>
      <w:r w:rsidRPr="00623ED1">
        <w:rPr>
          <w:rFonts w:ascii="Arial" w:hAnsi="Arial" w:cs="Arial"/>
        </w:rPr>
        <w:t>Record what was agreed (date, who, what, next review date).</w:t>
      </w:r>
    </w:p>
    <w:p w14:paraId="7C43CC6F" w14:textId="77777777" w:rsidR="006C0204" w:rsidRPr="00623ED1" w:rsidRDefault="008203DB">
      <w:pPr>
        <w:pStyle w:val="Heading1"/>
        <w:rPr>
          <w:rFonts w:ascii="Arial" w:hAnsi="Arial" w:cs="Arial"/>
        </w:rPr>
      </w:pPr>
      <w:r w:rsidRPr="00623ED1">
        <w:rPr>
          <w:rFonts w:ascii="Arial" w:hAnsi="Arial" w:cs="Arial"/>
        </w:rPr>
        <w:t>Working with other professionals</w:t>
      </w:r>
    </w:p>
    <w:p w14:paraId="5006C977" w14:textId="77777777" w:rsidR="006C0204" w:rsidRPr="00623ED1" w:rsidRDefault="008203DB">
      <w:pPr>
        <w:pStyle w:val="ListBullet"/>
        <w:rPr>
          <w:rFonts w:ascii="Arial" w:hAnsi="Arial" w:cs="Arial"/>
        </w:rPr>
      </w:pPr>
      <w:r w:rsidRPr="00623ED1">
        <w:rPr>
          <w:rFonts w:ascii="Arial" w:hAnsi="Arial" w:cs="Arial"/>
        </w:rPr>
        <w:t>Keep a simple ‘who’s involved’ list (names, roles, contact details) and update it.</w:t>
      </w:r>
    </w:p>
    <w:p w14:paraId="2F6BBFE9" w14:textId="77777777" w:rsidR="006C0204" w:rsidRPr="00623ED1" w:rsidRDefault="008203DB">
      <w:pPr>
        <w:pStyle w:val="ListBullet"/>
        <w:rPr>
          <w:rFonts w:ascii="Arial" w:hAnsi="Arial" w:cs="Arial"/>
        </w:rPr>
      </w:pPr>
      <w:r w:rsidRPr="00623ED1">
        <w:rPr>
          <w:rFonts w:ascii="Arial" w:hAnsi="Arial" w:cs="Arial"/>
        </w:rPr>
        <w:t>Use professional reports to guide daily practice (routines, environment, interaction) rather than filing them away.</w:t>
      </w:r>
    </w:p>
    <w:p w14:paraId="53AE13C7" w14:textId="038A4415" w:rsidR="006C0204" w:rsidRDefault="008203DB">
      <w:pPr>
        <w:pStyle w:val="ListBullet"/>
        <w:rPr>
          <w:rFonts w:ascii="Arial" w:hAnsi="Arial" w:cs="Arial"/>
        </w:rPr>
      </w:pPr>
      <w:r w:rsidRPr="00623ED1">
        <w:rPr>
          <w:rFonts w:ascii="Arial" w:hAnsi="Arial" w:cs="Arial"/>
        </w:rPr>
        <w:t xml:space="preserve">Use your Area SENCO/EYST for </w:t>
      </w:r>
      <w:r w:rsidR="00793F19">
        <w:rPr>
          <w:rFonts w:ascii="Arial" w:hAnsi="Arial" w:cs="Arial"/>
        </w:rPr>
        <w:t>advice and support</w:t>
      </w:r>
      <w:r w:rsidRPr="00623ED1">
        <w:rPr>
          <w:rFonts w:ascii="Arial" w:hAnsi="Arial" w:cs="Arial"/>
        </w:rPr>
        <w:t>—especially when you’re unsure what to try next.</w:t>
      </w:r>
    </w:p>
    <w:p w14:paraId="56513E43" w14:textId="77777777" w:rsidR="00AF5632" w:rsidRDefault="00AF5632" w:rsidP="00AF5632">
      <w:pPr>
        <w:pStyle w:val="ListBullet"/>
        <w:numPr>
          <w:ilvl w:val="0"/>
          <w:numId w:val="0"/>
        </w:numPr>
        <w:ind w:left="360" w:hanging="360"/>
        <w:rPr>
          <w:rFonts w:ascii="Arial" w:hAnsi="Arial" w:cs="Arial"/>
        </w:rPr>
      </w:pPr>
    </w:p>
    <w:p w14:paraId="0AEFF01B" w14:textId="607BC615" w:rsidR="00AF5632" w:rsidRPr="00623ED1" w:rsidRDefault="00AF5632" w:rsidP="00AF5632">
      <w:pPr>
        <w:pStyle w:val="Heading1"/>
        <w:rPr>
          <w:rFonts w:ascii="Arial" w:hAnsi="Arial" w:cs="Arial"/>
        </w:rPr>
      </w:pPr>
      <w:r w:rsidRPr="00623ED1">
        <w:rPr>
          <w:rFonts w:ascii="Arial" w:hAnsi="Arial" w:cs="Arial"/>
        </w:rPr>
        <w:t>What helps most in</w:t>
      </w:r>
      <w:r w:rsidR="00154E18">
        <w:rPr>
          <w:rFonts w:ascii="Arial" w:hAnsi="Arial" w:cs="Arial"/>
        </w:rPr>
        <w:t xml:space="preserve"> early years</w:t>
      </w:r>
      <w:r w:rsidRPr="00623ED1">
        <w:rPr>
          <w:rFonts w:ascii="Arial" w:hAnsi="Arial" w:cs="Arial"/>
        </w:rPr>
        <w:t xml:space="preserve"> settings</w:t>
      </w:r>
    </w:p>
    <w:p w14:paraId="31DAFB46" w14:textId="77777777" w:rsidR="00AF5632" w:rsidRPr="00623ED1" w:rsidRDefault="00AF5632" w:rsidP="00AF5632">
      <w:pPr>
        <w:pStyle w:val="ListBullet"/>
        <w:rPr>
          <w:rFonts w:ascii="Arial" w:hAnsi="Arial" w:cs="Arial"/>
        </w:rPr>
      </w:pPr>
      <w:r w:rsidRPr="00623ED1">
        <w:rPr>
          <w:rFonts w:ascii="Arial" w:hAnsi="Arial" w:cs="Arial"/>
        </w:rPr>
        <w:t>Knowing the child well and noticing patterns over time.</w:t>
      </w:r>
    </w:p>
    <w:p w14:paraId="38E68080" w14:textId="77777777" w:rsidR="00AF5632" w:rsidRPr="00623ED1" w:rsidRDefault="00AF5632" w:rsidP="00AF5632">
      <w:pPr>
        <w:pStyle w:val="ListBullet"/>
        <w:rPr>
          <w:rFonts w:ascii="Arial" w:hAnsi="Arial" w:cs="Arial"/>
        </w:rPr>
      </w:pPr>
      <w:r w:rsidRPr="00623ED1">
        <w:rPr>
          <w:rFonts w:ascii="Arial" w:hAnsi="Arial" w:cs="Arial"/>
        </w:rPr>
        <w:t>Small, consistent adjustments (environment, routines, interaction).</w:t>
      </w:r>
    </w:p>
    <w:p w14:paraId="7DDC80B1" w14:textId="77777777" w:rsidR="00AF5632" w:rsidRPr="00623ED1" w:rsidRDefault="00AF5632" w:rsidP="00AF5632">
      <w:pPr>
        <w:pStyle w:val="ListBullet"/>
        <w:rPr>
          <w:rFonts w:ascii="Arial" w:hAnsi="Arial" w:cs="Arial"/>
        </w:rPr>
      </w:pPr>
      <w:r w:rsidRPr="00623ED1">
        <w:rPr>
          <w:rFonts w:ascii="Arial" w:hAnsi="Arial" w:cs="Arial"/>
        </w:rPr>
        <w:t>Strong key</w:t>
      </w:r>
      <w:r w:rsidRPr="00623ED1">
        <w:rPr>
          <w:rFonts w:ascii="Cambria Math" w:hAnsi="Cambria Math" w:cs="Cambria Math"/>
        </w:rPr>
        <w:t>‑</w:t>
      </w:r>
      <w:r w:rsidRPr="00623ED1">
        <w:rPr>
          <w:rFonts w:ascii="Arial" w:hAnsi="Arial" w:cs="Arial"/>
        </w:rPr>
        <w:t>person relationships and co</w:t>
      </w:r>
      <w:r w:rsidRPr="00623ED1">
        <w:rPr>
          <w:rFonts w:ascii="Cambria Math" w:hAnsi="Cambria Math" w:cs="Cambria Math"/>
        </w:rPr>
        <w:t>‑</w:t>
      </w:r>
      <w:r w:rsidRPr="00623ED1">
        <w:rPr>
          <w:rFonts w:ascii="Arial" w:hAnsi="Arial" w:cs="Arial"/>
        </w:rPr>
        <w:t>regulation.</w:t>
      </w:r>
    </w:p>
    <w:p w14:paraId="0F421079" w14:textId="77777777" w:rsidR="00AF5632" w:rsidRPr="00623ED1" w:rsidRDefault="00AF5632" w:rsidP="00AF5632">
      <w:pPr>
        <w:pStyle w:val="ListBullet"/>
        <w:rPr>
          <w:rFonts w:ascii="Arial" w:hAnsi="Arial" w:cs="Arial"/>
        </w:rPr>
      </w:pPr>
      <w:r w:rsidRPr="00623ED1">
        <w:rPr>
          <w:rFonts w:ascii="Arial" w:hAnsi="Arial" w:cs="Arial"/>
        </w:rPr>
        <w:t xml:space="preserve">Flexible expectations and realistic ‘next </w:t>
      </w:r>
      <w:proofErr w:type="gramStart"/>
      <w:r w:rsidRPr="00623ED1">
        <w:rPr>
          <w:rFonts w:ascii="Arial" w:hAnsi="Arial" w:cs="Arial"/>
        </w:rPr>
        <w:t>steps’</w:t>
      </w:r>
      <w:proofErr w:type="gramEnd"/>
      <w:r w:rsidRPr="00623ED1">
        <w:rPr>
          <w:rFonts w:ascii="Arial" w:hAnsi="Arial" w:cs="Arial"/>
        </w:rPr>
        <w:t>.</w:t>
      </w:r>
    </w:p>
    <w:p w14:paraId="747EA355" w14:textId="77777777" w:rsidR="00AF5632" w:rsidRPr="00623ED1" w:rsidRDefault="00AF5632" w:rsidP="00AF5632">
      <w:pPr>
        <w:pStyle w:val="ListBullet"/>
        <w:rPr>
          <w:rFonts w:ascii="Arial" w:hAnsi="Arial" w:cs="Arial"/>
        </w:rPr>
      </w:pPr>
      <w:r w:rsidRPr="00623ED1">
        <w:rPr>
          <w:rFonts w:ascii="Arial" w:hAnsi="Arial" w:cs="Arial"/>
        </w:rPr>
        <w:t>Working with parents/carers as partners and reviewing regularly.</w:t>
      </w:r>
    </w:p>
    <w:p w14:paraId="5B81503C" w14:textId="77777777" w:rsidR="00AF5632" w:rsidRPr="00623ED1" w:rsidRDefault="00AF5632" w:rsidP="00AF5632">
      <w:pPr>
        <w:pStyle w:val="ListBullet"/>
        <w:numPr>
          <w:ilvl w:val="0"/>
          <w:numId w:val="0"/>
        </w:numPr>
        <w:ind w:left="360" w:hanging="360"/>
        <w:rPr>
          <w:rFonts w:ascii="Arial" w:hAnsi="Arial" w:cs="Arial"/>
        </w:rPr>
      </w:pPr>
    </w:p>
    <w:p w14:paraId="38FF813B" w14:textId="77777777" w:rsidR="00AF5632" w:rsidRDefault="00AF5632">
      <w:pPr>
        <w:rPr>
          <w:rFonts w:ascii="Arial" w:eastAsiaTheme="majorEastAsia" w:hAnsi="Arial" w:cs="Arial"/>
          <w:b/>
          <w:bCs/>
          <w:color w:val="3E762A" w:themeColor="accent1" w:themeShade="BF"/>
          <w:sz w:val="28"/>
          <w:szCs w:val="28"/>
        </w:rPr>
      </w:pPr>
      <w:r>
        <w:rPr>
          <w:rFonts w:ascii="Arial" w:hAnsi="Arial" w:cs="Arial"/>
        </w:rPr>
        <w:br w:type="page"/>
      </w:r>
    </w:p>
    <w:p w14:paraId="583993BB" w14:textId="60124C21" w:rsidR="006C0204" w:rsidRPr="00623ED1" w:rsidRDefault="008203DB">
      <w:pPr>
        <w:pStyle w:val="Heading1"/>
        <w:rPr>
          <w:rFonts w:ascii="Arial" w:hAnsi="Arial" w:cs="Arial"/>
        </w:rPr>
      </w:pPr>
      <w:r w:rsidRPr="00623ED1">
        <w:rPr>
          <w:rFonts w:ascii="Arial" w:hAnsi="Arial" w:cs="Arial"/>
        </w:rPr>
        <w:lastRenderedPageBreak/>
        <w:t>Safeguarding: if you are worried about a child</w:t>
      </w:r>
    </w:p>
    <w:p w14:paraId="33E54FFD" w14:textId="77777777" w:rsidR="006C0204" w:rsidRDefault="008203DB">
      <w:pPr>
        <w:rPr>
          <w:rFonts w:ascii="Arial" w:hAnsi="Arial" w:cs="Arial"/>
        </w:rPr>
      </w:pPr>
      <w:r w:rsidRPr="00623ED1">
        <w:rPr>
          <w:rFonts w:ascii="Arial" w:hAnsi="Arial" w:cs="Arial"/>
        </w:rPr>
        <w:t>If you have a concern about a child’s safety or wellbeing, follow your setting safeguarding procedures immediately. If the concern meets safeguarding thresholds, contact MASH or the child’s allocated social worker.</w:t>
      </w:r>
    </w:p>
    <w:p w14:paraId="47B08FFF" w14:textId="038F8E83" w:rsidR="00E36903" w:rsidRDefault="00E36903">
      <w:pPr>
        <w:rPr>
          <w:rFonts w:ascii="Arial" w:hAnsi="Arial" w:cs="Arial"/>
        </w:rPr>
      </w:pPr>
      <w:hyperlink r:id="rId15" w:history="1">
        <w:r w:rsidRPr="00E36903">
          <w:rPr>
            <w:rStyle w:val="Hyperlink"/>
            <w:rFonts w:ascii="Arial" w:hAnsi="Arial" w:cs="Arial"/>
          </w:rPr>
          <w:t>Nottinghamshire Safeguarding Children Partnership</w:t>
        </w:r>
      </w:hyperlink>
    </w:p>
    <w:p w14:paraId="3EB078A0" w14:textId="50722E53" w:rsidR="00804D2A" w:rsidRDefault="00EC1C2B">
      <w:pPr>
        <w:rPr>
          <w:rFonts w:ascii="Arial" w:hAnsi="Arial" w:cs="Arial"/>
        </w:rPr>
      </w:pPr>
      <w:r>
        <w:rPr>
          <w:rFonts w:ascii="Arial" w:hAnsi="Arial" w:cs="Arial"/>
        </w:rPr>
        <w:t xml:space="preserve">For information about safeguarding thresholds </w:t>
      </w:r>
      <w:hyperlink r:id="rId16" w:history="1">
        <w:r w:rsidR="00804D2A" w:rsidRPr="00804D2A">
          <w:rPr>
            <w:rStyle w:val="Hyperlink"/>
            <w:rFonts w:ascii="Arial" w:hAnsi="Arial" w:cs="Arial"/>
          </w:rPr>
          <w:t>Pathway to provision | Nottinghamshire County Council</w:t>
        </w:r>
      </w:hyperlink>
    </w:p>
    <w:p w14:paraId="68B007D9" w14:textId="2F560776" w:rsidR="000F43F0" w:rsidRPr="00623ED1" w:rsidRDefault="000F43F0">
      <w:pPr>
        <w:rPr>
          <w:rFonts w:ascii="Arial" w:hAnsi="Arial" w:cs="Arial"/>
        </w:rPr>
      </w:pPr>
      <w:r>
        <w:rPr>
          <w:rFonts w:ascii="Arial" w:hAnsi="Arial" w:cs="Arial"/>
        </w:rPr>
        <w:t xml:space="preserve">Neglect toolkit </w:t>
      </w:r>
      <w:hyperlink r:id="rId17" w:history="1">
        <w:r w:rsidRPr="000F43F0">
          <w:rPr>
            <w:rStyle w:val="Hyperlink"/>
            <w:rFonts w:ascii="Arial" w:hAnsi="Arial" w:cs="Arial"/>
          </w:rPr>
          <w:t>neglect-toolkit.pdf</w:t>
        </w:r>
      </w:hyperlink>
    </w:p>
    <w:p w14:paraId="7F3A7BB1" w14:textId="77777777" w:rsidR="006C0204" w:rsidRPr="00623ED1" w:rsidRDefault="008203DB">
      <w:pPr>
        <w:pStyle w:val="Heading2"/>
        <w:rPr>
          <w:rFonts w:ascii="Arial" w:hAnsi="Arial" w:cs="Arial"/>
        </w:rPr>
      </w:pPr>
      <w:r w:rsidRPr="00623ED1">
        <w:rPr>
          <w:rFonts w:ascii="Arial" w:hAnsi="Arial" w:cs="Arial"/>
        </w:rPr>
        <w:t>Nottinghamshire MASH (children)</w:t>
      </w:r>
    </w:p>
    <w:p w14:paraId="01A82CE4" w14:textId="77777777" w:rsidR="006C0204" w:rsidRPr="00623ED1" w:rsidRDefault="008203DB">
      <w:pPr>
        <w:pStyle w:val="ListBullet"/>
        <w:rPr>
          <w:rFonts w:ascii="Arial" w:hAnsi="Arial" w:cs="Arial"/>
        </w:rPr>
      </w:pPr>
      <w:r w:rsidRPr="00623ED1">
        <w:rPr>
          <w:rFonts w:ascii="Arial" w:hAnsi="Arial" w:cs="Arial"/>
        </w:rPr>
        <w:t>Telephone: 0300 500 80 90</w:t>
      </w:r>
    </w:p>
    <w:p w14:paraId="2BCED669" w14:textId="77777777" w:rsidR="006C0204" w:rsidRPr="00623ED1" w:rsidRDefault="008203DB">
      <w:pPr>
        <w:pStyle w:val="ListBullet"/>
        <w:rPr>
          <w:rFonts w:ascii="Arial" w:hAnsi="Arial" w:cs="Arial"/>
        </w:rPr>
      </w:pPr>
      <w:r w:rsidRPr="00623ED1">
        <w:rPr>
          <w:rFonts w:ascii="Arial" w:hAnsi="Arial" w:cs="Arial"/>
        </w:rPr>
        <w:t>Email: mash.safeguarding@secure.nottscc.gov.uk</w:t>
      </w:r>
    </w:p>
    <w:p w14:paraId="39043ABC" w14:textId="766EE23A" w:rsidR="006C0204" w:rsidRDefault="008203DB">
      <w:pPr>
        <w:pStyle w:val="ListBullet"/>
        <w:rPr>
          <w:rFonts w:ascii="Arial" w:hAnsi="Arial" w:cs="Arial"/>
        </w:rPr>
      </w:pPr>
      <w:r w:rsidRPr="00623ED1">
        <w:rPr>
          <w:rFonts w:ascii="Arial" w:hAnsi="Arial" w:cs="Arial"/>
        </w:rPr>
        <w:t xml:space="preserve">Online form: concerned about a child – </w:t>
      </w:r>
      <w:hyperlink r:id="rId18" w:history="1">
        <w:r w:rsidR="007322DB" w:rsidRPr="007322DB">
          <w:rPr>
            <w:rStyle w:val="Hyperlink"/>
            <w:rFonts w:ascii="Arial" w:hAnsi="Arial" w:cs="Arial"/>
          </w:rPr>
          <w:t>Report a new concern about a child | Nottinghamshire County Council</w:t>
        </w:r>
      </w:hyperlink>
    </w:p>
    <w:p w14:paraId="724E134D" w14:textId="77777777" w:rsidR="006C0204" w:rsidRPr="00623ED1" w:rsidRDefault="008203DB">
      <w:pPr>
        <w:pStyle w:val="ListBullet"/>
        <w:rPr>
          <w:rFonts w:ascii="Arial" w:hAnsi="Arial" w:cs="Arial"/>
        </w:rPr>
      </w:pPr>
      <w:r w:rsidRPr="00623ED1">
        <w:rPr>
          <w:rFonts w:ascii="Arial" w:hAnsi="Arial" w:cs="Arial"/>
        </w:rPr>
        <w:t>MASH consultation line for queries: 0115 977 4247</w:t>
      </w:r>
    </w:p>
    <w:p w14:paraId="384760C4" w14:textId="2B2B1975" w:rsidR="006C0204" w:rsidRPr="00623ED1" w:rsidRDefault="008203DB">
      <w:pPr>
        <w:pStyle w:val="ListBullet"/>
        <w:rPr>
          <w:rFonts w:ascii="Arial" w:hAnsi="Arial" w:cs="Arial"/>
        </w:rPr>
      </w:pPr>
      <w:r w:rsidRPr="00623ED1">
        <w:rPr>
          <w:rFonts w:ascii="Arial" w:hAnsi="Arial" w:cs="Arial"/>
        </w:rPr>
        <w:t>S</w:t>
      </w:r>
      <w:r w:rsidR="00477252">
        <w:rPr>
          <w:rFonts w:ascii="Arial" w:hAnsi="Arial" w:cs="Arial"/>
        </w:rPr>
        <w:t xml:space="preserve">afeguarding </w:t>
      </w:r>
      <w:r w:rsidRPr="00623ED1">
        <w:rPr>
          <w:rFonts w:ascii="Arial" w:hAnsi="Arial" w:cs="Arial"/>
        </w:rPr>
        <w:t>C</w:t>
      </w:r>
      <w:r w:rsidR="00477252">
        <w:rPr>
          <w:rFonts w:ascii="Arial" w:hAnsi="Arial" w:cs="Arial"/>
        </w:rPr>
        <w:t xml:space="preserve">hildren </w:t>
      </w:r>
      <w:r w:rsidRPr="00623ED1">
        <w:rPr>
          <w:rFonts w:ascii="Arial" w:hAnsi="Arial" w:cs="Arial"/>
        </w:rPr>
        <w:t>I</w:t>
      </w:r>
      <w:r w:rsidR="00477252">
        <w:rPr>
          <w:rFonts w:ascii="Arial" w:hAnsi="Arial" w:cs="Arial"/>
        </w:rPr>
        <w:t xml:space="preserve">nformation </w:t>
      </w:r>
      <w:r w:rsidRPr="00623ED1">
        <w:rPr>
          <w:rFonts w:ascii="Arial" w:hAnsi="Arial" w:cs="Arial"/>
        </w:rPr>
        <w:t>M</w:t>
      </w:r>
      <w:r w:rsidR="00477252">
        <w:rPr>
          <w:rFonts w:ascii="Arial" w:hAnsi="Arial" w:cs="Arial"/>
        </w:rPr>
        <w:t xml:space="preserve">anagement </w:t>
      </w:r>
      <w:r w:rsidRPr="00623ED1">
        <w:rPr>
          <w:rFonts w:ascii="Arial" w:hAnsi="Arial" w:cs="Arial"/>
        </w:rPr>
        <w:t>T</w:t>
      </w:r>
      <w:r w:rsidR="00477252">
        <w:rPr>
          <w:rFonts w:ascii="Arial" w:hAnsi="Arial" w:cs="Arial"/>
        </w:rPr>
        <w:t>eam (SCIMT)</w:t>
      </w:r>
      <w:r w:rsidRPr="00623ED1">
        <w:rPr>
          <w:rFonts w:ascii="Arial" w:hAnsi="Arial" w:cs="Arial"/>
        </w:rPr>
        <w:t>: 0115 804 1274</w:t>
      </w:r>
    </w:p>
    <w:p w14:paraId="25581958" w14:textId="77777777" w:rsidR="006C0204" w:rsidRPr="00623ED1" w:rsidRDefault="008203DB">
      <w:pPr>
        <w:pStyle w:val="Heading2"/>
        <w:rPr>
          <w:rFonts w:ascii="Arial" w:hAnsi="Arial" w:cs="Arial"/>
        </w:rPr>
      </w:pPr>
      <w:r w:rsidRPr="00623ED1">
        <w:rPr>
          <w:rFonts w:ascii="Arial" w:hAnsi="Arial" w:cs="Arial"/>
        </w:rPr>
        <w:t>Emergency Duty Team (out of hours)</w:t>
      </w:r>
    </w:p>
    <w:p w14:paraId="3FD10C27" w14:textId="77777777" w:rsidR="006C0204" w:rsidRPr="00623ED1" w:rsidRDefault="008203DB">
      <w:pPr>
        <w:pStyle w:val="ListBullet"/>
        <w:rPr>
          <w:rFonts w:ascii="Arial" w:hAnsi="Arial" w:cs="Arial"/>
        </w:rPr>
      </w:pPr>
      <w:r w:rsidRPr="00623ED1">
        <w:rPr>
          <w:rFonts w:ascii="Arial" w:hAnsi="Arial" w:cs="Arial"/>
        </w:rPr>
        <w:t>Telephone: 0300 456 4546</w:t>
      </w:r>
    </w:p>
    <w:p w14:paraId="51CBFD13" w14:textId="77777777" w:rsidR="006C0204" w:rsidRPr="00623ED1" w:rsidRDefault="008203DB">
      <w:pPr>
        <w:pStyle w:val="ListBullet"/>
        <w:rPr>
          <w:rFonts w:ascii="Arial" w:hAnsi="Arial" w:cs="Arial"/>
        </w:rPr>
      </w:pPr>
      <w:r w:rsidRPr="00623ED1">
        <w:rPr>
          <w:rFonts w:ascii="Arial" w:hAnsi="Arial" w:cs="Arial"/>
        </w:rPr>
        <w:t>If someone is in immediate danger call 999</w:t>
      </w:r>
    </w:p>
    <w:p w14:paraId="771B90DD" w14:textId="77777777" w:rsidR="00AF5632" w:rsidRDefault="00AF5632">
      <w:pPr>
        <w:rPr>
          <w:rFonts w:ascii="Arial" w:eastAsiaTheme="majorEastAsia" w:hAnsi="Arial" w:cs="Arial"/>
          <w:b/>
          <w:bCs/>
          <w:color w:val="3E762A" w:themeColor="accent1" w:themeShade="BF"/>
          <w:sz w:val="28"/>
          <w:szCs w:val="28"/>
        </w:rPr>
      </w:pPr>
      <w:r>
        <w:rPr>
          <w:rFonts w:ascii="Arial" w:hAnsi="Arial" w:cs="Arial"/>
        </w:rPr>
        <w:br w:type="page"/>
      </w:r>
    </w:p>
    <w:p w14:paraId="19B891A1" w14:textId="5E12177A" w:rsidR="006C0204" w:rsidRPr="00623ED1" w:rsidRDefault="008203DB">
      <w:pPr>
        <w:pStyle w:val="Heading1"/>
        <w:rPr>
          <w:rFonts w:ascii="Arial" w:hAnsi="Arial" w:cs="Arial"/>
        </w:rPr>
      </w:pPr>
      <w:r w:rsidRPr="00623ED1">
        <w:rPr>
          <w:rFonts w:ascii="Arial" w:hAnsi="Arial" w:cs="Arial"/>
        </w:rPr>
        <w:lastRenderedPageBreak/>
        <w:t>Appendix</w:t>
      </w:r>
      <w:r w:rsidR="00AF5632">
        <w:rPr>
          <w:rFonts w:ascii="Arial" w:hAnsi="Arial" w:cs="Arial"/>
        </w:rPr>
        <w:t xml:space="preserve"> 1</w:t>
      </w:r>
      <w:r w:rsidRPr="00623ED1">
        <w:rPr>
          <w:rFonts w:ascii="Arial" w:hAnsi="Arial" w:cs="Arial"/>
        </w:rPr>
        <w:t>: Local sources of support (Nottinghamshire)</w:t>
      </w:r>
    </w:p>
    <w:p w14:paraId="58B78B27" w14:textId="77777777" w:rsidR="006C0204" w:rsidRPr="00623ED1" w:rsidRDefault="008203DB">
      <w:pPr>
        <w:pStyle w:val="Heading2"/>
        <w:rPr>
          <w:rFonts w:ascii="Arial" w:hAnsi="Arial" w:cs="Arial"/>
        </w:rPr>
      </w:pPr>
      <w:r w:rsidRPr="00623ED1">
        <w:rPr>
          <w:rFonts w:ascii="Arial" w:hAnsi="Arial" w:cs="Arial"/>
        </w:rPr>
        <w:t>Area SENCO / Early Years Specialist Teacher (EYST)</w:t>
      </w:r>
    </w:p>
    <w:p w14:paraId="146243D1" w14:textId="77777777" w:rsidR="006C0204" w:rsidRPr="00623ED1" w:rsidRDefault="008203DB">
      <w:pPr>
        <w:pStyle w:val="ListBullet"/>
        <w:rPr>
          <w:rFonts w:ascii="Arial" w:hAnsi="Arial" w:cs="Arial"/>
        </w:rPr>
      </w:pPr>
      <w:r w:rsidRPr="00623ED1">
        <w:rPr>
          <w:rFonts w:ascii="Arial" w:hAnsi="Arial" w:cs="Arial"/>
        </w:rPr>
        <w:t>Advice and practical support for setting SENCOs/SEND leads.</w:t>
      </w:r>
    </w:p>
    <w:p w14:paraId="18D06AF1" w14:textId="77777777" w:rsidR="006C0204" w:rsidRPr="00623ED1" w:rsidRDefault="008203DB">
      <w:pPr>
        <w:pStyle w:val="ListBullet"/>
        <w:rPr>
          <w:rFonts w:ascii="Arial" w:hAnsi="Arial" w:cs="Arial"/>
        </w:rPr>
      </w:pPr>
      <w:r w:rsidRPr="00623ED1">
        <w:rPr>
          <w:rFonts w:ascii="Arial" w:hAnsi="Arial" w:cs="Arial"/>
        </w:rPr>
        <w:t>Support with identification, inclusive strategies and the graduated approach.</w:t>
      </w:r>
    </w:p>
    <w:p w14:paraId="0EA35401" w14:textId="77777777" w:rsidR="006C0204" w:rsidRPr="00623ED1" w:rsidRDefault="008203DB">
      <w:pPr>
        <w:pStyle w:val="ListBullet"/>
        <w:rPr>
          <w:rFonts w:ascii="Arial" w:hAnsi="Arial" w:cs="Arial"/>
        </w:rPr>
      </w:pPr>
      <w:r w:rsidRPr="00623ED1">
        <w:rPr>
          <w:rFonts w:ascii="Arial" w:hAnsi="Arial" w:cs="Arial"/>
        </w:rPr>
        <w:t>Advice about referrals to specialist services and Early Years Inclusion Funding (where applicable).</w:t>
      </w:r>
    </w:p>
    <w:p w14:paraId="2ADA6389" w14:textId="77777777" w:rsidR="006C0204" w:rsidRDefault="008203DB">
      <w:pPr>
        <w:pStyle w:val="ListBullet"/>
        <w:rPr>
          <w:rFonts w:ascii="Arial" w:hAnsi="Arial" w:cs="Arial"/>
        </w:rPr>
      </w:pPr>
      <w:r w:rsidRPr="00623ED1">
        <w:rPr>
          <w:rFonts w:ascii="Arial" w:hAnsi="Arial" w:cs="Arial"/>
        </w:rPr>
        <w:t>Early Childhood Services: earlychildhoodservices@nottscc.gov.uk • 0115 977 2510</w:t>
      </w:r>
    </w:p>
    <w:p w14:paraId="5A65EA2E" w14:textId="27E917A0" w:rsidR="00055CCD" w:rsidRDefault="00055CCD">
      <w:pPr>
        <w:pStyle w:val="ListBullet"/>
        <w:rPr>
          <w:rFonts w:ascii="Arial" w:hAnsi="Arial" w:cs="Arial"/>
        </w:rPr>
      </w:pPr>
      <w:hyperlink r:id="rId19" w:history="1">
        <w:r w:rsidRPr="00055CCD">
          <w:rPr>
            <w:rStyle w:val="Hyperlink"/>
            <w:rFonts w:ascii="Arial" w:hAnsi="Arial" w:cs="Arial"/>
          </w:rPr>
          <w:t>Free Early Years Place Providers | Nottinghamshire County Council</w:t>
        </w:r>
      </w:hyperlink>
    </w:p>
    <w:p w14:paraId="4DF68BBF" w14:textId="4101A414" w:rsidR="00C21A3A" w:rsidRPr="00623ED1" w:rsidRDefault="00C21A3A">
      <w:pPr>
        <w:pStyle w:val="ListBullet"/>
        <w:rPr>
          <w:rFonts w:ascii="Arial" w:hAnsi="Arial" w:cs="Arial"/>
        </w:rPr>
      </w:pPr>
      <w:hyperlink r:id="rId20" w:history="1">
        <w:r w:rsidRPr="00C21A3A">
          <w:rPr>
            <w:rStyle w:val="Hyperlink"/>
            <w:rFonts w:ascii="Arial" w:hAnsi="Arial" w:cs="Arial"/>
          </w:rPr>
          <w:t>Early years education and childcare training | Nottinghamshire County Council</w:t>
        </w:r>
      </w:hyperlink>
    </w:p>
    <w:p w14:paraId="172948F4" w14:textId="6AFEE475" w:rsidR="006C0204" w:rsidRPr="00623ED1" w:rsidRDefault="00E06ECB">
      <w:pPr>
        <w:pStyle w:val="Heading2"/>
        <w:rPr>
          <w:rFonts w:ascii="Arial" w:hAnsi="Arial" w:cs="Arial"/>
        </w:rPr>
      </w:pPr>
      <w:r>
        <w:rPr>
          <w:rFonts w:ascii="Arial" w:hAnsi="Arial" w:cs="Arial"/>
        </w:rPr>
        <w:t>Your Notts Directory</w:t>
      </w:r>
      <w:r w:rsidRPr="00623ED1">
        <w:rPr>
          <w:rFonts w:ascii="Arial" w:hAnsi="Arial" w:cs="Arial"/>
        </w:rPr>
        <w:t xml:space="preserve"> (SEND Local Offer and community support)</w:t>
      </w:r>
    </w:p>
    <w:p w14:paraId="066D45C4" w14:textId="1129559D" w:rsidR="0015441F" w:rsidRPr="00E06ECB" w:rsidRDefault="0092720B" w:rsidP="00E06ECB">
      <w:pPr>
        <w:pStyle w:val="ListBullet"/>
        <w:rPr>
          <w:rFonts w:ascii="Arial" w:hAnsi="Arial" w:cs="Arial"/>
        </w:rPr>
      </w:pPr>
      <w:hyperlink r:id="rId21" w:history="1">
        <w:r>
          <w:rPr>
            <w:rStyle w:val="Hyperlink"/>
            <w:rFonts w:ascii="Arial" w:hAnsi="Arial" w:cs="Arial"/>
          </w:rPr>
          <w:t>Your Notts Directory</w:t>
        </w:r>
      </w:hyperlink>
    </w:p>
    <w:p w14:paraId="2C9DD836" w14:textId="77777777" w:rsidR="006C0204" w:rsidRPr="00623ED1" w:rsidRDefault="008203DB">
      <w:pPr>
        <w:pStyle w:val="ListBullet"/>
        <w:rPr>
          <w:rFonts w:ascii="Arial" w:hAnsi="Arial" w:cs="Arial"/>
        </w:rPr>
      </w:pPr>
      <w:r w:rsidRPr="00623ED1">
        <w:rPr>
          <w:rFonts w:ascii="Arial" w:hAnsi="Arial" w:cs="Arial"/>
        </w:rPr>
        <w:t>Telephone: 0300 500 80 80 • Email: enquiries@nottscc.gov.uk</w:t>
      </w:r>
    </w:p>
    <w:p w14:paraId="3E7C5C45" w14:textId="1AD3D721" w:rsidR="006C0204" w:rsidRPr="00623ED1" w:rsidRDefault="003E5399">
      <w:pPr>
        <w:pStyle w:val="Heading2"/>
        <w:rPr>
          <w:rFonts w:ascii="Arial" w:hAnsi="Arial" w:cs="Arial"/>
        </w:rPr>
      </w:pPr>
      <w:r>
        <w:rPr>
          <w:rFonts w:ascii="Arial" w:hAnsi="Arial" w:cs="Arial"/>
        </w:rPr>
        <w:t>Family Hub</w:t>
      </w:r>
      <w:r w:rsidRPr="00623ED1">
        <w:rPr>
          <w:rFonts w:ascii="Arial" w:hAnsi="Arial" w:cs="Arial"/>
        </w:rPr>
        <w:t xml:space="preserve"> Services</w:t>
      </w:r>
    </w:p>
    <w:p w14:paraId="14859086" w14:textId="3236A511" w:rsidR="00331E43" w:rsidRPr="00331E43" w:rsidRDefault="00331E43" w:rsidP="00331E43">
      <w:pPr>
        <w:pStyle w:val="ListBullet"/>
        <w:rPr>
          <w:rFonts w:ascii="Arial" w:hAnsi="Arial" w:cs="Arial"/>
        </w:rPr>
      </w:pPr>
      <w:hyperlink r:id="rId22" w:history="1">
        <w:r w:rsidRPr="00331E43">
          <w:rPr>
            <w:rStyle w:val="Hyperlink"/>
            <w:rFonts w:ascii="Arial" w:hAnsi="Arial" w:cs="Arial"/>
          </w:rPr>
          <w:t>Family Hub Networks | Nottinghamshire County Council</w:t>
        </w:r>
      </w:hyperlink>
    </w:p>
    <w:p w14:paraId="6640EDFA" w14:textId="77777777" w:rsidR="006C0204" w:rsidRPr="00623ED1" w:rsidRDefault="008203DB">
      <w:pPr>
        <w:pStyle w:val="Heading2"/>
        <w:rPr>
          <w:rFonts w:ascii="Arial" w:hAnsi="Arial" w:cs="Arial"/>
        </w:rPr>
      </w:pPr>
      <w:r w:rsidRPr="00623ED1">
        <w:rPr>
          <w:rFonts w:ascii="Arial" w:hAnsi="Arial" w:cs="Arial"/>
        </w:rPr>
        <w:t>Healthy Family Teams</w:t>
      </w:r>
    </w:p>
    <w:p w14:paraId="63F68F32" w14:textId="77777777" w:rsidR="006C0204" w:rsidRPr="00623ED1" w:rsidRDefault="008203DB">
      <w:pPr>
        <w:pStyle w:val="ListBullet"/>
        <w:rPr>
          <w:rFonts w:ascii="Arial" w:hAnsi="Arial" w:cs="Arial"/>
        </w:rPr>
      </w:pPr>
      <w:r w:rsidRPr="00623ED1">
        <w:rPr>
          <w:rFonts w:ascii="Arial" w:hAnsi="Arial" w:cs="Arial"/>
        </w:rPr>
        <w:t>Advice line: 0300 123 5436</w:t>
      </w:r>
    </w:p>
    <w:p w14:paraId="04E06947" w14:textId="77777777" w:rsidR="006C0204" w:rsidRPr="00623ED1" w:rsidRDefault="008203DB">
      <w:pPr>
        <w:pStyle w:val="Heading2"/>
        <w:rPr>
          <w:rFonts w:ascii="Arial" w:hAnsi="Arial" w:cs="Arial"/>
        </w:rPr>
      </w:pPr>
      <w:r w:rsidRPr="00623ED1">
        <w:rPr>
          <w:rFonts w:ascii="Arial" w:hAnsi="Arial" w:cs="Arial"/>
        </w:rPr>
        <w:t>Speech and Language Therapy (Nottinghamshire Healthcare NHS Foundation Trust)</w:t>
      </w:r>
    </w:p>
    <w:p w14:paraId="303382CA" w14:textId="77777777" w:rsidR="006C0204" w:rsidRPr="00623ED1" w:rsidRDefault="008203DB">
      <w:pPr>
        <w:pStyle w:val="ListBullet"/>
        <w:rPr>
          <w:rFonts w:ascii="Arial" w:hAnsi="Arial" w:cs="Arial"/>
        </w:rPr>
      </w:pPr>
      <w:r w:rsidRPr="00623ED1">
        <w:rPr>
          <w:rFonts w:ascii="Arial" w:hAnsi="Arial" w:cs="Arial"/>
        </w:rPr>
        <w:t>SPA: 0300 123 3387</w:t>
      </w:r>
    </w:p>
    <w:p w14:paraId="6AA7DC0A" w14:textId="77777777" w:rsidR="00D56407" w:rsidRPr="002525A9" w:rsidRDefault="00D56407" w:rsidP="003364F6">
      <w:pPr>
        <w:pStyle w:val="ListBullet"/>
        <w:rPr>
          <w:rFonts w:ascii="Arial" w:hAnsi="Arial" w:cs="Arial"/>
        </w:rPr>
      </w:pPr>
      <w:hyperlink r:id="rId23" w:history="1">
        <w:r w:rsidRPr="00D56407">
          <w:rPr>
            <w:rStyle w:val="Hyperlink"/>
            <w:rFonts w:ascii="Arial" w:hAnsi="Arial" w:cs="Arial"/>
          </w:rPr>
          <w:t>Children's Speech and Language Therapy | Nottinghamshire Healthcare NHS Foundation Trust</w:t>
        </w:r>
      </w:hyperlink>
    </w:p>
    <w:p w14:paraId="5CFDEE6E" w14:textId="1D215834" w:rsidR="002525A9" w:rsidRPr="002525A9" w:rsidRDefault="002525A9" w:rsidP="003364F6">
      <w:pPr>
        <w:pStyle w:val="ListBullet"/>
        <w:rPr>
          <w:rFonts w:ascii="Arial" w:hAnsi="Arial" w:cs="Arial"/>
        </w:rPr>
      </w:pPr>
      <w:r w:rsidRPr="002525A9">
        <w:rPr>
          <w:rFonts w:ascii="Arial" w:hAnsi="Arial" w:cs="Arial"/>
        </w:rPr>
        <w:t xml:space="preserve">How to refer: </w:t>
      </w:r>
      <w:hyperlink r:id="rId24" w:history="1">
        <w:r w:rsidRPr="002525A9">
          <w:rPr>
            <w:rStyle w:val="Hyperlink"/>
            <w:rFonts w:ascii="Arial" w:hAnsi="Arial" w:cs="Arial"/>
          </w:rPr>
          <w:t>How to refer | Nottinghamshire Healthcare NHS Foundation Trust</w:t>
        </w:r>
      </w:hyperlink>
    </w:p>
    <w:p w14:paraId="1F8EE0F0" w14:textId="518EB44D" w:rsidR="003364F6" w:rsidRPr="002525A9" w:rsidRDefault="008203DB" w:rsidP="003364F6">
      <w:pPr>
        <w:pStyle w:val="ListBullet"/>
        <w:rPr>
          <w:rFonts w:ascii="Arial" w:hAnsi="Arial" w:cs="Arial"/>
        </w:rPr>
      </w:pPr>
      <w:r w:rsidRPr="00623ED1">
        <w:rPr>
          <w:rFonts w:ascii="Arial" w:hAnsi="Arial" w:cs="Arial"/>
        </w:rPr>
        <w:t xml:space="preserve">Language for Life: </w:t>
      </w:r>
      <w:hyperlink r:id="rId25" w:history="1">
        <w:r w:rsidR="00EA4FE4" w:rsidRPr="00EA4FE4">
          <w:rPr>
            <w:rStyle w:val="Hyperlink"/>
            <w:rFonts w:ascii="Arial" w:hAnsi="Arial" w:cs="Arial"/>
          </w:rPr>
          <w:t>Language for Life | Nottinghamshire Healthcare NHS Foundation Trust</w:t>
        </w:r>
      </w:hyperlink>
    </w:p>
    <w:p w14:paraId="6AF70D8D" w14:textId="4C6C4A82" w:rsidR="002525A9" w:rsidRPr="002525A9" w:rsidRDefault="002525A9" w:rsidP="003364F6">
      <w:pPr>
        <w:pStyle w:val="ListBullet"/>
        <w:rPr>
          <w:rFonts w:ascii="Arial" w:hAnsi="Arial" w:cs="Arial"/>
        </w:rPr>
      </w:pPr>
      <w:r w:rsidRPr="002525A9">
        <w:rPr>
          <w:rFonts w:ascii="Arial" w:hAnsi="Arial" w:cs="Arial"/>
        </w:rPr>
        <w:t xml:space="preserve">Speech and Language Drop in sessions: </w:t>
      </w:r>
      <w:hyperlink r:id="rId26" w:history="1">
        <w:r w:rsidRPr="002525A9">
          <w:rPr>
            <w:rStyle w:val="Hyperlink"/>
            <w:rFonts w:ascii="Arial" w:hAnsi="Arial" w:cs="Arial"/>
          </w:rPr>
          <w:t>Drop in sessions | Nottinghamshire Healthcare NHS Foundation Trust</w:t>
        </w:r>
      </w:hyperlink>
    </w:p>
    <w:p w14:paraId="0FF89EBD" w14:textId="050B21BE" w:rsidR="00545012" w:rsidRDefault="00545012" w:rsidP="00545012">
      <w:pPr>
        <w:pStyle w:val="ListBullet"/>
        <w:numPr>
          <w:ilvl w:val="0"/>
          <w:numId w:val="0"/>
        </w:numPr>
        <w:rPr>
          <w:rFonts w:ascii="Arial" w:hAnsi="Arial" w:cs="Arial"/>
        </w:rPr>
      </w:pPr>
    </w:p>
    <w:p w14:paraId="7381B1CB" w14:textId="77777777" w:rsidR="00D56407" w:rsidRPr="003364F6" w:rsidRDefault="00D56407" w:rsidP="00D56407">
      <w:pPr>
        <w:pStyle w:val="ListBullet"/>
        <w:numPr>
          <w:ilvl w:val="0"/>
          <w:numId w:val="0"/>
        </w:numPr>
        <w:rPr>
          <w:rFonts w:ascii="Arial" w:hAnsi="Arial" w:cs="Arial"/>
        </w:rPr>
      </w:pPr>
    </w:p>
    <w:p w14:paraId="0E68C3E4" w14:textId="1B9B8300" w:rsidR="00623ED1" w:rsidRPr="00623ED1" w:rsidRDefault="00623ED1" w:rsidP="004C2A05">
      <w:pPr>
        <w:pStyle w:val="Heading1"/>
        <w:rPr>
          <w:rFonts w:ascii="Arial" w:hAnsi="Arial" w:cs="Arial"/>
        </w:rPr>
      </w:pPr>
      <w:r w:rsidRPr="00623ED1">
        <w:rPr>
          <w:rFonts w:ascii="Arial" w:hAnsi="Arial" w:cs="Arial"/>
        </w:rPr>
        <w:lastRenderedPageBreak/>
        <w:t>Appendix</w:t>
      </w:r>
      <w:r w:rsidR="00AF5632">
        <w:rPr>
          <w:rFonts w:ascii="Arial" w:hAnsi="Arial" w:cs="Arial"/>
        </w:rPr>
        <w:t xml:space="preserve"> 2</w:t>
      </w:r>
      <w:r w:rsidRPr="00623ED1">
        <w:rPr>
          <w:rFonts w:ascii="Arial" w:hAnsi="Arial" w:cs="Arial"/>
        </w:rPr>
        <w:t>: Links from previous versions</w:t>
      </w:r>
      <w:r w:rsidR="004C2A05">
        <w:rPr>
          <w:rFonts w:ascii="Arial" w:hAnsi="Arial" w:cs="Arial"/>
        </w:rPr>
        <w:t xml:space="preserve"> of this document</w:t>
      </w:r>
      <w:r w:rsidRPr="00623ED1">
        <w:rPr>
          <w:rFonts w:ascii="Arial" w:hAnsi="Arial" w:cs="Arial"/>
        </w:rPr>
        <w:t xml:space="preserve"> (themed for reference)</w:t>
      </w:r>
    </w:p>
    <w:p w14:paraId="642FB201" w14:textId="77777777" w:rsidR="00623ED1" w:rsidRPr="00623ED1" w:rsidRDefault="00623ED1" w:rsidP="00623ED1">
      <w:pPr>
        <w:pStyle w:val="Heading2"/>
        <w:rPr>
          <w:rFonts w:ascii="Arial" w:hAnsi="Arial" w:cs="Arial"/>
        </w:rPr>
      </w:pPr>
      <w:r w:rsidRPr="00623ED1">
        <w:rPr>
          <w:rFonts w:ascii="Arial" w:hAnsi="Arial" w:cs="Arial"/>
        </w:rPr>
        <w:t>Statutory framework and SEND</w:t>
      </w:r>
    </w:p>
    <w:p w14:paraId="5F867C9E" w14:textId="77777777" w:rsidR="003C3BB6" w:rsidRDefault="00623ED1" w:rsidP="00623ED1">
      <w:pPr>
        <w:pStyle w:val="ListBullet"/>
        <w:rPr>
          <w:rFonts w:ascii="Arial" w:hAnsi="Arial" w:cs="Arial"/>
        </w:rPr>
      </w:pPr>
      <w:r w:rsidRPr="003C3BB6">
        <w:rPr>
          <w:rFonts w:ascii="Arial" w:hAnsi="Arial" w:cs="Arial"/>
        </w:rPr>
        <w:t xml:space="preserve">EYFS statutory framework – </w:t>
      </w:r>
      <w:hyperlink r:id="rId27" w:history="1">
        <w:r w:rsidR="003C3BB6" w:rsidRPr="003C3BB6">
          <w:rPr>
            <w:rStyle w:val="Hyperlink"/>
            <w:rFonts w:ascii="Arial" w:hAnsi="Arial" w:cs="Arial"/>
          </w:rPr>
          <w:t>Early years foundation stage (EYFS) statutory framework - GOV.UK</w:t>
        </w:r>
      </w:hyperlink>
    </w:p>
    <w:p w14:paraId="352E92CD" w14:textId="77777777" w:rsidR="003C3BB6" w:rsidRDefault="00623ED1" w:rsidP="00623ED1">
      <w:pPr>
        <w:pStyle w:val="ListBullet"/>
        <w:rPr>
          <w:rFonts w:ascii="Arial" w:hAnsi="Arial" w:cs="Arial"/>
        </w:rPr>
      </w:pPr>
      <w:r w:rsidRPr="003C3BB6">
        <w:rPr>
          <w:rFonts w:ascii="Arial" w:hAnsi="Arial" w:cs="Arial"/>
        </w:rPr>
        <w:t xml:space="preserve">SEND Code of Practice (0–25 years) – </w:t>
      </w:r>
      <w:hyperlink r:id="rId28" w:history="1">
        <w:r w:rsidR="00E93C8A" w:rsidRPr="003C3BB6">
          <w:rPr>
            <w:rStyle w:val="Hyperlink"/>
            <w:rFonts w:ascii="Arial" w:hAnsi="Arial" w:cs="Arial"/>
          </w:rPr>
          <w:t>SEND code of practice: 0 to 25 years - GOV.UK</w:t>
        </w:r>
      </w:hyperlink>
    </w:p>
    <w:p w14:paraId="55B45110" w14:textId="4567AB97" w:rsidR="00B26B0D" w:rsidRPr="003C3BB6" w:rsidRDefault="00D34364" w:rsidP="00623ED1">
      <w:pPr>
        <w:pStyle w:val="ListBullet"/>
        <w:rPr>
          <w:rFonts w:ascii="Arial" w:hAnsi="Arial" w:cs="Arial"/>
        </w:rPr>
      </w:pPr>
      <w:hyperlink r:id="rId29" w:history="1">
        <w:r w:rsidRPr="003C3BB6">
          <w:rPr>
            <w:rStyle w:val="Hyperlink"/>
            <w:rFonts w:ascii="Arial" w:hAnsi="Arial" w:cs="Arial"/>
          </w:rPr>
          <w:t>Area Senco Padlet</w:t>
        </w:r>
      </w:hyperlink>
    </w:p>
    <w:p w14:paraId="16ECED34" w14:textId="77777777" w:rsidR="00623ED1" w:rsidRPr="00623ED1" w:rsidRDefault="00623ED1" w:rsidP="00623ED1">
      <w:pPr>
        <w:pStyle w:val="Heading2"/>
        <w:rPr>
          <w:rFonts w:ascii="Arial" w:hAnsi="Arial" w:cs="Arial"/>
        </w:rPr>
      </w:pPr>
      <w:r w:rsidRPr="00623ED1">
        <w:rPr>
          <w:rFonts w:ascii="Arial" w:hAnsi="Arial" w:cs="Arial"/>
        </w:rPr>
        <w:t>Safeguarding and child protection</w:t>
      </w:r>
    </w:p>
    <w:p w14:paraId="21047D9A" w14:textId="05BF488E" w:rsidR="00D34364" w:rsidRPr="00305249" w:rsidRDefault="00623ED1" w:rsidP="00305249">
      <w:pPr>
        <w:pStyle w:val="ListBullet"/>
        <w:rPr>
          <w:rFonts w:ascii="Arial" w:hAnsi="Arial" w:cs="Arial"/>
        </w:rPr>
      </w:pPr>
      <w:r w:rsidRPr="00623ED1">
        <w:rPr>
          <w:rFonts w:ascii="Arial" w:hAnsi="Arial" w:cs="Arial"/>
        </w:rPr>
        <w:t>Working Together to Safeguard Children –</w:t>
      </w:r>
      <w:r w:rsidR="007368EC" w:rsidRPr="007368EC">
        <w:t xml:space="preserve"> </w:t>
      </w:r>
      <w:hyperlink r:id="rId30" w:history="1">
        <w:r w:rsidR="007368EC" w:rsidRPr="007368EC">
          <w:rPr>
            <w:rStyle w:val="Hyperlink"/>
            <w:rFonts w:ascii="Arial" w:hAnsi="Arial" w:cs="Arial"/>
          </w:rPr>
          <w:t>Working together to safeguard children - GOV.UK</w:t>
        </w:r>
      </w:hyperlink>
    </w:p>
    <w:p w14:paraId="01C522ED" w14:textId="77777777" w:rsidR="007368EC" w:rsidRDefault="00623ED1" w:rsidP="00694A65">
      <w:pPr>
        <w:pStyle w:val="ListBullet"/>
        <w:rPr>
          <w:rFonts w:ascii="Arial" w:hAnsi="Arial" w:cs="Arial"/>
        </w:rPr>
      </w:pPr>
      <w:r w:rsidRPr="00E67243">
        <w:rPr>
          <w:rFonts w:ascii="Arial" w:hAnsi="Arial" w:cs="Arial"/>
        </w:rPr>
        <w:t xml:space="preserve">Nottinghamshire MASH – report a concern – </w:t>
      </w:r>
      <w:hyperlink r:id="rId31" w:history="1">
        <w:r w:rsidR="00E67243" w:rsidRPr="00E67243">
          <w:rPr>
            <w:rStyle w:val="Hyperlink"/>
            <w:rFonts w:ascii="Arial" w:hAnsi="Arial" w:cs="Arial"/>
          </w:rPr>
          <w:t>Report a new concern about a child | Nottinghamshire County Council</w:t>
        </w:r>
      </w:hyperlink>
    </w:p>
    <w:p w14:paraId="5F167495" w14:textId="608C4F25" w:rsidR="00305249" w:rsidRDefault="00623ED1" w:rsidP="00694A65">
      <w:pPr>
        <w:pStyle w:val="ListBullet"/>
        <w:rPr>
          <w:rFonts w:ascii="Arial" w:hAnsi="Arial" w:cs="Arial"/>
        </w:rPr>
      </w:pPr>
      <w:r w:rsidRPr="00E67243">
        <w:rPr>
          <w:rFonts w:ascii="Arial" w:hAnsi="Arial" w:cs="Arial"/>
        </w:rPr>
        <w:t xml:space="preserve">Health protection in childcare – </w:t>
      </w:r>
      <w:hyperlink r:id="rId32" w:history="1">
        <w:r w:rsidR="006442CB" w:rsidRPr="00E67243">
          <w:rPr>
            <w:rStyle w:val="Hyperlink"/>
            <w:rFonts w:ascii="Arial" w:hAnsi="Arial" w:cs="Arial"/>
          </w:rPr>
          <w:t>Health protection in children and young people settings, including education - GOV.UK</w:t>
        </w:r>
      </w:hyperlink>
    </w:p>
    <w:p w14:paraId="1A95829C" w14:textId="5C674F77" w:rsidR="00154100" w:rsidRDefault="00154100" w:rsidP="00694A65">
      <w:pPr>
        <w:pStyle w:val="ListBullet"/>
        <w:rPr>
          <w:rFonts w:ascii="Arial" w:hAnsi="Arial" w:cs="Arial"/>
        </w:rPr>
      </w:pPr>
      <w:hyperlink r:id="rId33" w:history="1">
        <w:r w:rsidRPr="00154100">
          <w:rPr>
            <w:rStyle w:val="Hyperlink"/>
            <w:rFonts w:ascii="Arial" w:hAnsi="Arial" w:cs="Arial"/>
          </w:rPr>
          <w:t>Overview - Fabricated or induced illness - NHS</w:t>
        </w:r>
      </w:hyperlink>
    </w:p>
    <w:p w14:paraId="607A3A11" w14:textId="61C2A4F1" w:rsidR="004E501B" w:rsidRDefault="004E501B" w:rsidP="00694A65">
      <w:pPr>
        <w:pStyle w:val="ListBullet"/>
        <w:rPr>
          <w:rFonts w:ascii="Arial" w:hAnsi="Arial" w:cs="Arial"/>
        </w:rPr>
      </w:pPr>
      <w:hyperlink r:id="rId34" w:history="1">
        <w:r w:rsidRPr="004E501B">
          <w:rPr>
            <w:rStyle w:val="Hyperlink"/>
            <w:rFonts w:ascii="Arial" w:hAnsi="Arial" w:cs="Arial"/>
          </w:rPr>
          <w:t>Adverse Childhood Experiences (ACEs): Impact on brain, body and behaviour</w:t>
        </w:r>
      </w:hyperlink>
    </w:p>
    <w:p w14:paraId="3450F696" w14:textId="59557B42" w:rsidR="00F21BDA" w:rsidRDefault="00F21BDA" w:rsidP="00694A65">
      <w:pPr>
        <w:pStyle w:val="ListBullet"/>
        <w:rPr>
          <w:rFonts w:ascii="Arial" w:hAnsi="Arial" w:cs="Arial"/>
        </w:rPr>
      </w:pPr>
      <w:hyperlink r:id="rId35" w:history="1">
        <w:r w:rsidRPr="00F21BDA">
          <w:rPr>
            <w:rStyle w:val="Hyperlink"/>
            <w:rFonts w:ascii="Arial" w:hAnsi="Arial" w:cs="Arial"/>
          </w:rPr>
          <w:t xml:space="preserve">Nottinghamshire </w:t>
        </w:r>
        <w:proofErr w:type="spellStart"/>
        <w:r w:rsidRPr="00F21BDA">
          <w:rPr>
            <w:rStyle w:val="Hyperlink"/>
            <w:rFonts w:ascii="Arial" w:hAnsi="Arial" w:cs="Arial"/>
          </w:rPr>
          <w:t>Womens</w:t>
        </w:r>
        <w:proofErr w:type="spellEnd"/>
        <w:r w:rsidRPr="00F21BDA">
          <w:rPr>
            <w:rStyle w:val="Hyperlink"/>
            <w:rFonts w:ascii="Arial" w:hAnsi="Arial" w:cs="Arial"/>
          </w:rPr>
          <w:t xml:space="preserve"> Aid - Nottinghamshire Women's Aid</w:t>
        </w:r>
      </w:hyperlink>
    </w:p>
    <w:p w14:paraId="5989F201" w14:textId="7B8E98B3" w:rsidR="00C90F4F" w:rsidRPr="00E67243" w:rsidRDefault="00C90F4F" w:rsidP="00694A65">
      <w:pPr>
        <w:pStyle w:val="ListBullet"/>
        <w:rPr>
          <w:rFonts w:ascii="Arial" w:hAnsi="Arial" w:cs="Arial"/>
        </w:rPr>
      </w:pPr>
      <w:r>
        <w:rPr>
          <w:rFonts w:ascii="Arial" w:hAnsi="Arial" w:cs="Arial"/>
        </w:rPr>
        <w:t xml:space="preserve">Equation training </w:t>
      </w:r>
      <w:hyperlink r:id="rId36" w:history="1">
        <w:r w:rsidRPr="00C90F4F">
          <w:rPr>
            <w:rStyle w:val="Hyperlink"/>
            <w:rFonts w:ascii="Arial" w:hAnsi="Arial" w:cs="Arial"/>
          </w:rPr>
          <w:t>Equation | Domestic Violence Nottinghamshire</w:t>
        </w:r>
      </w:hyperlink>
    </w:p>
    <w:p w14:paraId="091B6631" w14:textId="77777777" w:rsidR="00623ED1" w:rsidRPr="00623ED1" w:rsidRDefault="00623ED1" w:rsidP="00623ED1">
      <w:pPr>
        <w:pStyle w:val="Heading2"/>
        <w:rPr>
          <w:rFonts w:ascii="Arial" w:hAnsi="Arial" w:cs="Arial"/>
        </w:rPr>
      </w:pPr>
      <w:r w:rsidRPr="00623ED1">
        <w:rPr>
          <w:rFonts w:ascii="Arial" w:hAnsi="Arial" w:cs="Arial"/>
        </w:rPr>
        <w:t>Emotional wellbeing and mental health</w:t>
      </w:r>
    </w:p>
    <w:p w14:paraId="71ABB64B" w14:textId="20921D7D" w:rsidR="009412F6" w:rsidRDefault="009412F6" w:rsidP="00694A65">
      <w:pPr>
        <w:pStyle w:val="ListBullet"/>
        <w:rPr>
          <w:rFonts w:ascii="Arial" w:hAnsi="Arial" w:cs="Arial"/>
        </w:rPr>
      </w:pPr>
      <w:r>
        <w:rPr>
          <w:rFonts w:ascii="Arial" w:hAnsi="Arial" w:cs="Arial"/>
        </w:rPr>
        <w:t>Supporting the Mental Health of all children in the Early Years, a practical toolkit</w:t>
      </w:r>
    </w:p>
    <w:p w14:paraId="24C42ED4" w14:textId="2029764A" w:rsidR="00694A65" w:rsidRPr="00694A65" w:rsidRDefault="00623ED1" w:rsidP="00694A65">
      <w:pPr>
        <w:pStyle w:val="ListBullet"/>
        <w:rPr>
          <w:rFonts w:ascii="Arial" w:hAnsi="Arial" w:cs="Arial"/>
        </w:rPr>
      </w:pPr>
      <w:r w:rsidRPr="00623ED1">
        <w:rPr>
          <w:rFonts w:ascii="Arial" w:hAnsi="Arial" w:cs="Arial"/>
        </w:rPr>
        <w:t xml:space="preserve">Anna Freud – Early Years in Mind – </w:t>
      </w:r>
      <w:hyperlink r:id="rId37" w:history="1">
        <w:r w:rsidR="006442CB" w:rsidRPr="006442CB">
          <w:rPr>
            <w:rStyle w:val="Hyperlink"/>
            <w:rFonts w:ascii="Arial" w:hAnsi="Arial" w:cs="Arial"/>
          </w:rPr>
          <w:t>Early Years in Mind Network | Anna Freud</w:t>
        </w:r>
      </w:hyperlink>
    </w:p>
    <w:p w14:paraId="3E493E40" w14:textId="77777777" w:rsidR="00AD59E4" w:rsidRDefault="00623ED1" w:rsidP="00623ED1">
      <w:pPr>
        <w:pStyle w:val="ListBullet"/>
        <w:rPr>
          <w:rFonts w:ascii="Arial" w:hAnsi="Arial" w:cs="Arial"/>
        </w:rPr>
      </w:pPr>
      <w:r w:rsidRPr="00AD59E4">
        <w:rPr>
          <w:rFonts w:ascii="Arial" w:hAnsi="Arial" w:cs="Arial"/>
        </w:rPr>
        <w:t xml:space="preserve">Mind – </w:t>
      </w:r>
      <w:hyperlink r:id="rId38" w:history="1">
        <w:r w:rsidR="00AD59E4" w:rsidRPr="00AD59E4">
          <w:rPr>
            <w:rStyle w:val="Hyperlink"/>
            <w:rFonts w:ascii="Arial" w:hAnsi="Arial" w:cs="Arial"/>
          </w:rPr>
          <w:t>We're Mind, the mental health charity | Mind</w:t>
        </w:r>
      </w:hyperlink>
    </w:p>
    <w:p w14:paraId="68CA65B5" w14:textId="71114321" w:rsidR="00623ED1" w:rsidRDefault="00623ED1" w:rsidP="00623ED1">
      <w:pPr>
        <w:pStyle w:val="ListBullet"/>
        <w:rPr>
          <w:rFonts w:ascii="Arial" w:hAnsi="Arial" w:cs="Arial"/>
        </w:rPr>
      </w:pPr>
      <w:proofErr w:type="spellStart"/>
      <w:r w:rsidRPr="00AD59E4">
        <w:rPr>
          <w:rFonts w:ascii="Arial" w:hAnsi="Arial" w:cs="Arial"/>
        </w:rPr>
        <w:t>YoungMinds</w:t>
      </w:r>
      <w:proofErr w:type="spellEnd"/>
      <w:r w:rsidRPr="00AD59E4">
        <w:rPr>
          <w:rFonts w:ascii="Arial" w:hAnsi="Arial" w:cs="Arial"/>
        </w:rPr>
        <w:t xml:space="preserve"> – </w:t>
      </w:r>
      <w:hyperlink r:id="rId39" w:history="1">
        <w:proofErr w:type="spellStart"/>
        <w:r w:rsidR="00AD59E4" w:rsidRPr="00AD59E4">
          <w:rPr>
            <w:rStyle w:val="Hyperlink"/>
            <w:rFonts w:ascii="Arial" w:hAnsi="Arial" w:cs="Arial"/>
          </w:rPr>
          <w:t>YoungMinds</w:t>
        </w:r>
        <w:proofErr w:type="spellEnd"/>
        <w:r w:rsidR="00AD59E4" w:rsidRPr="00AD59E4">
          <w:rPr>
            <w:rStyle w:val="Hyperlink"/>
            <w:rFonts w:ascii="Arial" w:hAnsi="Arial" w:cs="Arial"/>
          </w:rPr>
          <w:t xml:space="preserve"> | Mental Health Charity </w:t>
        </w:r>
        <w:proofErr w:type="gramStart"/>
        <w:r w:rsidR="00AD59E4" w:rsidRPr="00AD59E4">
          <w:rPr>
            <w:rStyle w:val="Hyperlink"/>
            <w:rFonts w:ascii="Arial" w:hAnsi="Arial" w:cs="Arial"/>
          </w:rPr>
          <w:t>For</w:t>
        </w:r>
        <w:proofErr w:type="gramEnd"/>
        <w:r w:rsidR="00AD59E4" w:rsidRPr="00AD59E4">
          <w:rPr>
            <w:rStyle w:val="Hyperlink"/>
            <w:rFonts w:ascii="Arial" w:hAnsi="Arial" w:cs="Arial"/>
          </w:rPr>
          <w:t xml:space="preserve"> Children </w:t>
        </w:r>
        <w:proofErr w:type="gramStart"/>
        <w:r w:rsidR="00AD59E4" w:rsidRPr="00AD59E4">
          <w:rPr>
            <w:rStyle w:val="Hyperlink"/>
            <w:rFonts w:ascii="Arial" w:hAnsi="Arial" w:cs="Arial"/>
          </w:rPr>
          <w:t>And</w:t>
        </w:r>
        <w:proofErr w:type="gramEnd"/>
        <w:r w:rsidR="00AD59E4" w:rsidRPr="00AD59E4">
          <w:rPr>
            <w:rStyle w:val="Hyperlink"/>
            <w:rFonts w:ascii="Arial" w:hAnsi="Arial" w:cs="Arial"/>
          </w:rPr>
          <w:t xml:space="preserve"> Young People | </w:t>
        </w:r>
        <w:proofErr w:type="spellStart"/>
        <w:r w:rsidR="00AD59E4" w:rsidRPr="00AD59E4">
          <w:rPr>
            <w:rStyle w:val="Hyperlink"/>
            <w:rFonts w:ascii="Arial" w:hAnsi="Arial" w:cs="Arial"/>
          </w:rPr>
          <w:t>YoungMinds</w:t>
        </w:r>
        <w:proofErr w:type="spellEnd"/>
      </w:hyperlink>
    </w:p>
    <w:p w14:paraId="1A7C9831" w14:textId="77777777" w:rsidR="00FD3D68" w:rsidRDefault="00050949" w:rsidP="00050949">
      <w:pPr>
        <w:pStyle w:val="ListBullet"/>
        <w:rPr>
          <w:rFonts w:ascii="Arial" w:hAnsi="Arial" w:cs="Arial"/>
        </w:rPr>
      </w:pPr>
      <w:hyperlink r:id="rId40" w:history="1">
        <w:r w:rsidRPr="00050949">
          <w:rPr>
            <w:rStyle w:val="Hyperlink"/>
            <w:rFonts w:ascii="Arial" w:hAnsi="Arial" w:cs="Arial"/>
          </w:rPr>
          <w:t>Mental health and emotional wellbeing | Barnardo's</w:t>
        </w:r>
      </w:hyperlink>
    </w:p>
    <w:p w14:paraId="0DEB4DDB" w14:textId="065B2BD4" w:rsidR="003E5399" w:rsidRDefault="00FD3D68" w:rsidP="00050949">
      <w:pPr>
        <w:pStyle w:val="ListBullet"/>
        <w:rPr>
          <w:rFonts w:ascii="Arial" w:hAnsi="Arial" w:cs="Arial"/>
        </w:rPr>
      </w:pPr>
      <w:r>
        <w:rPr>
          <w:rFonts w:ascii="Arial" w:hAnsi="Arial" w:cs="Arial"/>
        </w:rPr>
        <w:t>Maslow hierarchy of needs</w:t>
      </w:r>
      <w:r w:rsidRPr="00FD3D68">
        <w:t xml:space="preserve"> </w:t>
      </w:r>
      <w:hyperlink r:id="rId41" w:history="1">
        <w:r w:rsidRPr="00FD3D68">
          <w:rPr>
            <w:rStyle w:val="Hyperlink"/>
            <w:rFonts w:ascii="Arial" w:hAnsi="Arial" w:cs="Arial"/>
          </w:rPr>
          <w:t>child-hierarchy-of-needs.jpg (724×517)</w:t>
        </w:r>
      </w:hyperlink>
    </w:p>
    <w:p w14:paraId="338A2038" w14:textId="25176B7C" w:rsidR="005A075E" w:rsidRDefault="005A075E" w:rsidP="00050949">
      <w:pPr>
        <w:pStyle w:val="ListBullet"/>
        <w:rPr>
          <w:rFonts w:ascii="Arial" w:hAnsi="Arial" w:cs="Arial"/>
        </w:rPr>
      </w:pPr>
      <w:r>
        <w:rPr>
          <w:rFonts w:ascii="Arial" w:hAnsi="Arial" w:cs="Arial"/>
        </w:rPr>
        <w:t xml:space="preserve">Bereavement </w:t>
      </w:r>
      <w:hyperlink r:id="rId42" w:history="1">
        <w:r w:rsidRPr="005A075E">
          <w:rPr>
            <w:rStyle w:val="Hyperlink"/>
            <w:rFonts w:ascii="Arial" w:hAnsi="Arial" w:cs="Arial"/>
          </w:rPr>
          <w:t>Helping Children &amp; Young People Through Trauma | Children's Bereavement Centre</w:t>
        </w:r>
      </w:hyperlink>
    </w:p>
    <w:p w14:paraId="203DF240" w14:textId="1D93EF0A" w:rsidR="00C108B0" w:rsidRDefault="00C108B0" w:rsidP="00050949">
      <w:pPr>
        <w:pStyle w:val="ListBullet"/>
        <w:rPr>
          <w:rFonts w:ascii="Arial" w:hAnsi="Arial" w:cs="Arial"/>
        </w:rPr>
      </w:pPr>
      <w:r>
        <w:rPr>
          <w:rFonts w:ascii="Arial" w:hAnsi="Arial" w:cs="Arial"/>
        </w:rPr>
        <w:t xml:space="preserve">Support for armed forces families </w:t>
      </w:r>
      <w:hyperlink r:id="rId43" w:history="1">
        <w:r w:rsidRPr="00C108B0">
          <w:rPr>
            <w:rStyle w:val="Hyperlink"/>
            <w:rFonts w:ascii="Arial" w:hAnsi="Arial" w:cs="Arial"/>
          </w:rPr>
          <w:t>Nottinghamshire | SSAFA</w:t>
        </w:r>
      </w:hyperlink>
    </w:p>
    <w:p w14:paraId="1F71D12F" w14:textId="19661AF1" w:rsidR="00B80C29" w:rsidRDefault="00B80C29" w:rsidP="00050949">
      <w:pPr>
        <w:pStyle w:val="ListBullet"/>
        <w:rPr>
          <w:rFonts w:ascii="Arial" w:hAnsi="Arial" w:cs="Arial"/>
        </w:rPr>
      </w:pPr>
      <w:r>
        <w:rPr>
          <w:rFonts w:ascii="Arial" w:hAnsi="Arial" w:cs="Arial"/>
        </w:rPr>
        <w:t xml:space="preserve">Support for families of prisoners </w:t>
      </w:r>
      <w:hyperlink r:id="rId44" w:history="1">
        <w:r w:rsidRPr="00B80C29">
          <w:rPr>
            <w:rStyle w:val="Hyperlink"/>
            <w:rFonts w:ascii="Arial" w:hAnsi="Arial" w:cs="Arial"/>
          </w:rPr>
          <w:t>Children &amp; Young People - Prison Advice and Care Trust</w:t>
        </w:r>
      </w:hyperlink>
    </w:p>
    <w:p w14:paraId="292FA42F" w14:textId="77777777" w:rsidR="008203DB" w:rsidRDefault="008203DB" w:rsidP="0089561C">
      <w:pPr>
        <w:pStyle w:val="Heading2"/>
        <w:rPr>
          <w:rFonts w:ascii="Arial" w:hAnsi="Arial" w:cs="Arial"/>
        </w:rPr>
      </w:pPr>
    </w:p>
    <w:p w14:paraId="6CCE6313" w14:textId="4DC8BE0C" w:rsidR="0089561C" w:rsidRPr="0089561C" w:rsidRDefault="0089561C" w:rsidP="0089561C">
      <w:pPr>
        <w:pStyle w:val="Heading2"/>
        <w:rPr>
          <w:rFonts w:ascii="Arial" w:hAnsi="Arial" w:cs="Arial"/>
        </w:rPr>
      </w:pPr>
      <w:r>
        <w:rPr>
          <w:rFonts w:ascii="Arial" w:hAnsi="Arial" w:cs="Arial"/>
        </w:rPr>
        <w:t>Special Educational Needs and Disabilities Support</w:t>
      </w:r>
    </w:p>
    <w:p w14:paraId="745F2B3A" w14:textId="2091D830" w:rsidR="0089561C" w:rsidRDefault="0089561C" w:rsidP="0089561C">
      <w:pPr>
        <w:pStyle w:val="ListBullet"/>
        <w:numPr>
          <w:ilvl w:val="0"/>
          <w:numId w:val="8"/>
        </w:numPr>
        <w:rPr>
          <w:rFonts w:ascii="Arial" w:hAnsi="Arial" w:cs="Arial"/>
        </w:rPr>
      </w:pPr>
      <w:r>
        <w:rPr>
          <w:rFonts w:ascii="Arial" w:hAnsi="Arial" w:cs="Arial"/>
        </w:rPr>
        <w:t xml:space="preserve">SEND information advice and support services </w:t>
      </w:r>
      <w:hyperlink r:id="rId45" w:history="1">
        <w:r w:rsidRPr="0089561C">
          <w:rPr>
            <w:rStyle w:val="Hyperlink"/>
            <w:rFonts w:ascii="Arial" w:hAnsi="Arial" w:cs="Arial"/>
          </w:rPr>
          <w:t>Home - Ask Us Nottinghamshire</w:t>
        </w:r>
      </w:hyperlink>
    </w:p>
    <w:p w14:paraId="456D92D5" w14:textId="4C37F4F9" w:rsidR="003C5924" w:rsidRDefault="003C5924" w:rsidP="00050949">
      <w:pPr>
        <w:pStyle w:val="ListBullet"/>
        <w:rPr>
          <w:rFonts w:ascii="Arial" w:hAnsi="Arial" w:cs="Arial"/>
        </w:rPr>
      </w:pPr>
      <w:r>
        <w:rPr>
          <w:rFonts w:ascii="Arial" w:hAnsi="Arial" w:cs="Arial"/>
        </w:rPr>
        <w:t xml:space="preserve">Neurodevelopmental support service </w:t>
      </w:r>
      <w:hyperlink r:id="rId46" w:history="1">
        <w:r w:rsidR="00CA194D">
          <w:rPr>
            <w:rStyle w:val="Hyperlink"/>
            <w:rFonts w:ascii="Arial" w:hAnsi="Arial" w:cs="Arial"/>
          </w:rPr>
          <w:t>Neurodevelopmental support team (Family Service)</w:t>
        </w:r>
      </w:hyperlink>
    </w:p>
    <w:p w14:paraId="40F95D55" w14:textId="13F0CF99" w:rsidR="004534F3" w:rsidRDefault="004534F3" w:rsidP="00050949">
      <w:pPr>
        <w:pStyle w:val="ListBullet"/>
        <w:rPr>
          <w:rFonts w:ascii="Arial" w:hAnsi="Arial" w:cs="Arial"/>
        </w:rPr>
      </w:pPr>
      <w:r>
        <w:rPr>
          <w:rFonts w:ascii="Arial" w:hAnsi="Arial" w:cs="Arial"/>
        </w:rPr>
        <w:t xml:space="preserve">Neurodevelopmental pathway and support guidance </w:t>
      </w:r>
      <w:hyperlink r:id="rId47" w:history="1">
        <w:r w:rsidRPr="004534F3">
          <w:rPr>
            <w:rStyle w:val="Hyperlink"/>
            <w:rFonts w:ascii="Arial" w:hAnsi="Arial" w:cs="Arial"/>
          </w:rPr>
          <w:t>The neurodevelopmental pathway and support guidance | Nottinghamshire County Council</w:t>
        </w:r>
      </w:hyperlink>
    </w:p>
    <w:p w14:paraId="1C06B5EC" w14:textId="37FD47EE" w:rsidR="000C0EC4" w:rsidRPr="00050949" w:rsidRDefault="000C0EC4" w:rsidP="00050949">
      <w:pPr>
        <w:pStyle w:val="ListBullet"/>
        <w:rPr>
          <w:rFonts w:ascii="Arial" w:hAnsi="Arial" w:cs="Arial"/>
        </w:rPr>
      </w:pPr>
      <w:r>
        <w:rPr>
          <w:rFonts w:ascii="Arial" w:hAnsi="Arial" w:cs="Arial"/>
        </w:rPr>
        <w:t xml:space="preserve">SEND Inclusion Support Services </w:t>
      </w:r>
      <w:hyperlink r:id="rId48" w:history="1">
        <w:r>
          <w:rPr>
            <w:rStyle w:val="Hyperlink"/>
            <w:rFonts w:ascii="Arial" w:hAnsi="Arial" w:cs="Arial"/>
          </w:rPr>
          <w:t>SEND IS Early Years Factsheet</w:t>
        </w:r>
      </w:hyperlink>
    </w:p>
    <w:p w14:paraId="37ACB768" w14:textId="77777777" w:rsidR="00623ED1" w:rsidRPr="00623ED1" w:rsidRDefault="00623ED1" w:rsidP="00623ED1">
      <w:pPr>
        <w:pStyle w:val="Heading2"/>
        <w:rPr>
          <w:rFonts w:ascii="Arial" w:hAnsi="Arial" w:cs="Arial"/>
        </w:rPr>
      </w:pPr>
      <w:r w:rsidRPr="00623ED1">
        <w:rPr>
          <w:rFonts w:ascii="Arial" w:hAnsi="Arial" w:cs="Arial"/>
        </w:rPr>
        <w:t>Health and basic needs</w:t>
      </w:r>
    </w:p>
    <w:p w14:paraId="316F6D4A" w14:textId="3C70202D" w:rsidR="00D23EF5" w:rsidRDefault="00623ED1" w:rsidP="009C1639">
      <w:pPr>
        <w:pStyle w:val="ListBullet"/>
        <w:rPr>
          <w:rFonts w:ascii="Arial" w:hAnsi="Arial" w:cs="Arial"/>
        </w:rPr>
      </w:pPr>
      <w:r w:rsidRPr="00623ED1">
        <w:rPr>
          <w:rFonts w:ascii="Arial" w:hAnsi="Arial" w:cs="Arial"/>
        </w:rPr>
        <w:t xml:space="preserve">NHS Start4Life – </w:t>
      </w:r>
      <w:hyperlink r:id="rId49" w:history="1">
        <w:r w:rsidR="00D23EF5" w:rsidRPr="00D23EF5">
          <w:rPr>
            <w:rStyle w:val="Hyperlink"/>
            <w:rFonts w:ascii="Arial" w:hAnsi="Arial" w:cs="Arial"/>
          </w:rPr>
          <w:t>Best Start in Life health advice - NHS</w:t>
        </w:r>
      </w:hyperlink>
    </w:p>
    <w:p w14:paraId="43946A11" w14:textId="286646F4" w:rsidR="00694175" w:rsidRPr="009C1639" w:rsidRDefault="00694175" w:rsidP="009C1639">
      <w:pPr>
        <w:pStyle w:val="ListBullet"/>
        <w:rPr>
          <w:rFonts w:ascii="Arial" w:hAnsi="Arial" w:cs="Arial"/>
        </w:rPr>
      </w:pPr>
      <w:r>
        <w:rPr>
          <w:rFonts w:ascii="Arial" w:hAnsi="Arial" w:cs="Arial"/>
        </w:rPr>
        <w:t xml:space="preserve">Advice on food and nutrition </w:t>
      </w:r>
      <w:hyperlink r:id="rId50" w:history="1">
        <w:r w:rsidRPr="00694175">
          <w:rPr>
            <w:rStyle w:val="Hyperlink"/>
            <w:rFonts w:ascii="Arial" w:hAnsi="Arial" w:cs="Arial"/>
          </w:rPr>
          <w:t>Healthier Families - Home - NHS</w:t>
        </w:r>
      </w:hyperlink>
    </w:p>
    <w:p w14:paraId="3C141B63" w14:textId="29BED64B" w:rsidR="00055CCD" w:rsidRPr="004C2A05" w:rsidRDefault="00623ED1" w:rsidP="004C2A05">
      <w:pPr>
        <w:pStyle w:val="ListBullet"/>
        <w:rPr>
          <w:rFonts w:ascii="Arial" w:hAnsi="Arial" w:cs="Arial"/>
        </w:rPr>
      </w:pPr>
      <w:r w:rsidRPr="00623ED1">
        <w:rPr>
          <w:rFonts w:ascii="Arial" w:hAnsi="Arial" w:cs="Arial"/>
        </w:rPr>
        <w:t xml:space="preserve">NHS healthy sleep tips – </w:t>
      </w:r>
      <w:hyperlink r:id="rId51" w:history="1">
        <w:r w:rsidR="009C1639" w:rsidRPr="009C1639">
          <w:rPr>
            <w:rStyle w:val="Hyperlink"/>
            <w:rFonts w:ascii="Arial" w:hAnsi="Arial" w:cs="Arial"/>
          </w:rPr>
          <w:t>Relaxation Tips - The Sleep Charity</w:t>
        </w:r>
      </w:hyperlink>
    </w:p>
    <w:p w14:paraId="4114E33E" w14:textId="77777777" w:rsidR="00623ED1" w:rsidRPr="00623ED1" w:rsidRDefault="00623ED1" w:rsidP="00623ED1">
      <w:pPr>
        <w:pStyle w:val="Heading2"/>
        <w:rPr>
          <w:rFonts w:ascii="Arial" w:hAnsi="Arial" w:cs="Arial"/>
        </w:rPr>
      </w:pPr>
      <w:r w:rsidRPr="00623ED1">
        <w:rPr>
          <w:rFonts w:ascii="Arial" w:hAnsi="Arial" w:cs="Arial"/>
        </w:rPr>
        <w:t>Communication, language and EAL</w:t>
      </w:r>
    </w:p>
    <w:p w14:paraId="46B24D2F" w14:textId="2DDEBE19" w:rsidR="00B7434F" w:rsidRDefault="00623ED1" w:rsidP="00B7434F">
      <w:pPr>
        <w:pStyle w:val="ListBullet"/>
        <w:rPr>
          <w:rFonts w:ascii="Arial" w:hAnsi="Arial" w:cs="Arial"/>
        </w:rPr>
      </w:pPr>
      <w:r w:rsidRPr="00623ED1">
        <w:rPr>
          <w:rFonts w:ascii="Arial" w:hAnsi="Arial" w:cs="Arial"/>
        </w:rPr>
        <w:t xml:space="preserve">Mantra Lingua – </w:t>
      </w:r>
      <w:hyperlink r:id="rId52" w:history="1">
        <w:r w:rsidR="00B7434F" w:rsidRPr="00B7434F">
          <w:rPr>
            <w:rStyle w:val="Hyperlink"/>
            <w:rFonts w:ascii="Arial" w:hAnsi="Arial" w:cs="Arial"/>
          </w:rPr>
          <w:t>Mantra Lingua UK | Dual language books and bilingual books and resources for bilingual children and parents and for the multi-lingual classroom.</w:t>
        </w:r>
      </w:hyperlink>
    </w:p>
    <w:p w14:paraId="1FFD6C3E" w14:textId="18BC88D0" w:rsidR="00CC2AF6" w:rsidRDefault="00623ED1" w:rsidP="009333F9">
      <w:pPr>
        <w:pStyle w:val="ListBullet"/>
        <w:rPr>
          <w:rFonts w:ascii="Arial" w:hAnsi="Arial" w:cs="Arial"/>
        </w:rPr>
      </w:pPr>
      <w:r w:rsidRPr="009333F9">
        <w:rPr>
          <w:rFonts w:ascii="Arial" w:hAnsi="Arial" w:cs="Arial"/>
        </w:rPr>
        <w:t xml:space="preserve">Inspire libraries – </w:t>
      </w:r>
      <w:hyperlink r:id="rId53" w:history="1">
        <w:r w:rsidR="00E41A73" w:rsidRPr="009333F9">
          <w:rPr>
            <w:rStyle w:val="Hyperlink"/>
            <w:rFonts w:ascii="Arial" w:hAnsi="Arial" w:cs="Arial"/>
          </w:rPr>
          <w:t>Inspire - Culture, learning, libraries | Nottinghamshire County Council</w:t>
        </w:r>
      </w:hyperlink>
    </w:p>
    <w:p w14:paraId="538FBD22" w14:textId="40B28FBF" w:rsidR="009333F9" w:rsidRPr="009333F9" w:rsidRDefault="009333F9" w:rsidP="009333F9">
      <w:pPr>
        <w:pStyle w:val="ListBullet"/>
        <w:rPr>
          <w:rFonts w:ascii="Arial" w:hAnsi="Arial" w:cs="Arial"/>
        </w:rPr>
      </w:pPr>
      <w:r>
        <w:rPr>
          <w:rFonts w:ascii="Arial" w:hAnsi="Arial" w:cs="Arial"/>
        </w:rPr>
        <w:t xml:space="preserve">Achievement and Equality Team EAL support </w:t>
      </w:r>
      <w:hyperlink r:id="rId54" w:history="1">
        <w:r w:rsidRPr="009333F9">
          <w:rPr>
            <w:rStyle w:val="Hyperlink"/>
            <w:rFonts w:ascii="Arial" w:hAnsi="Arial" w:cs="Arial"/>
          </w:rPr>
          <w:t>Achievement and Equality Team | The East Midlands Education Support Service</w:t>
        </w:r>
      </w:hyperlink>
    </w:p>
    <w:p w14:paraId="2F1A5D6A" w14:textId="36C24842" w:rsidR="006C0204" w:rsidRDefault="006C0204" w:rsidP="00623ED1">
      <w:pPr>
        <w:pStyle w:val="Heading2"/>
      </w:pPr>
    </w:p>
    <w:sectPr w:rsidR="006C0204" w:rsidSect="00623ED1">
      <w:footerReference w:type="default" r:id="rId55"/>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F8058" w14:textId="77777777" w:rsidR="000D49CC" w:rsidRDefault="000D49CC" w:rsidP="00E41A73">
      <w:pPr>
        <w:spacing w:after="0" w:line="240" w:lineRule="auto"/>
      </w:pPr>
      <w:r>
        <w:separator/>
      </w:r>
    </w:p>
  </w:endnote>
  <w:endnote w:type="continuationSeparator" w:id="0">
    <w:p w14:paraId="377063E4" w14:textId="77777777" w:rsidR="000D49CC" w:rsidRDefault="000D49CC" w:rsidP="00E41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E60EB" w14:textId="2BF2A039" w:rsidR="00E41A73" w:rsidRPr="00CE18B2" w:rsidRDefault="00163578">
    <w:pPr>
      <w:pStyle w:val="Footer"/>
      <w:rPr>
        <w:color w:val="3E762A" w:themeColor="accent1" w:themeShade="BF"/>
      </w:rPr>
    </w:pPr>
    <w:r w:rsidRPr="00CE18B2">
      <w:rPr>
        <w:color w:val="3E762A" w:themeColor="accent1" w:themeShade="BF"/>
      </w:rPr>
      <w:t xml:space="preserve">Identifying and Supporting Children’s Developmental </w:t>
    </w:r>
    <w:proofErr w:type="gramStart"/>
    <w:r w:rsidRPr="00CE18B2">
      <w:rPr>
        <w:color w:val="3E762A" w:themeColor="accent1" w:themeShade="BF"/>
      </w:rPr>
      <w:t>Needs  -</w:t>
    </w:r>
    <w:proofErr w:type="gramEnd"/>
    <w:r w:rsidRPr="00CE18B2">
      <w:rPr>
        <w:color w:val="3E762A" w:themeColor="accent1" w:themeShade="BF"/>
      </w:rPr>
      <w:t xml:space="preserve">  NCC Early Years Quality and Attainment – V5 </w:t>
    </w:r>
    <w:r w:rsidR="00CE18B2" w:rsidRPr="00CE18B2">
      <w:rPr>
        <w:color w:val="3E762A" w:themeColor="accent1" w:themeShade="BF"/>
      </w:rPr>
      <w:t>March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70196" w14:textId="77777777" w:rsidR="000D49CC" w:rsidRDefault="000D49CC" w:rsidP="00E41A73">
      <w:pPr>
        <w:spacing w:after="0" w:line="240" w:lineRule="auto"/>
      </w:pPr>
      <w:r>
        <w:separator/>
      </w:r>
    </w:p>
  </w:footnote>
  <w:footnote w:type="continuationSeparator" w:id="0">
    <w:p w14:paraId="5E2A17AB" w14:textId="77777777" w:rsidR="000D49CC" w:rsidRDefault="000D49CC" w:rsidP="00E41A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0A113F5"/>
    <w:multiLevelType w:val="hybridMultilevel"/>
    <w:tmpl w:val="C19E64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2B15FFE"/>
    <w:multiLevelType w:val="hybridMultilevel"/>
    <w:tmpl w:val="A170C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1071687">
    <w:abstractNumId w:val="5"/>
  </w:num>
  <w:num w:numId="2" w16cid:durableId="1837568188">
    <w:abstractNumId w:val="3"/>
  </w:num>
  <w:num w:numId="3" w16cid:durableId="1235353663">
    <w:abstractNumId w:val="2"/>
  </w:num>
  <w:num w:numId="4" w16cid:durableId="871067102">
    <w:abstractNumId w:val="4"/>
  </w:num>
  <w:num w:numId="5" w16cid:durableId="757093558">
    <w:abstractNumId w:val="1"/>
  </w:num>
  <w:num w:numId="6" w16cid:durableId="251817072">
    <w:abstractNumId w:val="0"/>
  </w:num>
  <w:num w:numId="7" w16cid:durableId="1519344036">
    <w:abstractNumId w:val="7"/>
  </w:num>
  <w:num w:numId="8" w16cid:durableId="107442822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949"/>
    <w:rsid w:val="00055CCD"/>
    <w:rsid w:val="0006063C"/>
    <w:rsid w:val="000B5363"/>
    <w:rsid w:val="000C0EC4"/>
    <w:rsid w:val="000D49CC"/>
    <w:rsid w:val="000E6FF6"/>
    <w:rsid w:val="000F43F0"/>
    <w:rsid w:val="00140226"/>
    <w:rsid w:val="0015074B"/>
    <w:rsid w:val="00154100"/>
    <w:rsid w:val="0015441F"/>
    <w:rsid w:val="00154E18"/>
    <w:rsid w:val="00163578"/>
    <w:rsid w:val="00195324"/>
    <w:rsid w:val="001C0C5E"/>
    <w:rsid w:val="002423F6"/>
    <w:rsid w:val="002525A9"/>
    <w:rsid w:val="0029639D"/>
    <w:rsid w:val="00305249"/>
    <w:rsid w:val="00326F90"/>
    <w:rsid w:val="00331E43"/>
    <w:rsid w:val="003364F6"/>
    <w:rsid w:val="00360A18"/>
    <w:rsid w:val="003A3FF7"/>
    <w:rsid w:val="003C3BB6"/>
    <w:rsid w:val="003C5924"/>
    <w:rsid w:val="003E5399"/>
    <w:rsid w:val="00422614"/>
    <w:rsid w:val="004534F3"/>
    <w:rsid w:val="00477252"/>
    <w:rsid w:val="004971C7"/>
    <w:rsid w:val="004C2A05"/>
    <w:rsid w:val="004E501B"/>
    <w:rsid w:val="004F44A9"/>
    <w:rsid w:val="00500C41"/>
    <w:rsid w:val="00540C73"/>
    <w:rsid w:val="00545012"/>
    <w:rsid w:val="005A075E"/>
    <w:rsid w:val="005A4CD4"/>
    <w:rsid w:val="005D6539"/>
    <w:rsid w:val="00623ED1"/>
    <w:rsid w:val="006442CB"/>
    <w:rsid w:val="00694175"/>
    <w:rsid w:val="00694A65"/>
    <w:rsid w:val="006C0204"/>
    <w:rsid w:val="006C50B3"/>
    <w:rsid w:val="00707419"/>
    <w:rsid w:val="007322DB"/>
    <w:rsid w:val="00735DD2"/>
    <w:rsid w:val="007368EC"/>
    <w:rsid w:val="00793F19"/>
    <w:rsid w:val="007956AB"/>
    <w:rsid w:val="007D0A51"/>
    <w:rsid w:val="007D338A"/>
    <w:rsid w:val="00804D2A"/>
    <w:rsid w:val="008203DB"/>
    <w:rsid w:val="0089561C"/>
    <w:rsid w:val="008E3FDF"/>
    <w:rsid w:val="00912527"/>
    <w:rsid w:val="0092720B"/>
    <w:rsid w:val="009333F9"/>
    <w:rsid w:val="009412F6"/>
    <w:rsid w:val="00951410"/>
    <w:rsid w:val="009C1639"/>
    <w:rsid w:val="00A047EA"/>
    <w:rsid w:val="00A16289"/>
    <w:rsid w:val="00AA1D8D"/>
    <w:rsid w:val="00AD59E4"/>
    <w:rsid w:val="00AF5632"/>
    <w:rsid w:val="00B26B0D"/>
    <w:rsid w:val="00B47730"/>
    <w:rsid w:val="00B7434F"/>
    <w:rsid w:val="00B80C29"/>
    <w:rsid w:val="00BA594F"/>
    <w:rsid w:val="00BC4927"/>
    <w:rsid w:val="00C108B0"/>
    <w:rsid w:val="00C21A3A"/>
    <w:rsid w:val="00C351B4"/>
    <w:rsid w:val="00C90F4F"/>
    <w:rsid w:val="00CA194D"/>
    <w:rsid w:val="00CB0664"/>
    <w:rsid w:val="00CC2AF6"/>
    <w:rsid w:val="00CE18B2"/>
    <w:rsid w:val="00D23EF5"/>
    <w:rsid w:val="00D34364"/>
    <w:rsid w:val="00D36093"/>
    <w:rsid w:val="00D56407"/>
    <w:rsid w:val="00DB1E48"/>
    <w:rsid w:val="00E06ECB"/>
    <w:rsid w:val="00E31F08"/>
    <w:rsid w:val="00E36903"/>
    <w:rsid w:val="00E41A73"/>
    <w:rsid w:val="00E67243"/>
    <w:rsid w:val="00E93C8A"/>
    <w:rsid w:val="00EA1377"/>
    <w:rsid w:val="00EA4FE4"/>
    <w:rsid w:val="00EC1C2B"/>
    <w:rsid w:val="00EC207D"/>
    <w:rsid w:val="00EF10D4"/>
    <w:rsid w:val="00F21BDA"/>
    <w:rsid w:val="00F455D4"/>
    <w:rsid w:val="00F76F6D"/>
    <w:rsid w:val="00FC3D4E"/>
    <w:rsid w:val="00FC693F"/>
    <w:rsid w:val="00FD3D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E27351"/>
  <w14:defaultImageDpi w14:val="300"/>
  <w15:docId w15:val="{B8CD83F2-F57D-4E42-AA3C-199302110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E762A"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549E39"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49E39"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549E39"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94E1C"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94E1C"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549E39"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E762A"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549E39"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549E39" w:themeColor="accent1"/>
    </w:rPr>
  </w:style>
  <w:style w:type="paragraph" w:styleId="Title">
    <w:name w:val="Title"/>
    <w:basedOn w:val="Normal"/>
    <w:next w:val="Normal"/>
    <w:link w:val="TitleChar"/>
    <w:uiPriority w:val="10"/>
    <w:qFormat/>
    <w:rsid w:val="00FC693F"/>
    <w:pPr>
      <w:pBdr>
        <w:bottom w:val="single" w:sz="8" w:space="4" w:color="549E39" w:themeColor="accent1"/>
      </w:pBdr>
      <w:spacing w:after="300" w:line="240" w:lineRule="auto"/>
      <w:contextualSpacing/>
    </w:pPr>
    <w:rPr>
      <w:rFonts w:asciiTheme="majorHAnsi" w:eastAsiaTheme="majorEastAsia" w:hAnsiTheme="majorHAnsi" w:cstheme="majorBidi"/>
      <w:color w:val="33473C"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33473C"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49E39"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549E39"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549E39"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94E1C"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94E1C"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549E39"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549E39"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549E39" w:themeColor="accent1"/>
      </w:pBdr>
      <w:spacing w:before="200" w:after="280"/>
      <w:ind w:left="936" w:right="936"/>
    </w:pPr>
    <w:rPr>
      <w:b/>
      <w:bCs/>
      <w:i/>
      <w:iCs/>
      <w:color w:val="549E39" w:themeColor="accent1"/>
    </w:rPr>
  </w:style>
  <w:style w:type="character" w:customStyle="1" w:styleId="IntenseQuoteChar">
    <w:name w:val="Intense Quote Char"/>
    <w:basedOn w:val="DefaultParagraphFont"/>
    <w:link w:val="IntenseQuote"/>
    <w:uiPriority w:val="30"/>
    <w:rsid w:val="00FC693F"/>
    <w:rPr>
      <w:b/>
      <w:bCs/>
      <w:i/>
      <w:iCs/>
      <w:color w:val="549E39"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549E39" w:themeColor="accent1"/>
    </w:rPr>
  </w:style>
  <w:style w:type="character" w:styleId="SubtleReference">
    <w:name w:val="Subtle Reference"/>
    <w:basedOn w:val="DefaultParagraphFont"/>
    <w:uiPriority w:val="31"/>
    <w:qFormat/>
    <w:rsid w:val="00FC693F"/>
    <w:rPr>
      <w:smallCaps/>
      <w:color w:val="8AB833" w:themeColor="accent2"/>
      <w:u w:val="single"/>
    </w:rPr>
  </w:style>
  <w:style w:type="character" w:styleId="IntenseReference">
    <w:name w:val="Intense Reference"/>
    <w:basedOn w:val="DefaultParagraphFont"/>
    <w:uiPriority w:val="32"/>
    <w:qFormat/>
    <w:rsid w:val="00FC693F"/>
    <w:rPr>
      <w:b/>
      <w:bCs/>
      <w:smallCaps/>
      <w:color w:val="8AB833"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E762A" w:themeColor="accent1" w:themeShade="BF"/>
    </w:rPr>
    <w:tblPr>
      <w:tblStyleRowBandSize w:val="1"/>
      <w:tblStyleColBandSize w:val="1"/>
      <w:tblBorders>
        <w:top w:val="single" w:sz="8" w:space="0" w:color="549E39" w:themeColor="accent1"/>
        <w:bottom w:val="single" w:sz="8" w:space="0" w:color="549E39" w:themeColor="accent1"/>
      </w:tblBorders>
    </w:tblPr>
    <w:tblStylePr w:type="firstRow">
      <w:pPr>
        <w:spacing w:before="0" w:after="0" w:line="240" w:lineRule="auto"/>
      </w:pPr>
      <w:rPr>
        <w:b/>
        <w:bCs/>
      </w:rPr>
      <w:tblPr/>
      <w:tcPr>
        <w:tcBorders>
          <w:top w:val="single" w:sz="8" w:space="0" w:color="549E39" w:themeColor="accent1"/>
          <w:left w:val="nil"/>
          <w:bottom w:val="single" w:sz="8" w:space="0" w:color="549E39" w:themeColor="accent1"/>
          <w:right w:val="nil"/>
          <w:insideH w:val="nil"/>
          <w:insideV w:val="nil"/>
        </w:tcBorders>
      </w:tcPr>
    </w:tblStylePr>
    <w:tblStylePr w:type="lastRow">
      <w:pPr>
        <w:spacing w:before="0" w:after="0" w:line="240" w:lineRule="auto"/>
      </w:pPr>
      <w:rPr>
        <w:b/>
        <w:bCs/>
      </w:rPr>
      <w:tblPr/>
      <w:tcPr>
        <w:tcBorders>
          <w:top w:val="single" w:sz="8" w:space="0" w:color="549E39" w:themeColor="accent1"/>
          <w:left w:val="nil"/>
          <w:bottom w:val="single" w:sz="8" w:space="0" w:color="549E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BC9" w:themeFill="accent1" w:themeFillTint="3F"/>
      </w:tcPr>
    </w:tblStylePr>
    <w:tblStylePr w:type="band1Horz">
      <w:tblPr/>
      <w:tcPr>
        <w:tcBorders>
          <w:left w:val="nil"/>
          <w:right w:val="nil"/>
          <w:insideH w:val="nil"/>
          <w:insideV w:val="nil"/>
        </w:tcBorders>
        <w:shd w:val="clear" w:color="auto" w:fill="D2EBC9" w:themeFill="accent1" w:themeFillTint="3F"/>
      </w:tcPr>
    </w:tblStylePr>
  </w:style>
  <w:style w:type="table" w:styleId="LightShading-Accent2">
    <w:name w:val="Light Shading Accent 2"/>
    <w:basedOn w:val="TableNormal"/>
    <w:uiPriority w:val="60"/>
    <w:rsid w:val="00FC693F"/>
    <w:pPr>
      <w:spacing w:after="0" w:line="240" w:lineRule="auto"/>
    </w:pPr>
    <w:rPr>
      <w:color w:val="668926" w:themeColor="accent2" w:themeShade="BF"/>
    </w:rPr>
    <w:tblPr>
      <w:tblStyleRowBandSize w:val="1"/>
      <w:tblStyleColBandSize w:val="1"/>
      <w:tblBorders>
        <w:top w:val="single" w:sz="8" w:space="0" w:color="8AB833" w:themeColor="accent2"/>
        <w:bottom w:val="single" w:sz="8" w:space="0" w:color="8AB833" w:themeColor="accent2"/>
      </w:tblBorders>
    </w:tblPr>
    <w:tblStylePr w:type="firstRow">
      <w:pPr>
        <w:spacing w:before="0" w:after="0" w:line="240" w:lineRule="auto"/>
      </w:pPr>
      <w:rPr>
        <w:b/>
        <w:bCs/>
      </w:rPr>
      <w:tblPr/>
      <w:tcPr>
        <w:tcBorders>
          <w:top w:val="single" w:sz="8" w:space="0" w:color="8AB833" w:themeColor="accent2"/>
          <w:left w:val="nil"/>
          <w:bottom w:val="single" w:sz="8" w:space="0" w:color="8AB833" w:themeColor="accent2"/>
          <w:right w:val="nil"/>
          <w:insideH w:val="nil"/>
          <w:insideV w:val="nil"/>
        </w:tcBorders>
      </w:tcPr>
    </w:tblStylePr>
    <w:tblStylePr w:type="lastRow">
      <w:pPr>
        <w:spacing w:before="0" w:after="0" w:line="240" w:lineRule="auto"/>
      </w:pPr>
      <w:rPr>
        <w:b/>
        <w:bCs/>
      </w:rPr>
      <w:tblPr/>
      <w:tcPr>
        <w:tcBorders>
          <w:top w:val="single" w:sz="8" w:space="0" w:color="8AB833" w:themeColor="accent2"/>
          <w:left w:val="nil"/>
          <w:bottom w:val="single" w:sz="8" w:space="0" w:color="8AB8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0C9" w:themeFill="accent2" w:themeFillTint="3F"/>
      </w:tcPr>
    </w:tblStylePr>
    <w:tblStylePr w:type="band1Horz">
      <w:tblPr/>
      <w:tcPr>
        <w:tcBorders>
          <w:left w:val="nil"/>
          <w:right w:val="nil"/>
          <w:insideH w:val="nil"/>
          <w:insideV w:val="nil"/>
        </w:tcBorders>
        <w:shd w:val="clear" w:color="auto" w:fill="E2F0C9" w:themeFill="accent2" w:themeFillTint="3F"/>
      </w:tcPr>
    </w:tblStylePr>
  </w:style>
  <w:style w:type="table" w:styleId="LightShading-Accent3">
    <w:name w:val="Light Shading Accent 3"/>
    <w:basedOn w:val="TableNormal"/>
    <w:uiPriority w:val="60"/>
    <w:rsid w:val="00FC693F"/>
    <w:pPr>
      <w:spacing w:after="0" w:line="240" w:lineRule="auto"/>
    </w:pPr>
    <w:rPr>
      <w:color w:val="939F27" w:themeColor="accent3" w:themeShade="BF"/>
    </w:rPr>
    <w:tblPr>
      <w:tblStyleRowBandSize w:val="1"/>
      <w:tblStyleColBandSize w:val="1"/>
      <w:tblBorders>
        <w:top w:val="single" w:sz="8" w:space="0" w:color="C0CF3A" w:themeColor="accent3"/>
        <w:bottom w:val="single" w:sz="8" w:space="0" w:color="C0CF3A" w:themeColor="accent3"/>
      </w:tblBorders>
    </w:tblPr>
    <w:tblStylePr w:type="firstRow">
      <w:pPr>
        <w:spacing w:before="0" w:after="0" w:line="240" w:lineRule="auto"/>
      </w:pPr>
      <w:rPr>
        <w:b/>
        <w:bCs/>
      </w:rPr>
      <w:tblPr/>
      <w:tcPr>
        <w:tcBorders>
          <w:top w:val="single" w:sz="8" w:space="0" w:color="C0CF3A" w:themeColor="accent3"/>
          <w:left w:val="nil"/>
          <w:bottom w:val="single" w:sz="8" w:space="0" w:color="C0CF3A" w:themeColor="accent3"/>
          <w:right w:val="nil"/>
          <w:insideH w:val="nil"/>
          <w:insideV w:val="nil"/>
        </w:tcBorders>
      </w:tcPr>
    </w:tblStylePr>
    <w:tblStylePr w:type="lastRow">
      <w:pPr>
        <w:spacing w:before="0" w:after="0" w:line="240" w:lineRule="auto"/>
      </w:pPr>
      <w:rPr>
        <w:b/>
        <w:bCs/>
      </w:rPr>
      <w:tblPr/>
      <w:tcPr>
        <w:tcBorders>
          <w:top w:val="single" w:sz="8" w:space="0" w:color="C0CF3A" w:themeColor="accent3"/>
          <w:left w:val="nil"/>
          <w:bottom w:val="single" w:sz="8" w:space="0" w:color="C0CF3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3CE" w:themeFill="accent3" w:themeFillTint="3F"/>
      </w:tcPr>
    </w:tblStylePr>
    <w:tblStylePr w:type="band1Horz">
      <w:tblPr/>
      <w:tcPr>
        <w:tcBorders>
          <w:left w:val="nil"/>
          <w:right w:val="nil"/>
          <w:insideH w:val="nil"/>
          <w:insideV w:val="nil"/>
        </w:tcBorders>
        <w:shd w:val="clear" w:color="auto" w:fill="EFF3CE" w:themeFill="accent3" w:themeFillTint="3F"/>
      </w:tcPr>
    </w:tblStylePr>
  </w:style>
  <w:style w:type="table" w:styleId="LightShading-Accent4">
    <w:name w:val="Light Shading Accent 4"/>
    <w:basedOn w:val="TableNormal"/>
    <w:uiPriority w:val="60"/>
    <w:rsid w:val="00FC693F"/>
    <w:pPr>
      <w:spacing w:after="0" w:line="240" w:lineRule="auto"/>
    </w:pPr>
    <w:rPr>
      <w:color w:val="017057" w:themeColor="accent4" w:themeShade="BF"/>
    </w:rPr>
    <w:tblPr>
      <w:tblStyleRowBandSize w:val="1"/>
      <w:tblStyleColBandSize w:val="1"/>
      <w:tblBorders>
        <w:top w:val="single" w:sz="8" w:space="0" w:color="029676" w:themeColor="accent4"/>
        <w:bottom w:val="single" w:sz="8" w:space="0" w:color="029676" w:themeColor="accent4"/>
      </w:tblBorders>
    </w:tblPr>
    <w:tblStylePr w:type="firstRow">
      <w:pPr>
        <w:spacing w:before="0" w:after="0" w:line="240" w:lineRule="auto"/>
      </w:pPr>
      <w:rPr>
        <w:b/>
        <w:bCs/>
      </w:rPr>
      <w:tblPr/>
      <w:tcPr>
        <w:tcBorders>
          <w:top w:val="single" w:sz="8" w:space="0" w:color="029676" w:themeColor="accent4"/>
          <w:left w:val="nil"/>
          <w:bottom w:val="single" w:sz="8" w:space="0" w:color="029676" w:themeColor="accent4"/>
          <w:right w:val="nil"/>
          <w:insideH w:val="nil"/>
          <w:insideV w:val="nil"/>
        </w:tcBorders>
      </w:tcPr>
    </w:tblStylePr>
    <w:tblStylePr w:type="lastRow">
      <w:pPr>
        <w:spacing w:before="0" w:after="0" w:line="240" w:lineRule="auto"/>
      </w:pPr>
      <w:rPr>
        <w:b/>
        <w:bCs/>
      </w:rPr>
      <w:tblPr/>
      <w:tcPr>
        <w:tcBorders>
          <w:top w:val="single" w:sz="8" w:space="0" w:color="029676" w:themeColor="accent4"/>
          <w:left w:val="nil"/>
          <w:bottom w:val="single" w:sz="8" w:space="0" w:color="02967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DEA" w:themeFill="accent4" w:themeFillTint="3F"/>
      </w:tcPr>
    </w:tblStylePr>
    <w:tblStylePr w:type="band1Horz">
      <w:tblPr/>
      <w:tcPr>
        <w:tcBorders>
          <w:left w:val="nil"/>
          <w:right w:val="nil"/>
          <w:insideH w:val="nil"/>
          <w:insideV w:val="nil"/>
        </w:tcBorders>
        <w:shd w:val="clear" w:color="auto" w:fill="A7FDEA" w:themeFill="accent4" w:themeFillTint="3F"/>
      </w:tcPr>
    </w:tblStylePr>
  </w:style>
  <w:style w:type="table" w:styleId="LightShading-Accent5">
    <w:name w:val="Light Shading Accent 5"/>
    <w:basedOn w:val="TableNormal"/>
    <w:uiPriority w:val="60"/>
    <w:rsid w:val="00FC693F"/>
    <w:pPr>
      <w:spacing w:after="0" w:line="240" w:lineRule="auto"/>
    </w:pPr>
    <w:rPr>
      <w:color w:val="318B98" w:themeColor="accent5" w:themeShade="BF"/>
    </w:rPr>
    <w:tblPr>
      <w:tblStyleRowBandSize w:val="1"/>
      <w:tblStyleColBandSize w:val="1"/>
      <w:tblBorders>
        <w:top w:val="single" w:sz="8" w:space="0" w:color="4AB5C4" w:themeColor="accent5"/>
        <w:bottom w:val="single" w:sz="8" w:space="0" w:color="4AB5C4" w:themeColor="accent5"/>
      </w:tblBorders>
    </w:tblPr>
    <w:tblStylePr w:type="firstRow">
      <w:pPr>
        <w:spacing w:before="0" w:after="0" w:line="240" w:lineRule="auto"/>
      </w:pPr>
      <w:rPr>
        <w:b/>
        <w:bCs/>
      </w:rPr>
      <w:tblPr/>
      <w:tcPr>
        <w:tcBorders>
          <w:top w:val="single" w:sz="8" w:space="0" w:color="4AB5C4" w:themeColor="accent5"/>
          <w:left w:val="nil"/>
          <w:bottom w:val="single" w:sz="8" w:space="0" w:color="4AB5C4" w:themeColor="accent5"/>
          <w:right w:val="nil"/>
          <w:insideH w:val="nil"/>
          <w:insideV w:val="nil"/>
        </w:tcBorders>
      </w:tcPr>
    </w:tblStylePr>
    <w:tblStylePr w:type="lastRow">
      <w:pPr>
        <w:spacing w:before="0" w:after="0" w:line="240" w:lineRule="auto"/>
      </w:pPr>
      <w:rPr>
        <w:b/>
        <w:bCs/>
      </w:rPr>
      <w:tblPr/>
      <w:tcPr>
        <w:tcBorders>
          <w:top w:val="single" w:sz="8" w:space="0" w:color="4AB5C4" w:themeColor="accent5"/>
          <w:left w:val="nil"/>
          <w:bottom w:val="single" w:sz="8" w:space="0" w:color="4AB5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CF0" w:themeFill="accent5" w:themeFillTint="3F"/>
      </w:tcPr>
    </w:tblStylePr>
    <w:tblStylePr w:type="band1Horz">
      <w:tblPr/>
      <w:tcPr>
        <w:tcBorders>
          <w:left w:val="nil"/>
          <w:right w:val="nil"/>
          <w:insideH w:val="nil"/>
          <w:insideV w:val="nil"/>
        </w:tcBorders>
        <w:shd w:val="clear" w:color="auto" w:fill="D2ECF0" w:themeFill="accent5" w:themeFillTint="3F"/>
      </w:tcPr>
    </w:tblStylePr>
  </w:style>
  <w:style w:type="table" w:styleId="LightShading-Accent6">
    <w:name w:val="Light Shading Accent 6"/>
    <w:basedOn w:val="TableNormal"/>
    <w:uiPriority w:val="60"/>
    <w:rsid w:val="00FC693F"/>
    <w:pPr>
      <w:spacing w:after="0" w:line="240" w:lineRule="auto"/>
    </w:pPr>
    <w:rPr>
      <w:color w:val="066684" w:themeColor="accent6" w:themeShade="BF"/>
    </w:rPr>
    <w:tblPr>
      <w:tblStyleRowBandSize w:val="1"/>
      <w:tblStyleColBandSize w:val="1"/>
      <w:tblBorders>
        <w:top w:val="single" w:sz="8" w:space="0" w:color="0989B1" w:themeColor="accent6"/>
        <w:bottom w:val="single" w:sz="8" w:space="0" w:color="0989B1" w:themeColor="accent6"/>
      </w:tblBorders>
    </w:tblPr>
    <w:tblStylePr w:type="firstRow">
      <w:pPr>
        <w:spacing w:before="0" w:after="0" w:line="240" w:lineRule="auto"/>
      </w:pPr>
      <w:rPr>
        <w:b/>
        <w:bCs/>
      </w:rPr>
      <w:tblPr/>
      <w:tcPr>
        <w:tcBorders>
          <w:top w:val="single" w:sz="8" w:space="0" w:color="0989B1" w:themeColor="accent6"/>
          <w:left w:val="nil"/>
          <w:bottom w:val="single" w:sz="8" w:space="0" w:color="0989B1" w:themeColor="accent6"/>
          <w:right w:val="nil"/>
          <w:insideH w:val="nil"/>
          <w:insideV w:val="nil"/>
        </w:tcBorders>
      </w:tcPr>
    </w:tblStylePr>
    <w:tblStylePr w:type="lastRow">
      <w:pPr>
        <w:spacing w:before="0" w:after="0" w:line="240" w:lineRule="auto"/>
      </w:pPr>
      <w:rPr>
        <w:b/>
        <w:bCs/>
      </w:rPr>
      <w:tblPr/>
      <w:tcPr>
        <w:tcBorders>
          <w:top w:val="single" w:sz="8" w:space="0" w:color="0989B1" w:themeColor="accent6"/>
          <w:left w:val="nil"/>
          <w:bottom w:val="single" w:sz="8" w:space="0" w:color="0989B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9FB" w:themeFill="accent6" w:themeFillTint="3F"/>
      </w:tcPr>
    </w:tblStylePr>
    <w:tblStylePr w:type="band1Horz">
      <w:tblPr/>
      <w:tcPr>
        <w:tcBorders>
          <w:left w:val="nil"/>
          <w:right w:val="nil"/>
          <w:insideH w:val="nil"/>
          <w:insideV w:val="nil"/>
        </w:tcBorders>
        <w:shd w:val="clear" w:color="auto" w:fill="B2E9FB"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549E39" w:themeColor="accent1"/>
        <w:left w:val="single" w:sz="8" w:space="0" w:color="549E39" w:themeColor="accent1"/>
        <w:bottom w:val="single" w:sz="8" w:space="0" w:color="549E39" w:themeColor="accent1"/>
        <w:right w:val="single" w:sz="8" w:space="0" w:color="549E39" w:themeColor="accent1"/>
      </w:tblBorders>
    </w:tblPr>
    <w:tblStylePr w:type="firstRow">
      <w:pPr>
        <w:spacing w:before="0" w:after="0" w:line="240" w:lineRule="auto"/>
      </w:pPr>
      <w:rPr>
        <w:b/>
        <w:bCs/>
        <w:color w:val="FFFFFF" w:themeColor="background1"/>
      </w:rPr>
      <w:tblPr/>
      <w:tcPr>
        <w:shd w:val="clear" w:color="auto" w:fill="549E39" w:themeFill="accent1"/>
      </w:tcPr>
    </w:tblStylePr>
    <w:tblStylePr w:type="lastRow">
      <w:pPr>
        <w:spacing w:before="0" w:after="0" w:line="240" w:lineRule="auto"/>
      </w:pPr>
      <w:rPr>
        <w:b/>
        <w:bCs/>
      </w:rPr>
      <w:tblPr/>
      <w:tcPr>
        <w:tcBorders>
          <w:top w:val="double" w:sz="6" w:space="0" w:color="549E39" w:themeColor="accent1"/>
          <w:left w:val="single" w:sz="8" w:space="0" w:color="549E39" w:themeColor="accent1"/>
          <w:bottom w:val="single" w:sz="8" w:space="0" w:color="549E39" w:themeColor="accent1"/>
          <w:right w:val="single" w:sz="8" w:space="0" w:color="549E39" w:themeColor="accent1"/>
        </w:tcBorders>
      </w:tcPr>
    </w:tblStylePr>
    <w:tblStylePr w:type="firstCol">
      <w:rPr>
        <w:b/>
        <w:bCs/>
      </w:rPr>
    </w:tblStylePr>
    <w:tblStylePr w:type="lastCol">
      <w:rPr>
        <w:b/>
        <w:bCs/>
      </w:rPr>
    </w:tblStylePr>
    <w:tblStylePr w:type="band1Vert">
      <w:tblPr/>
      <w:tcPr>
        <w:tcBorders>
          <w:top w:val="single" w:sz="8" w:space="0" w:color="549E39" w:themeColor="accent1"/>
          <w:left w:val="single" w:sz="8" w:space="0" w:color="549E39" w:themeColor="accent1"/>
          <w:bottom w:val="single" w:sz="8" w:space="0" w:color="549E39" w:themeColor="accent1"/>
          <w:right w:val="single" w:sz="8" w:space="0" w:color="549E39" w:themeColor="accent1"/>
        </w:tcBorders>
      </w:tcPr>
    </w:tblStylePr>
    <w:tblStylePr w:type="band1Horz">
      <w:tblPr/>
      <w:tcPr>
        <w:tcBorders>
          <w:top w:val="single" w:sz="8" w:space="0" w:color="549E39" w:themeColor="accent1"/>
          <w:left w:val="single" w:sz="8" w:space="0" w:color="549E39" w:themeColor="accent1"/>
          <w:bottom w:val="single" w:sz="8" w:space="0" w:color="549E39" w:themeColor="accent1"/>
          <w:right w:val="single" w:sz="8" w:space="0" w:color="549E39"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8AB833" w:themeColor="accent2"/>
        <w:left w:val="single" w:sz="8" w:space="0" w:color="8AB833" w:themeColor="accent2"/>
        <w:bottom w:val="single" w:sz="8" w:space="0" w:color="8AB833" w:themeColor="accent2"/>
        <w:right w:val="single" w:sz="8" w:space="0" w:color="8AB833" w:themeColor="accent2"/>
      </w:tblBorders>
    </w:tblPr>
    <w:tblStylePr w:type="firstRow">
      <w:pPr>
        <w:spacing w:before="0" w:after="0" w:line="240" w:lineRule="auto"/>
      </w:pPr>
      <w:rPr>
        <w:b/>
        <w:bCs/>
        <w:color w:val="FFFFFF" w:themeColor="background1"/>
      </w:rPr>
      <w:tblPr/>
      <w:tcPr>
        <w:shd w:val="clear" w:color="auto" w:fill="8AB833" w:themeFill="accent2"/>
      </w:tcPr>
    </w:tblStylePr>
    <w:tblStylePr w:type="lastRow">
      <w:pPr>
        <w:spacing w:before="0" w:after="0" w:line="240" w:lineRule="auto"/>
      </w:pPr>
      <w:rPr>
        <w:b/>
        <w:bCs/>
      </w:rPr>
      <w:tblPr/>
      <w:tcPr>
        <w:tcBorders>
          <w:top w:val="double" w:sz="6" w:space="0" w:color="8AB833" w:themeColor="accent2"/>
          <w:left w:val="single" w:sz="8" w:space="0" w:color="8AB833" w:themeColor="accent2"/>
          <w:bottom w:val="single" w:sz="8" w:space="0" w:color="8AB833" w:themeColor="accent2"/>
          <w:right w:val="single" w:sz="8" w:space="0" w:color="8AB833" w:themeColor="accent2"/>
        </w:tcBorders>
      </w:tcPr>
    </w:tblStylePr>
    <w:tblStylePr w:type="firstCol">
      <w:rPr>
        <w:b/>
        <w:bCs/>
      </w:rPr>
    </w:tblStylePr>
    <w:tblStylePr w:type="lastCol">
      <w:rPr>
        <w:b/>
        <w:bCs/>
      </w:rPr>
    </w:tblStylePr>
    <w:tblStylePr w:type="band1Vert">
      <w:tblPr/>
      <w:tcPr>
        <w:tcBorders>
          <w:top w:val="single" w:sz="8" w:space="0" w:color="8AB833" w:themeColor="accent2"/>
          <w:left w:val="single" w:sz="8" w:space="0" w:color="8AB833" w:themeColor="accent2"/>
          <w:bottom w:val="single" w:sz="8" w:space="0" w:color="8AB833" w:themeColor="accent2"/>
          <w:right w:val="single" w:sz="8" w:space="0" w:color="8AB833" w:themeColor="accent2"/>
        </w:tcBorders>
      </w:tcPr>
    </w:tblStylePr>
    <w:tblStylePr w:type="band1Horz">
      <w:tblPr/>
      <w:tcPr>
        <w:tcBorders>
          <w:top w:val="single" w:sz="8" w:space="0" w:color="8AB833" w:themeColor="accent2"/>
          <w:left w:val="single" w:sz="8" w:space="0" w:color="8AB833" w:themeColor="accent2"/>
          <w:bottom w:val="single" w:sz="8" w:space="0" w:color="8AB833" w:themeColor="accent2"/>
          <w:right w:val="single" w:sz="8" w:space="0" w:color="8AB833"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C0CF3A" w:themeColor="accent3"/>
        <w:left w:val="single" w:sz="8" w:space="0" w:color="C0CF3A" w:themeColor="accent3"/>
        <w:bottom w:val="single" w:sz="8" w:space="0" w:color="C0CF3A" w:themeColor="accent3"/>
        <w:right w:val="single" w:sz="8" w:space="0" w:color="C0CF3A" w:themeColor="accent3"/>
      </w:tblBorders>
    </w:tblPr>
    <w:tblStylePr w:type="firstRow">
      <w:pPr>
        <w:spacing w:before="0" w:after="0" w:line="240" w:lineRule="auto"/>
      </w:pPr>
      <w:rPr>
        <w:b/>
        <w:bCs/>
        <w:color w:val="FFFFFF" w:themeColor="background1"/>
      </w:rPr>
      <w:tblPr/>
      <w:tcPr>
        <w:shd w:val="clear" w:color="auto" w:fill="C0CF3A" w:themeFill="accent3"/>
      </w:tcPr>
    </w:tblStylePr>
    <w:tblStylePr w:type="lastRow">
      <w:pPr>
        <w:spacing w:before="0" w:after="0" w:line="240" w:lineRule="auto"/>
      </w:pPr>
      <w:rPr>
        <w:b/>
        <w:bCs/>
      </w:rPr>
      <w:tblPr/>
      <w:tcPr>
        <w:tcBorders>
          <w:top w:val="double" w:sz="6" w:space="0" w:color="C0CF3A" w:themeColor="accent3"/>
          <w:left w:val="single" w:sz="8" w:space="0" w:color="C0CF3A" w:themeColor="accent3"/>
          <w:bottom w:val="single" w:sz="8" w:space="0" w:color="C0CF3A" w:themeColor="accent3"/>
          <w:right w:val="single" w:sz="8" w:space="0" w:color="C0CF3A" w:themeColor="accent3"/>
        </w:tcBorders>
      </w:tcPr>
    </w:tblStylePr>
    <w:tblStylePr w:type="firstCol">
      <w:rPr>
        <w:b/>
        <w:bCs/>
      </w:rPr>
    </w:tblStylePr>
    <w:tblStylePr w:type="lastCol">
      <w:rPr>
        <w:b/>
        <w:bCs/>
      </w:rPr>
    </w:tblStylePr>
    <w:tblStylePr w:type="band1Vert">
      <w:tblPr/>
      <w:tcPr>
        <w:tcBorders>
          <w:top w:val="single" w:sz="8" w:space="0" w:color="C0CF3A" w:themeColor="accent3"/>
          <w:left w:val="single" w:sz="8" w:space="0" w:color="C0CF3A" w:themeColor="accent3"/>
          <w:bottom w:val="single" w:sz="8" w:space="0" w:color="C0CF3A" w:themeColor="accent3"/>
          <w:right w:val="single" w:sz="8" w:space="0" w:color="C0CF3A" w:themeColor="accent3"/>
        </w:tcBorders>
      </w:tcPr>
    </w:tblStylePr>
    <w:tblStylePr w:type="band1Horz">
      <w:tblPr/>
      <w:tcPr>
        <w:tcBorders>
          <w:top w:val="single" w:sz="8" w:space="0" w:color="C0CF3A" w:themeColor="accent3"/>
          <w:left w:val="single" w:sz="8" w:space="0" w:color="C0CF3A" w:themeColor="accent3"/>
          <w:bottom w:val="single" w:sz="8" w:space="0" w:color="C0CF3A" w:themeColor="accent3"/>
          <w:right w:val="single" w:sz="8" w:space="0" w:color="C0CF3A"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29676" w:themeColor="accent4"/>
        <w:left w:val="single" w:sz="8" w:space="0" w:color="029676" w:themeColor="accent4"/>
        <w:bottom w:val="single" w:sz="8" w:space="0" w:color="029676" w:themeColor="accent4"/>
        <w:right w:val="single" w:sz="8" w:space="0" w:color="029676" w:themeColor="accent4"/>
      </w:tblBorders>
    </w:tblPr>
    <w:tblStylePr w:type="firstRow">
      <w:pPr>
        <w:spacing w:before="0" w:after="0" w:line="240" w:lineRule="auto"/>
      </w:pPr>
      <w:rPr>
        <w:b/>
        <w:bCs/>
        <w:color w:val="FFFFFF" w:themeColor="background1"/>
      </w:rPr>
      <w:tblPr/>
      <w:tcPr>
        <w:shd w:val="clear" w:color="auto" w:fill="029676" w:themeFill="accent4"/>
      </w:tcPr>
    </w:tblStylePr>
    <w:tblStylePr w:type="lastRow">
      <w:pPr>
        <w:spacing w:before="0" w:after="0" w:line="240" w:lineRule="auto"/>
      </w:pPr>
      <w:rPr>
        <w:b/>
        <w:bCs/>
      </w:rPr>
      <w:tblPr/>
      <w:tcPr>
        <w:tcBorders>
          <w:top w:val="double" w:sz="6" w:space="0" w:color="029676" w:themeColor="accent4"/>
          <w:left w:val="single" w:sz="8" w:space="0" w:color="029676" w:themeColor="accent4"/>
          <w:bottom w:val="single" w:sz="8" w:space="0" w:color="029676" w:themeColor="accent4"/>
          <w:right w:val="single" w:sz="8" w:space="0" w:color="029676" w:themeColor="accent4"/>
        </w:tcBorders>
      </w:tcPr>
    </w:tblStylePr>
    <w:tblStylePr w:type="firstCol">
      <w:rPr>
        <w:b/>
        <w:bCs/>
      </w:rPr>
    </w:tblStylePr>
    <w:tblStylePr w:type="lastCol">
      <w:rPr>
        <w:b/>
        <w:bCs/>
      </w:rPr>
    </w:tblStylePr>
    <w:tblStylePr w:type="band1Vert">
      <w:tblPr/>
      <w:tcPr>
        <w:tcBorders>
          <w:top w:val="single" w:sz="8" w:space="0" w:color="029676" w:themeColor="accent4"/>
          <w:left w:val="single" w:sz="8" w:space="0" w:color="029676" w:themeColor="accent4"/>
          <w:bottom w:val="single" w:sz="8" w:space="0" w:color="029676" w:themeColor="accent4"/>
          <w:right w:val="single" w:sz="8" w:space="0" w:color="029676" w:themeColor="accent4"/>
        </w:tcBorders>
      </w:tcPr>
    </w:tblStylePr>
    <w:tblStylePr w:type="band1Horz">
      <w:tblPr/>
      <w:tcPr>
        <w:tcBorders>
          <w:top w:val="single" w:sz="8" w:space="0" w:color="029676" w:themeColor="accent4"/>
          <w:left w:val="single" w:sz="8" w:space="0" w:color="029676" w:themeColor="accent4"/>
          <w:bottom w:val="single" w:sz="8" w:space="0" w:color="029676" w:themeColor="accent4"/>
          <w:right w:val="single" w:sz="8" w:space="0" w:color="029676"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AB5C4" w:themeColor="accent5"/>
        <w:left w:val="single" w:sz="8" w:space="0" w:color="4AB5C4" w:themeColor="accent5"/>
        <w:bottom w:val="single" w:sz="8" w:space="0" w:color="4AB5C4" w:themeColor="accent5"/>
        <w:right w:val="single" w:sz="8" w:space="0" w:color="4AB5C4" w:themeColor="accent5"/>
      </w:tblBorders>
    </w:tblPr>
    <w:tblStylePr w:type="firstRow">
      <w:pPr>
        <w:spacing w:before="0" w:after="0" w:line="240" w:lineRule="auto"/>
      </w:pPr>
      <w:rPr>
        <w:b/>
        <w:bCs/>
        <w:color w:val="FFFFFF" w:themeColor="background1"/>
      </w:rPr>
      <w:tblPr/>
      <w:tcPr>
        <w:shd w:val="clear" w:color="auto" w:fill="4AB5C4" w:themeFill="accent5"/>
      </w:tcPr>
    </w:tblStylePr>
    <w:tblStylePr w:type="lastRow">
      <w:pPr>
        <w:spacing w:before="0" w:after="0" w:line="240" w:lineRule="auto"/>
      </w:pPr>
      <w:rPr>
        <w:b/>
        <w:bCs/>
      </w:rPr>
      <w:tblPr/>
      <w:tcPr>
        <w:tcBorders>
          <w:top w:val="double" w:sz="6" w:space="0" w:color="4AB5C4" w:themeColor="accent5"/>
          <w:left w:val="single" w:sz="8" w:space="0" w:color="4AB5C4" w:themeColor="accent5"/>
          <w:bottom w:val="single" w:sz="8" w:space="0" w:color="4AB5C4" w:themeColor="accent5"/>
          <w:right w:val="single" w:sz="8" w:space="0" w:color="4AB5C4" w:themeColor="accent5"/>
        </w:tcBorders>
      </w:tcPr>
    </w:tblStylePr>
    <w:tblStylePr w:type="firstCol">
      <w:rPr>
        <w:b/>
        <w:bCs/>
      </w:rPr>
    </w:tblStylePr>
    <w:tblStylePr w:type="lastCol">
      <w:rPr>
        <w:b/>
        <w:bCs/>
      </w:rPr>
    </w:tblStylePr>
    <w:tblStylePr w:type="band1Vert">
      <w:tblPr/>
      <w:tcPr>
        <w:tcBorders>
          <w:top w:val="single" w:sz="8" w:space="0" w:color="4AB5C4" w:themeColor="accent5"/>
          <w:left w:val="single" w:sz="8" w:space="0" w:color="4AB5C4" w:themeColor="accent5"/>
          <w:bottom w:val="single" w:sz="8" w:space="0" w:color="4AB5C4" w:themeColor="accent5"/>
          <w:right w:val="single" w:sz="8" w:space="0" w:color="4AB5C4" w:themeColor="accent5"/>
        </w:tcBorders>
      </w:tcPr>
    </w:tblStylePr>
    <w:tblStylePr w:type="band1Horz">
      <w:tblPr/>
      <w:tcPr>
        <w:tcBorders>
          <w:top w:val="single" w:sz="8" w:space="0" w:color="4AB5C4" w:themeColor="accent5"/>
          <w:left w:val="single" w:sz="8" w:space="0" w:color="4AB5C4" w:themeColor="accent5"/>
          <w:bottom w:val="single" w:sz="8" w:space="0" w:color="4AB5C4" w:themeColor="accent5"/>
          <w:right w:val="single" w:sz="8" w:space="0" w:color="4AB5C4"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0989B1" w:themeColor="accent6"/>
        <w:left w:val="single" w:sz="8" w:space="0" w:color="0989B1" w:themeColor="accent6"/>
        <w:bottom w:val="single" w:sz="8" w:space="0" w:color="0989B1" w:themeColor="accent6"/>
        <w:right w:val="single" w:sz="8" w:space="0" w:color="0989B1" w:themeColor="accent6"/>
      </w:tblBorders>
    </w:tblPr>
    <w:tblStylePr w:type="firstRow">
      <w:pPr>
        <w:spacing w:before="0" w:after="0" w:line="240" w:lineRule="auto"/>
      </w:pPr>
      <w:rPr>
        <w:b/>
        <w:bCs/>
        <w:color w:val="FFFFFF" w:themeColor="background1"/>
      </w:rPr>
      <w:tblPr/>
      <w:tcPr>
        <w:shd w:val="clear" w:color="auto" w:fill="0989B1" w:themeFill="accent6"/>
      </w:tcPr>
    </w:tblStylePr>
    <w:tblStylePr w:type="lastRow">
      <w:pPr>
        <w:spacing w:before="0" w:after="0" w:line="240" w:lineRule="auto"/>
      </w:pPr>
      <w:rPr>
        <w:b/>
        <w:bCs/>
      </w:rPr>
      <w:tblPr/>
      <w:tcPr>
        <w:tcBorders>
          <w:top w:val="double" w:sz="6" w:space="0" w:color="0989B1" w:themeColor="accent6"/>
          <w:left w:val="single" w:sz="8" w:space="0" w:color="0989B1" w:themeColor="accent6"/>
          <w:bottom w:val="single" w:sz="8" w:space="0" w:color="0989B1" w:themeColor="accent6"/>
          <w:right w:val="single" w:sz="8" w:space="0" w:color="0989B1" w:themeColor="accent6"/>
        </w:tcBorders>
      </w:tcPr>
    </w:tblStylePr>
    <w:tblStylePr w:type="firstCol">
      <w:rPr>
        <w:b/>
        <w:bCs/>
      </w:rPr>
    </w:tblStylePr>
    <w:tblStylePr w:type="lastCol">
      <w:rPr>
        <w:b/>
        <w:bCs/>
      </w:rPr>
    </w:tblStylePr>
    <w:tblStylePr w:type="band1Vert">
      <w:tblPr/>
      <w:tcPr>
        <w:tcBorders>
          <w:top w:val="single" w:sz="8" w:space="0" w:color="0989B1" w:themeColor="accent6"/>
          <w:left w:val="single" w:sz="8" w:space="0" w:color="0989B1" w:themeColor="accent6"/>
          <w:bottom w:val="single" w:sz="8" w:space="0" w:color="0989B1" w:themeColor="accent6"/>
          <w:right w:val="single" w:sz="8" w:space="0" w:color="0989B1" w:themeColor="accent6"/>
        </w:tcBorders>
      </w:tcPr>
    </w:tblStylePr>
    <w:tblStylePr w:type="band1Horz">
      <w:tblPr/>
      <w:tcPr>
        <w:tcBorders>
          <w:top w:val="single" w:sz="8" w:space="0" w:color="0989B1" w:themeColor="accent6"/>
          <w:left w:val="single" w:sz="8" w:space="0" w:color="0989B1" w:themeColor="accent6"/>
          <w:bottom w:val="single" w:sz="8" w:space="0" w:color="0989B1" w:themeColor="accent6"/>
          <w:right w:val="single" w:sz="8" w:space="0" w:color="0989B1"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549E39" w:themeColor="accent1"/>
        <w:left w:val="single" w:sz="8" w:space="0" w:color="549E39" w:themeColor="accent1"/>
        <w:bottom w:val="single" w:sz="8" w:space="0" w:color="549E39" w:themeColor="accent1"/>
        <w:right w:val="single" w:sz="8" w:space="0" w:color="549E39" w:themeColor="accent1"/>
        <w:insideH w:val="single" w:sz="8" w:space="0" w:color="549E39" w:themeColor="accent1"/>
        <w:insideV w:val="single" w:sz="8" w:space="0" w:color="549E3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49E39" w:themeColor="accent1"/>
          <w:left w:val="single" w:sz="8" w:space="0" w:color="549E39" w:themeColor="accent1"/>
          <w:bottom w:val="single" w:sz="18" w:space="0" w:color="549E39" w:themeColor="accent1"/>
          <w:right w:val="single" w:sz="8" w:space="0" w:color="549E39" w:themeColor="accent1"/>
          <w:insideH w:val="nil"/>
          <w:insideV w:val="single" w:sz="8" w:space="0" w:color="549E3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49E39" w:themeColor="accent1"/>
          <w:left w:val="single" w:sz="8" w:space="0" w:color="549E39" w:themeColor="accent1"/>
          <w:bottom w:val="single" w:sz="8" w:space="0" w:color="549E39" w:themeColor="accent1"/>
          <w:right w:val="single" w:sz="8" w:space="0" w:color="549E39" w:themeColor="accent1"/>
          <w:insideH w:val="nil"/>
          <w:insideV w:val="single" w:sz="8" w:space="0" w:color="549E3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49E39" w:themeColor="accent1"/>
          <w:left w:val="single" w:sz="8" w:space="0" w:color="549E39" w:themeColor="accent1"/>
          <w:bottom w:val="single" w:sz="8" w:space="0" w:color="549E39" w:themeColor="accent1"/>
          <w:right w:val="single" w:sz="8" w:space="0" w:color="549E39" w:themeColor="accent1"/>
        </w:tcBorders>
      </w:tcPr>
    </w:tblStylePr>
    <w:tblStylePr w:type="band1Vert">
      <w:tblPr/>
      <w:tcPr>
        <w:tcBorders>
          <w:top w:val="single" w:sz="8" w:space="0" w:color="549E39" w:themeColor="accent1"/>
          <w:left w:val="single" w:sz="8" w:space="0" w:color="549E39" w:themeColor="accent1"/>
          <w:bottom w:val="single" w:sz="8" w:space="0" w:color="549E39" w:themeColor="accent1"/>
          <w:right w:val="single" w:sz="8" w:space="0" w:color="549E39" w:themeColor="accent1"/>
        </w:tcBorders>
        <w:shd w:val="clear" w:color="auto" w:fill="D2EBC9" w:themeFill="accent1" w:themeFillTint="3F"/>
      </w:tcPr>
    </w:tblStylePr>
    <w:tblStylePr w:type="band1Horz">
      <w:tblPr/>
      <w:tcPr>
        <w:tcBorders>
          <w:top w:val="single" w:sz="8" w:space="0" w:color="549E39" w:themeColor="accent1"/>
          <w:left w:val="single" w:sz="8" w:space="0" w:color="549E39" w:themeColor="accent1"/>
          <w:bottom w:val="single" w:sz="8" w:space="0" w:color="549E39" w:themeColor="accent1"/>
          <w:right w:val="single" w:sz="8" w:space="0" w:color="549E39" w:themeColor="accent1"/>
          <w:insideV w:val="single" w:sz="8" w:space="0" w:color="549E39" w:themeColor="accent1"/>
        </w:tcBorders>
        <w:shd w:val="clear" w:color="auto" w:fill="D2EBC9" w:themeFill="accent1" w:themeFillTint="3F"/>
      </w:tcPr>
    </w:tblStylePr>
    <w:tblStylePr w:type="band2Horz">
      <w:tblPr/>
      <w:tcPr>
        <w:tcBorders>
          <w:top w:val="single" w:sz="8" w:space="0" w:color="549E39" w:themeColor="accent1"/>
          <w:left w:val="single" w:sz="8" w:space="0" w:color="549E39" w:themeColor="accent1"/>
          <w:bottom w:val="single" w:sz="8" w:space="0" w:color="549E39" w:themeColor="accent1"/>
          <w:right w:val="single" w:sz="8" w:space="0" w:color="549E39" w:themeColor="accent1"/>
          <w:insideV w:val="single" w:sz="8" w:space="0" w:color="549E39"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8AB833" w:themeColor="accent2"/>
        <w:left w:val="single" w:sz="8" w:space="0" w:color="8AB833" w:themeColor="accent2"/>
        <w:bottom w:val="single" w:sz="8" w:space="0" w:color="8AB833" w:themeColor="accent2"/>
        <w:right w:val="single" w:sz="8" w:space="0" w:color="8AB833" w:themeColor="accent2"/>
        <w:insideH w:val="single" w:sz="8" w:space="0" w:color="8AB833" w:themeColor="accent2"/>
        <w:insideV w:val="single" w:sz="8" w:space="0" w:color="8AB8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B833" w:themeColor="accent2"/>
          <w:left w:val="single" w:sz="8" w:space="0" w:color="8AB833" w:themeColor="accent2"/>
          <w:bottom w:val="single" w:sz="18" w:space="0" w:color="8AB833" w:themeColor="accent2"/>
          <w:right w:val="single" w:sz="8" w:space="0" w:color="8AB833" w:themeColor="accent2"/>
          <w:insideH w:val="nil"/>
          <w:insideV w:val="single" w:sz="8" w:space="0" w:color="8AB8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B833" w:themeColor="accent2"/>
          <w:left w:val="single" w:sz="8" w:space="0" w:color="8AB833" w:themeColor="accent2"/>
          <w:bottom w:val="single" w:sz="8" w:space="0" w:color="8AB833" w:themeColor="accent2"/>
          <w:right w:val="single" w:sz="8" w:space="0" w:color="8AB833" w:themeColor="accent2"/>
          <w:insideH w:val="nil"/>
          <w:insideV w:val="single" w:sz="8" w:space="0" w:color="8AB8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B833" w:themeColor="accent2"/>
          <w:left w:val="single" w:sz="8" w:space="0" w:color="8AB833" w:themeColor="accent2"/>
          <w:bottom w:val="single" w:sz="8" w:space="0" w:color="8AB833" w:themeColor="accent2"/>
          <w:right w:val="single" w:sz="8" w:space="0" w:color="8AB833" w:themeColor="accent2"/>
        </w:tcBorders>
      </w:tcPr>
    </w:tblStylePr>
    <w:tblStylePr w:type="band1Vert">
      <w:tblPr/>
      <w:tcPr>
        <w:tcBorders>
          <w:top w:val="single" w:sz="8" w:space="0" w:color="8AB833" w:themeColor="accent2"/>
          <w:left w:val="single" w:sz="8" w:space="0" w:color="8AB833" w:themeColor="accent2"/>
          <w:bottom w:val="single" w:sz="8" w:space="0" w:color="8AB833" w:themeColor="accent2"/>
          <w:right w:val="single" w:sz="8" w:space="0" w:color="8AB833" w:themeColor="accent2"/>
        </w:tcBorders>
        <w:shd w:val="clear" w:color="auto" w:fill="E2F0C9" w:themeFill="accent2" w:themeFillTint="3F"/>
      </w:tcPr>
    </w:tblStylePr>
    <w:tblStylePr w:type="band1Horz">
      <w:tblPr/>
      <w:tcPr>
        <w:tcBorders>
          <w:top w:val="single" w:sz="8" w:space="0" w:color="8AB833" w:themeColor="accent2"/>
          <w:left w:val="single" w:sz="8" w:space="0" w:color="8AB833" w:themeColor="accent2"/>
          <w:bottom w:val="single" w:sz="8" w:space="0" w:color="8AB833" w:themeColor="accent2"/>
          <w:right w:val="single" w:sz="8" w:space="0" w:color="8AB833" w:themeColor="accent2"/>
          <w:insideV w:val="single" w:sz="8" w:space="0" w:color="8AB833" w:themeColor="accent2"/>
        </w:tcBorders>
        <w:shd w:val="clear" w:color="auto" w:fill="E2F0C9" w:themeFill="accent2" w:themeFillTint="3F"/>
      </w:tcPr>
    </w:tblStylePr>
    <w:tblStylePr w:type="band2Horz">
      <w:tblPr/>
      <w:tcPr>
        <w:tcBorders>
          <w:top w:val="single" w:sz="8" w:space="0" w:color="8AB833" w:themeColor="accent2"/>
          <w:left w:val="single" w:sz="8" w:space="0" w:color="8AB833" w:themeColor="accent2"/>
          <w:bottom w:val="single" w:sz="8" w:space="0" w:color="8AB833" w:themeColor="accent2"/>
          <w:right w:val="single" w:sz="8" w:space="0" w:color="8AB833" w:themeColor="accent2"/>
          <w:insideV w:val="single" w:sz="8" w:space="0" w:color="8AB833"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C0CF3A" w:themeColor="accent3"/>
        <w:left w:val="single" w:sz="8" w:space="0" w:color="C0CF3A" w:themeColor="accent3"/>
        <w:bottom w:val="single" w:sz="8" w:space="0" w:color="C0CF3A" w:themeColor="accent3"/>
        <w:right w:val="single" w:sz="8" w:space="0" w:color="C0CF3A" w:themeColor="accent3"/>
        <w:insideH w:val="single" w:sz="8" w:space="0" w:color="C0CF3A" w:themeColor="accent3"/>
        <w:insideV w:val="single" w:sz="8" w:space="0" w:color="C0CF3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CF3A" w:themeColor="accent3"/>
          <w:left w:val="single" w:sz="8" w:space="0" w:color="C0CF3A" w:themeColor="accent3"/>
          <w:bottom w:val="single" w:sz="18" w:space="0" w:color="C0CF3A" w:themeColor="accent3"/>
          <w:right w:val="single" w:sz="8" w:space="0" w:color="C0CF3A" w:themeColor="accent3"/>
          <w:insideH w:val="nil"/>
          <w:insideV w:val="single" w:sz="8" w:space="0" w:color="C0CF3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F3A" w:themeColor="accent3"/>
          <w:left w:val="single" w:sz="8" w:space="0" w:color="C0CF3A" w:themeColor="accent3"/>
          <w:bottom w:val="single" w:sz="8" w:space="0" w:color="C0CF3A" w:themeColor="accent3"/>
          <w:right w:val="single" w:sz="8" w:space="0" w:color="C0CF3A" w:themeColor="accent3"/>
          <w:insideH w:val="nil"/>
          <w:insideV w:val="single" w:sz="8" w:space="0" w:color="C0CF3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F3A" w:themeColor="accent3"/>
          <w:left w:val="single" w:sz="8" w:space="0" w:color="C0CF3A" w:themeColor="accent3"/>
          <w:bottom w:val="single" w:sz="8" w:space="0" w:color="C0CF3A" w:themeColor="accent3"/>
          <w:right w:val="single" w:sz="8" w:space="0" w:color="C0CF3A" w:themeColor="accent3"/>
        </w:tcBorders>
      </w:tcPr>
    </w:tblStylePr>
    <w:tblStylePr w:type="band1Vert">
      <w:tblPr/>
      <w:tcPr>
        <w:tcBorders>
          <w:top w:val="single" w:sz="8" w:space="0" w:color="C0CF3A" w:themeColor="accent3"/>
          <w:left w:val="single" w:sz="8" w:space="0" w:color="C0CF3A" w:themeColor="accent3"/>
          <w:bottom w:val="single" w:sz="8" w:space="0" w:color="C0CF3A" w:themeColor="accent3"/>
          <w:right w:val="single" w:sz="8" w:space="0" w:color="C0CF3A" w:themeColor="accent3"/>
        </w:tcBorders>
        <w:shd w:val="clear" w:color="auto" w:fill="EFF3CE" w:themeFill="accent3" w:themeFillTint="3F"/>
      </w:tcPr>
    </w:tblStylePr>
    <w:tblStylePr w:type="band1Horz">
      <w:tblPr/>
      <w:tcPr>
        <w:tcBorders>
          <w:top w:val="single" w:sz="8" w:space="0" w:color="C0CF3A" w:themeColor="accent3"/>
          <w:left w:val="single" w:sz="8" w:space="0" w:color="C0CF3A" w:themeColor="accent3"/>
          <w:bottom w:val="single" w:sz="8" w:space="0" w:color="C0CF3A" w:themeColor="accent3"/>
          <w:right w:val="single" w:sz="8" w:space="0" w:color="C0CF3A" w:themeColor="accent3"/>
          <w:insideV w:val="single" w:sz="8" w:space="0" w:color="C0CF3A" w:themeColor="accent3"/>
        </w:tcBorders>
        <w:shd w:val="clear" w:color="auto" w:fill="EFF3CE" w:themeFill="accent3" w:themeFillTint="3F"/>
      </w:tcPr>
    </w:tblStylePr>
    <w:tblStylePr w:type="band2Horz">
      <w:tblPr/>
      <w:tcPr>
        <w:tcBorders>
          <w:top w:val="single" w:sz="8" w:space="0" w:color="C0CF3A" w:themeColor="accent3"/>
          <w:left w:val="single" w:sz="8" w:space="0" w:color="C0CF3A" w:themeColor="accent3"/>
          <w:bottom w:val="single" w:sz="8" w:space="0" w:color="C0CF3A" w:themeColor="accent3"/>
          <w:right w:val="single" w:sz="8" w:space="0" w:color="C0CF3A" w:themeColor="accent3"/>
          <w:insideV w:val="single" w:sz="8" w:space="0" w:color="C0CF3A"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29676" w:themeColor="accent4"/>
        <w:left w:val="single" w:sz="8" w:space="0" w:color="029676" w:themeColor="accent4"/>
        <w:bottom w:val="single" w:sz="8" w:space="0" w:color="029676" w:themeColor="accent4"/>
        <w:right w:val="single" w:sz="8" w:space="0" w:color="029676" w:themeColor="accent4"/>
        <w:insideH w:val="single" w:sz="8" w:space="0" w:color="029676" w:themeColor="accent4"/>
        <w:insideV w:val="single" w:sz="8" w:space="0" w:color="02967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29676" w:themeColor="accent4"/>
          <w:left w:val="single" w:sz="8" w:space="0" w:color="029676" w:themeColor="accent4"/>
          <w:bottom w:val="single" w:sz="18" w:space="0" w:color="029676" w:themeColor="accent4"/>
          <w:right w:val="single" w:sz="8" w:space="0" w:color="029676" w:themeColor="accent4"/>
          <w:insideH w:val="nil"/>
          <w:insideV w:val="single" w:sz="8" w:space="0" w:color="02967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29676" w:themeColor="accent4"/>
          <w:left w:val="single" w:sz="8" w:space="0" w:color="029676" w:themeColor="accent4"/>
          <w:bottom w:val="single" w:sz="8" w:space="0" w:color="029676" w:themeColor="accent4"/>
          <w:right w:val="single" w:sz="8" w:space="0" w:color="029676" w:themeColor="accent4"/>
          <w:insideH w:val="nil"/>
          <w:insideV w:val="single" w:sz="8" w:space="0" w:color="02967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29676" w:themeColor="accent4"/>
          <w:left w:val="single" w:sz="8" w:space="0" w:color="029676" w:themeColor="accent4"/>
          <w:bottom w:val="single" w:sz="8" w:space="0" w:color="029676" w:themeColor="accent4"/>
          <w:right w:val="single" w:sz="8" w:space="0" w:color="029676" w:themeColor="accent4"/>
        </w:tcBorders>
      </w:tcPr>
    </w:tblStylePr>
    <w:tblStylePr w:type="band1Vert">
      <w:tblPr/>
      <w:tcPr>
        <w:tcBorders>
          <w:top w:val="single" w:sz="8" w:space="0" w:color="029676" w:themeColor="accent4"/>
          <w:left w:val="single" w:sz="8" w:space="0" w:color="029676" w:themeColor="accent4"/>
          <w:bottom w:val="single" w:sz="8" w:space="0" w:color="029676" w:themeColor="accent4"/>
          <w:right w:val="single" w:sz="8" w:space="0" w:color="029676" w:themeColor="accent4"/>
        </w:tcBorders>
        <w:shd w:val="clear" w:color="auto" w:fill="A7FDEA" w:themeFill="accent4" w:themeFillTint="3F"/>
      </w:tcPr>
    </w:tblStylePr>
    <w:tblStylePr w:type="band1Horz">
      <w:tblPr/>
      <w:tcPr>
        <w:tcBorders>
          <w:top w:val="single" w:sz="8" w:space="0" w:color="029676" w:themeColor="accent4"/>
          <w:left w:val="single" w:sz="8" w:space="0" w:color="029676" w:themeColor="accent4"/>
          <w:bottom w:val="single" w:sz="8" w:space="0" w:color="029676" w:themeColor="accent4"/>
          <w:right w:val="single" w:sz="8" w:space="0" w:color="029676" w:themeColor="accent4"/>
          <w:insideV w:val="single" w:sz="8" w:space="0" w:color="029676" w:themeColor="accent4"/>
        </w:tcBorders>
        <w:shd w:val="clear" w:color="auto" w:fill="A7FDEA" w:themeFill="accent4" w:themeFillTint="3F"/>
      </w:tcPr>
    </w:tblStylePr>
    <w:tblStylePr w:type="band2Horz">
      <w:tblPr/>
      <w:tcPr>
        <w:tcBorders>
          <w:top w:val="single" w:sz="8" w:space="0" w:color="029676" w:themeColor="accent4"/>
          <w:left w:val="single" w:sz="8" w:space="0" w:color="029676" w:themeColor="accent4"/>
          <w:bottom w:val="single" w:sz="8" w:space="0" w:color="029676" w:themeColor="accent4"/>
          <w:right w:val="single" w:sz="8" w:space="0" w:color="029676" w:themeColor="accent4"/>
          <w:insideV w:val="single" w:sz="8" w:space="0" w:color="029676"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AB5C4" w:themeColor="accent5"/>
        <w:left w:val="single" w:sz="8" w:space="0" w:color="4AB5C4" w:themeColor="accent5"/>
        <w:bottom w:val="single" w:sz="8" w:space="0" w:color="4AB5C4" w:themeColor="accent5"/>
        <w:right w:val="single" w:sz="8" w:space="0" w:color="4AB5C4" w:themeColor="accent5"/>
        <w:insideH w:val="single" w:sz="8" w:space="0" w:color="4AB5C4" w:themeColor="accent5"/>
        <w:insideV w:val="single" w:sz="8" w:space="0" w:color="4AB5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B5C4" w:themeColor="accent5"/>
          <w:left w:val="single" w:sz="8" w:space="0" w:color="4AB5C4" w:themeColor="accent5"/>
          <w:bottom w:val="single" w:sz="18" w:space="0" w:color="4AB5C4" w:themeColor="accent5"/>
          <w:right w:val="single" w:sz="8" w:space="0" w:color="4AB5C4" w:themeColor="accent5"/>
          <w:insideH w:val="nil"/>
          <w:insideV w:val="single" w:sz="8" w:space="0" w:color="4AB5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B5C4" w:themeColor="accent5"/>
          <w:left w:val="single" w:sz="8" w:space="0" w:color="4AB5C4" w:themeColor="accent5"/>
          <w:bottom w:val="single" w:sz="8" w:space="0" w:color="4AB5C4" w:themeColor="accent5"/>
          <w:right w:val="single" w:sz="8" w:space="0" w:color="4AB5C4" w:themeColor="accent5"/>
          <w:insideH w:val="nil"/>
          <w:insideV w:val="single" w:sz="8" w:space="0" w:color="4AB5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B5C4" w:themeColor="accent5"/>
          <w:left w:val="single" w:sz="8" w:space="0" w:color="4AB5C4" w:themeColor="accent5"/>
          <w:bottom w:val="single" w:sz="8" w:space="0" w:color="4AB5C4" w:themeColor="accent5"/>
          <w:right w:val="single" w:sz="8" w:space="0" w:color="4AB5C4" w:themeColor="accent5"/>
        </w:tcBorders>
      </w:tcPr>
    </w:tblStylePr>
    <w:tblStylePr w:type="band1Vert">
      <w:tblPr/>
      <w:tcPr>
        <w:tcBorders>
          <w:top w:val="single" w:sz="8" w:space="0" w:color="4AB5C4" w:themeColor="accent5"/>
          <w:left w:val="single" w:sz="8" w:space="0" w:color="4AB5C4" w:themeColor="accent5"/>
          <w:bottom w:val="single" w:sz="8" w:space="0" w:color="4AB5C4" w:themeColor="accent5"/>
          <w:right w:val="single" w:sz="8" w:space="0" w:color="4AB5C4" w:themeColor="accent5"/>
        </w:tcBorders>
        <w:shd w:val="clear" w:color="auto" w:fill="D2ECF0" w:themeFill="accent5" w:themeFillTint="3F"/>
      </w:tcPr>
    </w:tblStylePr>
    <w:tblStylePr w:type="band1Horz">
      <w:tblPr/>
      <w:tcPr>
        <w:tcBorders>
          <w:top w:val="single" w:sz="8" w:space="0" w:color="4AB5C4" w:themeColor="accent5"/>
          <w:left w:val="single" w:sz="8" w:space="0" w:color="4AB5C4" w:themeColor="accent5"/>
          <w:bottom w:val="single" w:sz="8" w:space="0" w:color="4AB5C4" w:themeColor="accent5"/>
          <w:right w:val="single" w:sz="8" w:space="0" w:color="4AB5C4" w:themeColor="accent5"/>
          <w:insideV w:val="single" w:sz="8" w:space="0" w:color="4AB5C4" w:themeColor="accent5"/>
        </w:tcBorders>
        <w:shd w:val="clear" w:color="auto" w:fill="D2ECF0" w:themeFill="accent5" w:themeFillTint="3F"/>
      </w:tcPr>
    </w:tblStylePr>
    <w:tblStylePr w:type="band2Horz">
      <w:tblPr/>
      <w:tcPr>
        <w:tcBorders>
          <w:top w:val="single" w:sz="8" w:space="0" w:color="4AB5C4" w:themeColor="accent5"/>
          <w:left w:val="single" w:sz="8" w:space="0" w:color="4AB5C4" w:themeColor="accent5"/>
          <w:bottom w:val="single" w:sz="8" w:space="0" w:color="4AB5C4" w:themeColor="accent5"/>
          <w:right w:val="single" w:sz="8" w:space="0" w:color="4AB5C4" w:themeColor="accent5"/>
          <w:insideV w:val="single" w:sz="8" w:space="0" w:color="4AB5C4"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0989B1" w:themeColor="accent6"/>
        <w:left w:val="single" w:sz="8" w:space="0" w:color="0989B1" w:themeColor="accent6"/>
        <w:bottom w:val="single" w:sz="8" w:space="0" w:color="0989B1" w:themeColor="accent6"/>
        <w:right w:val="single" w:sz="8" w:space="0" w:color="0989B1" w:themeColor="accent6"/>
        <w:insideH w:val="single" w:sz="8" w:space="0" w:color="0989B1" w:themeColor="accent6"/>
        <w:insideV w:val="single" w:sz="8" w:space="0" w:color="0989B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989B1" w:themeColor="accent6"/>
          <w:left w:val="single" w:sz="8" w:space="0" w:color="0989B1" w:themeColor="accent6"/>
          <w:bottom w:val="single" w:sz="18" w:space="0" w:color="0989B1" w:themeColor="accent6"/>
          <w:right w:val="single" w:sz="8" w:space="0" w:color="0989B1" w:themeColor="accent6"/>
          <w:insideH w:val="nil"/>
          <w:insideV w:val="single" w:sz="8" w:space="0" w:color="0989B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989B1" w:themeColor="accent6"/>
          <w:left w:val="single" w:sz="8" w:space="0" w:color="0989B1" w:themeColor="accent6"/>
          <w:bottom w:val="single" w:sz="8" w:space="0" w:color="0989B1" w:themeColor="accent6"/>
          <w:right w:val="single" w:sz="8" w:space="0" w:color="0989B1" w:themeColor="accent6"/>
          <w:insideH w:val="nil"/>
          <w:insideV w:val="single" w:sz="8" w:space="0" w:color="0989B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989B1" w:themeColor="accent6"/>
          <w:left w:val="single" w:sz="8" w:space="0" w:color="0989B1" w:themeColor="accent6"/>
          <w:bottom w:val="single" w:sz="8" w:space="0" w:color="0989B1" w:themeColor="accent6"/>
          <w:right w:val="single" w:sz="8" w:space="0" w:color="0989B1" w:themeColor="accent6"/>
        </w:tcBorders>
      </w:tcPr>
    </w:tblStylePr>
    <w:tblStylePr w:type="band1Vert">
      <w:tblPr/>
      <w:tcPr>
        <w:tcBorders>
          <w:top w:val="single" w:sz="8" w:space="0" w:color="0989B1" w:themeColor="accent6"/>
          <w:left w:val="single" w:sz="8" w:space="0" w:color="0989B1" w:themeColor="accent6"/>
          <w:bottom w:val="single" w:sz="8" w:space="0" w:color="0989B1" w:themeColor="accent6"/>
          <w:right w:val="single" w:sz="8" w:space="0" w:color="0989B1" w:themeColor="accent6"/>
        </w:tcBorders>
        <w:shd w:val="clear" w:color="auto" w:fill="B2E9FB" w:themeFill="accent6" w:themeFillTint="3F"/>
      </w:tcPr>
    </w:tblStylePr>
    <w:tblStylePr w:type="band1Horz">
      <w:tblPr/>
      <w:tcPr>
        <w:tcBorders>
          <w:top w:val="single" w:sz="8" w:space="0" w:color="0989B1" w:themeColor="accent6"/>
          <w:left w:val="single" w:sz="8" w:space="0" w:color="0989B1" w:themeColor="accent6"/>
          <w:bottom w:val="single" w:sz="8" w:space="0" w:color="0989B1" w:themeColor="accent6"/>
          <w:right w:val="single" w:sz="8" w:space="0" w:color="0989B1" w:themeColor="accent6"/>
          <w:insideV w:val="single" w:sz="8" w:space="0" w:color="0989B1" w:themeColor="accent6"/>
        </w:tcBorders>
        <w:shd w:val="clear" w:color="auto" w:fill="B2E9FB" w:themeFill="accent6" w:themeFillTint="3F"/>
      </w:tcPr>
    </w:tblStylePr>
    <w:tblStylePr w:type="band2Horz">
      <w:tblPr/>
      <w:tcPr>
        <w:tcBorders>
          <w:top w:val="single" w:sz="8" w:space="0" w:color="0989B1" w:themeColor="accent6"/>
          <w:left w:val="single" w:sz="8" w:space="0" w:color="0989B1" w:themeColor="accent6"/>
          <w:bottom w:val="single" w:sz="8" w:space="0" w:color="0989B1" w:themeColor="accent6"/>
          <w:right w:val="single" w:sz="8" w:space="0" w:color="0989B1" w:themeColor="accent6"/>
          <w:insideV w:val="single" w:sz="8" w:space="0" w:color="0989B1"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8C45C" w:themeColor="accent1" w:themeTint="BF"/>
        <w:left w:val="single" w:sz="8" w:space="0" w:color="78C45C" w:themeColor="accent1" w:themeTint="BF"/>
        <w:bottom w:val="single" w:sz="8" w:space="0" w:color="78C45C" w:themeColor="accent1" w:themeTint="BF"/>
        <w:right w:val="single" w:sz="8" w:space="0" w:color="78C45C" w:themeColor="accent1" w:themeTint="BF"/>
        <w:insideH w:val="single" w:sz="8" w:space="0" w:color="78C45C" w:themeColor="accent1" w:themeTint="BF"/>
      </w:tblBorders>
    </w:tblPr>
    <w:tblStylePr w:type="firstRow">
      <w:pPr>
        <w:spacing w:before="0" w:after="0" w:line="240" w:lineRule="auto"/>
      </w:pPr>
      <w:rPr>
        <w:b/>
        <w:bCs/>
        <w:color w:val="FFFFFF" w:themeColor="background1"/>
      </w:rPr>
      <w:tblPr/>
      <w:tcPr>
        <w:tcBorders>
          <w:top w:val="single" w:sz="8" w:space="0" w:color="78C45C" w:themeColor="accent1" w:themeTint="BF"/>
          <w:left w:val="single" w:sz="8" w:space="0" w:color="78C45C" w:themeColor="accent1" w:themeTint="BF"/>
          <w:bottom w:val="single" w:sz="8" w:space="0" w:color="78C45C" w:themeColor="accent1" w:themeTint="BF"/>
          <w:right w:val="single" w:sz="8" w:space="0" w:color="78C45C" w:themeColor="accent1" w:themeTint="BF"/>
          <w:insideH w:val="nil"/>
          <w:insideV w:val="nil"/>
        </w:tcBorders>
        <w:shd w:val="clear" w:color="auto" w:fill="549E39" w:themeFill="accent1"/>
      </w:tcPr>
    </w:tblStylePr>
    <w:tblStylePr w:type="lastRow">
      <w:pPr>
        <w:spacing w:before="0" w:after="0" w:line="240" w:lineRule="auto"/>
      </w:pPr>
      <w:rPr>
        <w:b/>
        <w:bCs/>
      </w:rPr>
      <w:tblPr/>
      <w:tcPr>
        <w:tcBorders>
          <w:top w:val="double" w:sz="6" w:space="0" w:color="78C45C" w:themeColor="accent1" w:themeTint="BF"/>
          <w:left w:val="single" w:sz="8" w:space="0" w:color="78C45C" w:themeColor="accent1" w:themeTint="BF"/>
          <w:bottom w:val="single" w:sz="8" w:space="0" w:color="78C45C" w:themeColor="accent1" w:themeTint="BF"/>
          <w:right w:val="single" w:sz="8" w:space="0" w:color="78C45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2EBC9" w:themeFill="accent1" w:themeFillTint="3F"/>
      </w:tcPr>
    </w:tblStylePr>
    <w:tblStylePr w:type="band1Horz">
      <w:tblPr/>
      <w:tcPr>
        <w:tcBorders>
          <w:insideH w:val="nil"/>
          <w:insideV w:val="nil"/>
        </w:tcBorders>
        <w:shd w:val="clear" w:color="auto" w:fill="D2EBC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A9D25D" w:themeColor="accent2" w:themeTint="BF"/>
        <w:left w:val="single" w:sz="8" w:space="0" w:color="A9D25D" w:themeColor="accent2" w:themeTint="BF"/>
        <w:bottom w:val="single" w:sz="8" w:space="0" w:color="A9D25D" w:themeColor="accent2" w:themeTint="BF"/>
        <w:right w:val="single" w:sz="8" w:space="0" w:color="A9D25D" w:themeColor="accent2" w:themeTint="BF"/>
        <w:insideH w:val="single" w:sz="8" w:space="0" w:color="A9D25D" w:themeColor="accent2" w:themeTint="BF"/>
      </w:tblBorders>
    </w:tblPr>
    <w:tblStylePr w:type="firstRow">
      <w:pPr>
        <w:spacing w:before="0" w:after="0" w:line="240" w:lineRule="auto"/>
      </w:pPr>
      <w:rPr>
        <w:b/>
        <w:bCs/>
        <w:color w:val="FFFFFF" w:themeColor="background1"/>
      </w:rPr>
      <w:tblPr/>
      <w:tcPr>
        <w:tcBorders>
          <w:top w:val="single" w:sz="8" w:space="0" w:color="A9D25D" w:themeColor="accent2" w:themeTint="BF"/>
          <w:left w:val="single" w:sz="8" w:space="0" w:color="A9D25D" w:themeColor="accent2" w:themeTint="BF"/>
          <w:bottom w:val="single" w:sz="8" w:space="0" w:color="A9D25D" w:themeColor="accent2" w:themeTint="BF"/>
          <w:right w:val="single" w:sz="8" w:space="0" w:color="A9D25D" w:themeColor="accent2" w:themeTint="BF"/>
          <w:insideH w:val="nil"/>
          <w:insideV w:val="nil"/>
        </w:tcBorders>
        <w:shd w:val="clear" w:color="auto" w:fill="8AB833" w:themeFill="accent2"/>
      </w:tcPr>
    </w:tblStylePr>
    <w:tblStylePr w:type="lastRow">
      <w:pPr>
        <w:spacing w:before="0" w:after="0" w:line="240" w:lineRule="auto"/>
      </w:pPr>
      <w:rPr>
        <w:b/>
        <w:bCs/>
      </w:rPr>
      <w:tblPr/>
      <w:tcPr>
        <w:tcBorders>
          <w:top w:val="double" w:sz="6" w:space="0" w:color="A9D25D" w:themeColor="accent2" w:themeTint="BF"/>
          <w:left w:val="single" w:sz="8" w:space="0" w:color="A9D25D" w:themeColor="accent2" w:themeTint="BF"/>
          <w:bottom w:val="single" w:sz="8" w:space="0" w:color="A9D25D" w:themeColor="accent2" w:themeTint="BF"/>
          <w:right w:val="single" w:sz="8" w:space="0" w:color="A9D25D" w:themeColor="accent2" w:themeTint="BF"/>
          <w:insideH w:val="nil"/>
          <w:insideV w:val="nil"/>
        </w:tcBorders>
      </w:tcPr>
    </w:tblStylePr>
    <w:tblStylePr w:type="firstCol">
      <w:rPr>
        <w:b/>
        <w:bCs/>
      </w:rPr>
    </w:tblStylePr>
    <w:tblStylePr w:type="lastCol">
      <w:rPr>
        <w:b/>
        <w:bCs/>
      </w:rPr>
    </w:tblStylePr>
    <w:tblStylePr w:type="band1Vert">
      <w:tblPr/>
      <w:tcPr>
        <w:shd w:val="clear" w:color="auto" w:fill="E2F0C9" w:themeFill="accent2" w:themeFillTint="3F"/>
      </w:tcPr>
    </w:tblStylePr>
    <w:tblStylePr w:type="band1Horz">
      <w:tblPr/>
      <w:tcPr>
        <w:tcBorders>
          <w:insideH w:val="nil"/>
          <w:insideV w:val="nil"/>
        </w:tcBorders>
        <w:shd w:val="clear" w:color="auto" w:fill="E2F0C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CFDB6B" w:themeColor="accent3" w:themeTint="BF"/>
        <w:left w:val="single" w:sz="8" w:space="0" w:color="CFDB6B" w:themeColor="accent3" w:themeTint="BF"/>
        <w:bottom w:val="single" w:sz="8" w:space="0" w:color="CFDB6B" w:themeColor="accent3" w:themeTint="BF"/>
        <w:right w:val="single" w:sz="8" w:space="0" w:color="CFDB6B" w:themeColor="accent3" w:themeTint="BF"/>
        <w:insideH w:val="single" w:sz="8" w:space="0" w:color="CFDB6B" w:themeColor="accent3" w:themeTint="BF"/>
      </w:tblBorders>
    </w:tblPr>
    <w:tblStylePr w:type="firstRow">
      <w:pPr>
        <w:spacing w:before="0" w:after="0" w:line="240" w:lineRule="auto"/>
      </w:pPr>
      <w:rPr>
        <w:b/>
        <w:bCs/>
        <w:color w:val="FFFFFF" w:themeColor="background1"/>
      </w:rPr>
      <w:tblPr/>
      <w:tcPr>
        <w:tcBorders>
          <w:top w:val="single" w:sz="8" w:space="0" w:color="CFDB6B" w:themeColor="accent3" w:themeTint="BF"/>
          <w:left w:val="single" w:sz="8" w:space="0" w:color="CFDB6B" w:themeColor="accent3" w:themeTint="BF"/>
          <w:bottom w:val="single" w:sz="8" w:space="0" w:color="CFDB6B" w:themeColor="accent3" w:themeTint="BF"/>
          <w:right w:val="single" w:sz="8" w:space="0" w:color="CFDB6B" w:themeColor="accent3" w:themeTint="BF"/>
          <w:insideH w:val="nil"/>
          <w:insideV w:val="nil"/>
        </w:tcBorders>
        <w:shd w:val="clear" w:color="auto" w:fill="C0CF3A" w:themeFill="accent3"/>
      </w:tcPr>
    </w:tblStylePr>
    <w:tblStylePr w:type="lastRow">
      <w:pPr>
        <w:spacing w:before="0" w:after="0" w:line="240" w:lineRule="auto"/>
      </w:pPr>
      <w:rPr>
        <w:b/>
        <w:bCs/>
      </w:rPr>
      <w:tblPr/>
      <w:tcPr>
        <w:tcBorders>
          <w:top w:val="double" w:sz="6" w:space="0" w:color="CFDB6B" w:themeColor="accent3" w:themeTint="BF"/>
          <w:left w:val="single" w:sz="8" w:space="0" w:color="CFDB6B" w:themeColor="accent3" w:themeTint="BF"/>
          <w:bottom w:val="single" w:sz="8" w:space="0" w:color="CFDB6B" w:themeColor="accent3" w:themeTint="BF"/>
          <w:right w:val="single" w:sz="8" w:space="0" w:color="CFDB6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FF3CE" w:themeFill="accent3" w:themeFillTint="3F"/>
      </w:tcPr>
    </w:tblStylePr>
    <w:tblStylePr w:type="band1Horz">
      <w:tblPr/>
      <w:tcPr>
        <w:tcBorders>
          <w:insideH w:val="nil"/>
          <w:insideV w:val="nil"/>
        </w:tcBorders>
        <w:shd w:val="clear" w:color="auto" w:fill="EFF3C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03EEBA" w:themeColor="accent4" w:themeTint="BF"/>
        <w:left w:val="single" w:sz="8" w:space="0" w:color="03EEBA" w:themeColor="accent4" w:themeTint="BF"/>
        <w:bottom w:val="single" w:sz="8" w:space="0" w:color="03EEBA" w:themeColor="accent4" w:themeTint="BF"/>
        <w:right w:val="single" w:sz="8" w:space="0" w:color="03EEBA" w:themeColor="accent4" w:themeTint="BF"/>
        <w:insideH w:val="single" w:sz="8" w:space="0" w:color="03EEBA" w:themeColor="accent4" w:themeTint="BF"/>
      </w:tblBorders>
    </w:tblPr>
    <w:tblStylePr w:type="firstRow">
      <w:pPr>
        <w:spacing w:before="0" w:after="0" w:line="240" w:lineRule="auto"/>
      </w:pPr>
      <w:rPr>
        <w:b/>
        <w:bCs/>
        <w:color w:val="FFFFFF" w:themeColor="background1"/>
      </w:rPr>
      <w:tblPr/>
      <w:tcPr>
        <w:tcBorders>
          <w:top w:val="single" w:sz="8" w:space="0" w:color="03EEBA" w:themeColor="accent4" w:themeTint="BF"/>
          <w:left w:val="single" w:sz="8" w:space="0" w:color="03EEBA" w:themeColor="accent4" w:themeTint="BF"/>
          <w:bottom w:val="single" w:sz="8" w:space="0" w:color="03EEBA" w:themeColor="accent4" w:themeTint="BF"/>
          <w:right w:val="single" w:sz="8" w:space="0" w:color="03EEBA" w:themeColor="accent4" w:themeTint="BF"/>
          <w:insideH w:val="nil"/>
          <w:insideV w:val="nil"/>
        </w:tcBorders>
        <w:shd w:val="clear" w:color="auto" w:fill="029676" w:themeFill="accent4"/>
      </w:tcPr>
    </w:tblStylePr>
    <w:tblStylePr w:type="lastRow">
      <w:pPr>
        <w:spacing w:before="0" w:after="0" w:line="240" w:lineRule="auto"/>
      </w:pPr>
      <w:rPr>
        <w:b/>
        <w:bCs/>
      </w:rPr>
      <w:tblPr/>
      <w:tcPr>
        <w:tcBorders>
          <w:top w:val="double" w:sz="6" w:space="0" w:color="03EEBA" w:themeColor="accent4" w:themeTint="BF"/>
          <w:left w:val="single" w:sz="8" w:space="0" w:color="03EEBA" w:themeColor="accent4" w:themeTint="BF"/>
          <w:bottom w:val="single" w:sz="8" w:space="0" w:color="03EEBA" w:themeColor="accent4" w:themeTint="BF"/>
          <w:right w:val="single" w:sz="8" w:space="0" w:color="03EEBA" w:themeColor="accent4" w:themeTint="BF"/>
          <w:insideH w:val="nil"/>
          <w:insideV w:val="nil"/>
        </w:tcBorders>
      </w:tcPr>
    </w:tblStylePr>
    <w:tblStylePr w:type="firstCol">
      <w:rPr>
        <w:b/>
        <w:bCs/>
      </w:rPr>
    </w:tblStylePr>
    <w:tblStylePr w:type="lastCol">
      <w:rPr>
        <w:b/>
        <w:bCs/>
      </w:rPr>
    </w:tblStylePr>
    <w:tblStylePr w:type="band1Vert">
      <w:tblPr/>
      <w:tcPr>
        <w:shd w:val="clear" w:color="auto" w:fill="A7FDEA" w:themeFill="accent4" w:themeFillTint="3F"/>
      </w:tcPr>
    </w:tblStylePr>
    <w:tblStylePr w:type="band1Horz">
      <w:tblPr/>
      <w:tcPr>
        <w:tcBorders>
          <w:insideH w:val="nil"/>
          <w:insideV w:val="nil"/>
        </w:tcBorders>
        <w:shd w:val="clear" w:color="auto" w:fill="A7FDE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7C7D2" w:themeColor="accent5" w:themeTint="BF"/>
        <w:left w:val="single" w:sz="8" w:space="0" w:color="77C7D2" w:themeColor="accent5" w:themeTint="BF"/>
        <w:bottom w:val="single" w:sz="8" w:space="0" w:color="77C7D2" w:themeColor="accent5" w:themeTint="BF"/>
        <w:right w:val="single" w:sz="8" w:space="0" w:color="77C7D2" w:themeColor="accent5" w:themeTint="BF"/>
        <w:insideH w:val="single" w:sz="8" w:space="0" w:color="77C7D2" w:themeColor="accent5" w:themeTint="BF"/>
      </w:tblBorders>
    </w:tblPr>
    <w:tblStylePr w:type="firstRow">
      <w:pPr>
        <w:spacing w:before="0" w:after="0" w:line="240" w:lineRule="auto"/>
      </w:pPr>
      <w:rPr>
        <w:b/>
        <w:bCs/>
        <w:color w:val="FFFFFF" w:themeColor="background1"/>
      </w:rPr>
      <w:tblPr/>
      <w:tcPr>
        <w:tcBorders>
          <w:top w:val="single" w:sz="8" w:space="0" w:color="77C7D2" w:themeColor="accent5" w:themeTint="BF"/>
          <w:left w:val="single" w:sz="8" w:space="0" w:color="77C7D2" w:themeColor="accent5" w:themeTint="BF"/>
          <w:bottom w:val="single" w:sz="8" w:space="0" w:color="77C7D2" w:themeColor="accent5" w:themeTint="BF"/>
          <w:right w:val="single" w:sz="8" w:space="0" w:color="77C7D2" w:themeColor="accent5" w:themeTint="BF"/>
          <w:insideH w:val="nil"/>
          <w:insideV w:val="nil"/>
        </w:tcBorders>
        <w:shd w:val="clear" w:color="auto" w:fill="4AB5C4" w:themeFill="accent5"/>
      </w:tcPr>
    </w:tblStylePr>
    <w:tblStylePr w:type="lastRow">
      <w:pPr>
        <w:spacing w:before="0" w:after="0" w:line="240" w:lineRule="auto"/>
      </w:pPr>
      <w:rPr>
        <w:b/>
        <w:bCs/>
      </w:rPr>
      <w:tblPr/>
      <w:tcPr>
        <w:tcBorders>
          <w:top w:val="double" w:sz="6" w:space="0" w:color="77C7D2" w:themeColor="accent5" w:themeTint="BF"/>
          <w:left w:val="single" w:sz="8" w:space="0" w:color="77C7D2" w:themeColor="accent5" w:themeTint="BF"/>
          <w:bottom w:val="single" w:sz="8" w:space="0" w:color="77C7D2" w:themeColor="accent5" w:themeTint="BF"/>
          <w:right w:val="single" w:sz="8" w:space="0" w:color="77C7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CF0" w:themeFill="accent5" w:themeFillTint="3F"/>
      </w:tcPr>
    </w:tblStylePr>
    <w:tblStylePr w:type="band1Horz">
      <w:tblPr/>
      <w:tcPr>
        <w:tcBorders>
          <w:insideH w:val="nil"/>
          <w:insideV w:val="nil"/>
        </w:tcBorders>
        <w:shd w:val="clear" w:color="auto" w:fill="D2EC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single" w:sz="8" w:space="0" w:color="17BEF3" w:themeColor="accent6" w:themeTint="BF"/>
      </w:tblBorders>
    </w:tblPr>
    <w:tblStylePr w:type="firstRow">
      <w:pPr>
        <w:spacing w:before="0" w:after="0" w:line="240" w:lineRule="auto"/>
      </w:pPr>
      <w:rPr>
        <w:b/>
        <w:bCs/>
        <w:color w:val="FFFFFF" w:themeColor="background1"/>
      </w:rPr>
      <w:tblPr/>
      <w:tcPr>
        <w:tc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nil"/>
          <w:insideV w:val="nil"/>
        </w:tcBorders>
        <w:shd w:val="clear" w:color="auto" w:fill="0989B1" w:themeFill="accent6"/>
      </w:tcPr>
    </w:tblStylePr>
    <w:tblStylePr w:type="lastRow">
      <w:pPr>
        <w:spacing w:before="0" w:after="0" w:line="240" w:lineRule="auto"/>
      </w:pPr>
      <w:rPr>
        <w:b/>
        <w:bCs/>
      </w:rPr>
      <w:tblPr/>
      <w:tcPr>
        <w:tcBorders>
          <w:top w:val="double" w:sz="6"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nil"/>
          <w:insideV w:val="nil"/>
        </w:tcBorders>
      </w:tcPr>
    </w:tblStylePr>
    <w:tblStylePr w:type="firstCol">
      <w:rPr>
        <w:b/>
        <w:bCs/>
      </w:rPr>
    </w:tblStylePr>
    <w:tblStylePr w:type="lastCol">
      <w:rPr>
        <w:b/>
        <w:bCs/>
      </w:rPr>
    </w:tblStylePr>
    <w:tblStylePr w:type="band1Vert">
      <w:tblPr/>
      <w:tcPr>
        <w:shd w:val="clear" w:color="auto" w:fill="B2E9FB" w:themeFill="accent6" w:themeFillTint="3F"/>
      </w:tcPr>
    </w:tblStylePr>
    <w:tblStylePr w:type="band1Horz">
      <w:tblPr/>
      <w:tcPr>
        <w:tcBorders>
          <w:insideH w:val="nil"/>
          <w:insideV w:val="nil"/>
        </w:tcBorders>
        <w:shd w:val="clear" w:color="auto" w:fill="B2E9F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49E3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49E39" w:themeFill="accent1"/>
      </w:tcPr>
    </w:tblStylePr>
    <w:tblStylePr w:type="lastCol">
      <w:rPr>
        <w:b/>
        <w:bCs/>
        <w:color w:val="FFFFFF" w:themeColor="background1"/>
      </w:rPr>
      <w:tblPr/>
      <w:tcPr>
        <w:tcBorders>
          <w:left w:val="nil"/>
          <w:right w:val="nil"/>
          <w:insideH w:val="nil"/>
          <w:insideV w:val="nil"/>
        </w:tcBorders>
        <w:shd w:val="clear" w:color="auto" w:fill="549E3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B8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B833" w:themeFill="accent2"/>
      </w:tcPr>
    </w:tblStylePr>
    <w:tblStylePr w:type="lastCol">
      <w:rPr>
        <w:b/>
        <w:bCs/>
        <w:color w:val="FFFFFF" w:themeColor="background1"/>
      </w:rPr>
      <w:tblPr/>
      <w:tcPr>
        <w:tcBorders>
          <w:left w:val="nil"/>
          <w:right w:val="nil"/>
          <w:insideH w:val="nil"/>
          <w:insideV w:val="nil"/>
        </w:tcBorders>
        <w:shd w:val="clear" w:color="auto" w:fill="8AB83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CF3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F3A" w:themeFill="accent3"/>
      </w:tcPr>
    </w:tblStylePr>
    <w:tblStylePr w:type="lastCol">
      <w:rPr>
        <w:b/>
        <w:bCs/>
        <w:color w:val="FFFFFF" w:themeColor="background1"/>
      </w:rPr>
      <w:tblPr/>
      <w:tcPr>
        <w:tcBorders>
          <w:left w:val="nil"/>
          <w:right w:val="nil"/>
          <w:insideH w:val="nil"/>
          <w:insideV w:val="nil"/>
        </w:tcBorders>
        <w:shd w:val="clear" w:color="auto" w:fill="C0CF3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2967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29676" w:themeFill="accent4"/>
      </w:tcPr>
    </w:tblStylePr>
    <w:tblStylePr w:type="lastCol">
      <w:rPr>
        <w:b/>
        <w:bCs/>
        <w:color w:val="FFFFFF" w:themeColor="background1"/>
      </w:rPr>
      <w:tblPr/>
      <w:tcPr>
        <w:tcBorders>
          <w:left w:val="nil"/>
          <w:right w:val="nil"/>
          <w:insideH w:val="nil"/>
          <w:insideV w:val="nil"/>
        </w:tcBorders>
        <w:shd w:val="clear" w:color="auto" w:fill="02967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B5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B5C4" w:themeFill="accent5"/>
      </w:tcPr>
    </w:tblStylePr>
    <w:tblStylePr w:type="lastCol">
      <w:rPr>
        <w:b/>
        <w:bCs/>
        <w:color w:val="FFFFFF" w:themeColor="background1"/>
      </w:rPr>
      <w:tblPr/>
      <w:tcPr>
        <w:tcBorders>
          <w:left w:val="nil"/>
          <w:right w:val="nil"/>
          <w:insideH w:val="nil"/>
          <w:insideV w:val="nil"/>
        </w:tcBorders>
        <w:shd w:val="clear" w:color="auto" w:fill="4AB5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989B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989B1" w:themeFill="accent6"/>
      </w:tcPr>
    </w:tblStylePr>
    <w:tblStylePr w:type="lastCol">
      <w:rPr>
        <w:b/>
        <w:bCs/>
        <w:color w:val="FFFFFF" w:themeColor="background1"/>
      </w:rPr>
      <w:tblPr/>
      <w:tcPr>
        <w:tcBorders>
          <w:left w:val="nil"/>
          <w:right w:val="nil"/>
          <w:insideH w:val="nil"/>
          <w:insideV w:val="nil"/>
        </w:tcBorders>
        <w:shd w:val="clear" w:color="auto" w:fill="0989B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55F5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549E39" w:themeColor="accent1"/>
        <w:bottom w:val="single" w:sz="8" w:space="0" w:color="549E39" w:themeColor="accent1"/>
      </w:tblBorders>
    </w:tblPr>
    <w:tblStylePr w:type="firstRow">
      <w:rPr>
        <w:rFonts w:asciiTheme="majorHAnsi" w:eastAsiaTheme="majorEastAsia" w:hAnsiTheme="majorHAnsi" w:cstheme="majorBidi"/>
      </w:rPr>
      <w:tblPr/>
      <w:tcPr>
        <w:tcBorders>
          <w:top w:val="nil"/>
          <w:bottom w:val="single" w:sz="8" w:space="0" w:color="549E39" w:themeColor="accent1"/>
        </w:tcBorders>
      </w:tcPr>
    </w:tblStylePr>
    <w:tblStylePr w:type="lastRow">
      <w:rPr>
        <w:b/>
        <w:bCs/>
        <w:color w:val="455F51" w:themeColor="text2"/>
      </w:rPr>
      <w:tblPr/>
      <w:tcPr>
        <w:tcBorders>
          <w:top w:val="single" w:sz="8" w:space="0" w:color="549E39" w:themeColor="accent1"/>
          <w:bottom w:val="single" w:sz="8" w:space="0" w:color="549E39" w:themeColor="accent1"/>
        </w:tcBorders>
      </w:tcPr>
    </w:tblStylePr>
    <w:tblStylePr w:type="firstCol">
      <w:rPr>
        <w:b/>
        <w:bCs/>
      </w:rPr>
    </w:tblStylePr>
    <w:tblStylePr w:type="lastCol">
      <w:rPr>
        <w:b/>
        <w:bCs/>
      </w:rPr>
      <w:tblPr/>
      <w:tcPr>
        <w:tcBorders>
          <w:top w:val="single" w:sz="8" w:space="0" w:color="549E39" w:themeColor="accent1"/>
          <w:bottom w:val="single" w:sz="8" w:space="0" w:color="549E39" w:themeColor="accent1"/>
        </w:tcBorders>
      </w:tcPr>
    </w:tblStylePr>
    <w:tblStylePr w:type="band1Vert">
      <w:tblPr/>
      <w:tcPr>
        <w:shd w:val="clear" w:color="auto" w:fill="D2EBC9" w:themeFill="accent1" w:themeFillTint="3F"/>
      </w:tcPr>
    </w:tblStylePr>
    <w:tblStylePr w:type="band1Horz">
      <w:tblPr/>
      <w:tcPr>
        <w:shd w:val="clear" w:color="auto" w:fill="D2EBC9"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8AB833" w:themeColor="accent2"/>
        <w:bottom w:val="single" w:sz="8" w:space="0" w:color="8AB833" w:themeColor="accent2"/>
      </w:tblBorders>
    </w:tblPr>
    <w:tblStylePr w:type="firstRow">
      <w:rPr>
        <w:rFonts w:asciiTheme="majorHAnsi" w:eastAsiaTheme="majorEastAsia" w:hAnsiTheme="majorHAnsi" w:cstheme="majorBidi"/>
      </w:rPr>
      <w:tblPr/>
      <w:tcPr>
        <w:tcBorders>
          <w:top w:val="nil"/>
          <w:bottom w:val="single" w:sz="8" w:space="0" w:color="8AB833" w:themeColor="accent2"/>
        </w:tcBorders>
      </w:tcPr>
    </w:tblStylePr>
    <w:tblStylePr w:type="lastRow">
      <w:rPr>
        <w:b/>
        <w:bCs/>
        <w:color w:val="455F51" w:themeColor="text2"/>
      </w:rPr>
      <w:tblPr/>
      <w:tcPr>
        <w:tcBorders>
          <w:top w:val="single" w:sz="8" w:space="0" w:color="8AB833" w:themeColor="accent2"/>
          <w:bottom w:val="single" w:sz="8" w:space="0" w:color="8AB833" w:themeColor="accent2"/>
        </w:tcBorders>
      </w:tcPr>
    </w:tblStylePr>
    <w:tblStylePr w:type="firstCol">
      <w:rPr>
        <w:b/>
        <w:bCs/>
      </w:rPr>
    </w:tblStylePr>
    <w:tblStylePr w:type="lastCol">
      <w:rPr>
        <w:b/>
        <w:bCs/>
      </w:rPr>
      <w:tblPr/>
      <w:tcPr>
        <w:tcBorders>
          <w:top w:val="single" w:sz="8" w:space="0" w:color="8AB833" w:themeColor="accent2"/>
          <w:bottom w:val="single" w:sz="8" w:space="0" w:color="8AB833" w:themeColor="accent2"/>
        </w:tcBorders>
      </w:tcPr>
    </w:tblStylePr>
    <w:tblStylePr w:type="band1Vert">
      <w:tblPr/>
      <w:tcPr>
        <w:shd w:val="clear" w:color="auto" w:fill="E2F0C9" w:themeFill="accent2" w:themeFillTint="3F"/>
      </w:tcPr>
    </w:tblStylePr>
    <w:tblStylePr w:type="band1Horz">
      <w:tblPr/>
      <w:tcPr>
        <w:shd w:val="clear" w:color="auto" w:fill="E2F0C9"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C0CF3A" w:themeColor="accent3"/>
        <w:bottom w:val="single" w:sz="8" w:space="0" w:color="C0CF3A" w:themeColor="accent3"/>
      </w:tblBorders>
    </w:tblPr>
    <w:tblStylePr w:type="firstRow">
      <w:rPr>
        <w:rFonts w:asciiTheme="majorHAnsi" w:eastAsiaTheme="majorEastAsia" w:hAnsiTheme="majorHAnsi" w:cstheme="majorBidi"/>
      </w:rPr>
      <w:tblPr/>
      <w:tcPr>
        <w:tcBorders>
          <w:top w:val="nil"/>
          <w:bottom w:val="single" w:sz="8" w:space="0" w:color="C0CF3A" w:themeColor="accent3"/>
        </w:tcBorders>
      </w:tcPr>
    </w:tblStylePr>
    <w:tblStylePr w:type="lastRow">
      <w:rPr>
        <w:b/>
        <w:bCs/>
        <w:color w:val="455F51" w:themeColor="text2"/>
      </w:rPr>
      <w:tblPr/>
      <w:tcPr>
        <w:tcBorders>
          <w:top w:val="single" w:sz="8" w:space="0" w:color="C0CF3A" w:themeColor="accent3"/>
          <w:bottom w:val="single" w:sz="8" w:space="0" w:color="C0CF3A" w:themeColor="accent3"/>
        </w:tcBorders>
      </w:tcPr>
    </w:tblStylePr>
    <w:tblStylePr w:type="firstCol">
      <w:rPr>
        <w:b/>
        <w:bCs/>
      </w:rPr>
    </w:tblStylePr>
    <w:tblStylePr w:type="lastCol">
      <w:rPr>
        <w:b/>
        <w:bCs/>
      </w:rPr>
      <w:tblPr/>
      <w:tcPr>
        <w:tcBorders>
          <w:top w:val="single" w:sz="8" w:space="0" w:color="C0CF3A" w:themeColor="accent3"/>
          <w:bottom w:val="single" w:sz="8" w:space="0" w:color="C0CF3A" w:themeColor="accent3"/>
        </w:tcBorders>
      </w:tcPr>
    </w:tblStylePr>
    <w:tblStylePr w:type="band1Vert">
      <w:tblPr/>
      <w:tcPr>
        <w:shd w:val="clear" w:color="auto" w:fill="EFF3CE" w:themeFill="accent3" w:themeFillTint="3F"/>
      </w:tcPr>
    </w:tblStylePr>
    <w:tblStylePr w:type="band1Horz">
      <w:tblPr/>
      <w:tcPr>
        <w:shd w:val="clear" w:color="auto" w:fill="EFF3CE"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29676" w:themeColor="accent4"/>
        <w:bottom w:val="single" w:sz="8" w:space="0" w:color="029676" w:themeColor="accent4"/>
      </w:tblBorders>
    </w:tblPr>
    <w:tblStylePr w:type="firstRow">
      <w:rPr>
        <w:rFonts w:asciiTheme="majorHAnsi" w:eastAsiaTheme="majorEastAsia" w:hAnsiTheme="majorHAnsi" w:cstheme="majorBidi"/>
      </w:rPr>
      <w:tblPr/>
      <w:tcPr>
        <w:tcBorders>
          <w:top w:val="nil"/>
          <w:bottom w:val="single" w:sz="8" w:space="0" w:color="029676" w:themeColor="accent4"/>
        </w:tcBorders>
      </w:tcPr>
    </w:tblStylePr>
    <w:tblStylePr w:type="lastRow">
      <w:rPr>
        <w:b/>
        <w:bCs/>
        <w:color w:val="455F51" w:themeColor="text2"/>
      </w:rPr>
      <w:tblPr/>
      <w:tcPr>
        <w:tcBorders>
          <w:top w:val="single" w:sz="8" w:space="0" w:color="029676" w:themeColor="accent4"/>
          <w:bottom w:val="single" w:sz="8" w:space="0" w:color="029676" w:themeColor="accent4"/>
        </w:tcBorders>
      </w:tcPr>
    </w:tblStylePr>
    <w:tblStylePr w:type="firstCol">
      <w:rPr>
        <w:b/>
        <w:bCs/>
      </w:rPr>
    </w:tblStylePr>
    <w:tblStylePr w:type="lastCol">
      <w:rPr>
        <w:b/>
        <w:bCs/>
      </w:rPr>
      <w:tblPr/>
      <w:tcPr>
        <w:tcBorders>
          <w:top w:val="single" w:sz="8" w:space="0" w:color="029676" w:themeColor="accent4"/>
          <w:bottom w:val="single" w:sz="8" w:space="0" w:color="029676" w:themeColor="accent4"/>
        </w:tcBorders>
      </w:tcPr>
    </w:tblStylePr>
    <w:tblStylePr w:type="band1Vert">
      <w:tblPr/>
      <w:tcPr>
        <w:shd w:val="clear" w:color="auto" w:fill="A7FDEA" w:themeFill="accent4" w:themeFillTint="3F"/>
      </w:tcPr>
    </w:tblStylePr>
    <w:tblStylePr w:type="band1Horz">
      <w:tblPr/>
      <w:tcPr>
        <w:shd w:val="clear" w:color="auto" w:fill="A7FDE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AB5C4" w:themeColor="accent5"/>
        <w:bottom w:val="single" w:sz="8" w:space="0" w:color="4AB5C4" w:themeColor="accent5"/>
      </w:tblBorders>
    </w:tblPr>
    <w:tblStylePr w:type="firstRow">
      <w:rPr>
        <w:rFonts w:asciiTheme="majorHAnsi" w:eastAsiaTheme="majorEastAsia" w:hAnsiTheme="majorHAnsi" w:cstheme="majorBidi"/>
      </w:rPr>
      <w:tblPr/>
      <w:tcPr>
        <w:tcBorders>
          <w:top w:val="nil"/>
          <w:bottom w:val="single" w:sz="8" w:space="0" w:color="4AB5C4" w:themeColor="accent5"/>
        </w:tcBorders>
      </w:tcPr>
    </w:tblStylePr>
    <w:tblStylePr w:type="lastRow">
      <w:rPr>
        <w:b/>
        <w:bCs/>
        <w:color w:val="455F51" w:themeColor="text2"/>
      </w:rPr>
      <w:tblPr/>
      <w:tcPr>
        <w:tcBorders>
          <w:top w:val="single" w:sz="8" w:space="0" w:color="4AB5C4" w:themeColor="accent5"/>
          <w:bottom w:val="single" w:sz="8" w:space="0" w:color="4AB5C4" w:themeColor="accent5"/>
        </w:tcBorders>
      </w:tcPr>
    </w:tblStylePr>
    <w:tblStylePr w:type="firstCol">
      <w:rPr>
        <w:b/>
        <w:bCs/>
      </w:rPr>
    </w:tblStylePr>
    <w:tblStylePr w:type="lastCol">
      <w:rPr>
        <w:b/>
        <w:bCs/>
      </w:rPr>
      <w:tblPr/>
      <w:tcPr>
        <w:tcBorders>
          <w:top w:val="single" w:sz="8" w:space="0" w:color="4AB5C4" w:themeColor="accent5"/>
          <w:bottom w:val="single" w:sz="8" w:space="0" w:color="4AB5C4" w:themeColor="accent5"/>
        </w:tcBorders>
      </w:tcPr>
    </w:tblStylePr>
    <w:tblStylePr w:type="band1Vert">
      <w:tblPr/>
      <w:tcPr>
        <w:shd w:val="clear" w:color="auto" w:fill="D2ECF0" w:themeFill="accent5" w:themeFillTint="3F"/>
      </w:tcPr>
    </w:tblStylePr>
    <w:tblStylePr w:type="band1Horz">
      <w:tblPr/>
      <w:tcPr>
        <w:shd w:val="clear" w:color="auto" w:fill="D2ECF0"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0989B1" w:themeColor="accent6"/>
        <w:bottom w:val="single" w:sz="8" w:space="0" w:color="0989B1" w:themeColor="accent6"/>
      </w:tblBorders>
    </w:tblPr>
    <w:tblStylePr w:type="firstRow">
      <w:rPr>
        <w:rFonts w:asciiTheme="majorHAnsi" w:eastAsiaTheme="majorEastAsia" w:hAnsiTheme="majorHAnsi" w:cstheme="majorBidi"/>
      </w:rPr>
      <w:tblPr/>
      <w:tcPr>
        <w:tcBorders>
          <w:top w:val="nil"/>
          <w:bottom w:val="single" w:sz="8" w:space="0" w:color="0989B1" w:themeColor="accent6"/>
        </w:tcBorders>
      </w:tcPr>
    </w:tblStylePr>
    <w:tblStylePr w:type="lastRow">
      <w:rPr>
        <w:b/>
        <w:bCs/>
        <w:color w:val="455F51" w:themeColor="text2"/>
      </w:rPr>
      <w:tblPr/>
      <w:tcPr>
        <w:tcBorders>
          <w:top w:val="single" w:sz="8" w:space="0" w:color="0989B1" w:themeColor="accent6"/>
          <w:bottom w:val="single" w:sz="8" w:space="0" w:color="0989B1" w:themeColor="accent6"/>
        </w:tcBorders>
      </w:tcPr>
    </w:tblStylePr>
    <w:tblStylePr w:type="firstCol">
      <w:rPr>
        <w:b/>
        <w:bCs/>
      </w:rPr>
    </w:tblStylePr>
    <w:tblStylePr w:type="lastCol">
      <w:rPr>
        <w:b/>
        <w:bCs/>
      </w:rPr>
      <w:tblPr/>
      <w:tcPr>
        <w:tcBorders>
          <w:top w:val="single" w:sz="8" w:space="0" w:color="0989B1" w:themeColor="accent6"/>
          <w:bottom w:val="single" w:sz="8" w:space="0" w:color="0989B1" w:themeColor="accent6"/>
        </w:tcBorders>
      </w:tcPr>
    </w:tblStylePr>
    <w:tblStylePr w:type="band1Vert">
      <w:tblPr/>
      <w:tcPr>
        <w:shd w:val="clear" w:color="auto" w:fill="B2E9FB" w:themeFill="accent6" w:themeFillTint="3F"/>
      </w:tcPr>
    </w:tblStylePr>
    <w:tblStylePr w:type="band1Horz">
      <w:tblPr/>
      <w:tcPr>
        <w:shd w:val="clear" w:color="auto" w:fill="B2E9FB"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49E39" w:themeColor="accent1"/>
        <w:left w:val="single" w:sz="8" w:space="0" w:color="549E39" w:themeColor="accent1"/>
        <w:bottom w:val="single" w:sz="8" w:space="0" w:color="549E39" w:themeColor="accent1"/>
        <w:right w:val="single" w:sz="8" w:space="0" w:color="549E39" w:themeColor="accent1"/>
      </w:tblBorders>
    </w:tblPr>
    <w:tblStylePr w:type="firstRow">
      <w:rPr>
        <w:sz w:val="24"/>
        <w:szCs w:val="24"/>
      </w:rPr>
      <w:tblPr/>
      <w:tcPr>
        <w:tcBorders>
          <w:top w:val="nil"/>
          <w:left w:val="nil"/>
          <w:bottom w:val="single" w:sz="24" w:space="0" w:color="549E39" w:themeColor="accent1"/>
          <w:right w:val="nil"/>
          <w:insideH w:val="nil"/>
          <w:insideV w:val="nil"/>
        </w:tcBorders>
        <w:shd w:val="clear" w:color="auto" w:fill="FFFFFF" w:themeFill="background1"/>
      </w:tcPr>
    </w:tblStylePr>
    <w:tblStylePr w:type="lastRow">
      <w:tblPr/>
      <w:tcPr>
        <w:tcBorders>
          <w:top w:val="single" w:sz="8" w:space="0" w:color="549E3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9E39" w:themeColor="accent1"/>
          <w:insideH w:val="nil"/>
          <w:insideV w:val="nil"/>
        </w:tcBorders>
        <w:shd w:val="clear" w:color="auto" w:fill="FFFFFF" w:themeFill="background1"/>
      </w:tcPr>
    </w:tblStylePr>
    <w:tblStylePr w:type="lastCol">
      <w:tblPr/>
      <w:tcPr>
        <w:tcBorders>
          <w:top w:val="nil"/>
          <w:left w:val="single" w:sz="8" w:space="0" w:color="549E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BC9" w:themeFill="accent1" w:themeFillTint="3F"/>
      </w:tcPr>
    </w:tblStylePr>
    <w:tblStylePr w:type="band1Horz">
      <w:tblPr/>
      <w:tcPr>
        <w:tcBorders>
          <w:top w:val="nil"/>
          <w:bottom w:val="nil"/>
          <w:insideH w:val="nil"/>
          <w:insideV w:val="nil"/>
        </w:tcBorders>
        <w:shd w:val="clear" w:color="auto" w:fill="D2EB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AB833" w:themeColor="accent2"/>
        <w:left w:val="single" w:sz="8" w:space="0" w:color="8AB833" w:themeColor="accent2"/>
        <w:bottom w:val="single" w:sz="8" w:space="0" w:color="8AB833" w:themeColor="accent2"/>
        <w:right w:val="single" w:sz="8" w:space="0" w:color="8AB833" w:themeColor="accent2"/>
      </w:tblBorders>
    </w:tblPr>
    <w:tblStylePr w:type="firstRow">
      <w:rPr>
        <w:sz w:val="24"/>
        <w:szCs w:val="24"/>
      </w:rPr>
      <w:tblPr/>
      <w:tcPr>
        <w:tcBorders>
          <w:top w:val="nil"/>
          <w:left w:val="nil"/>
          <w:bottom w:val="single" w:sz="24" w:space="0" w:color="8AB833" w:themeColor="accent2"/>
          <w:right w:val="nil"/>
          <w:insideH w:val="nil"/>
          <w:insideV w:val="nil"/>
        </w:tcBorders>
        <w:shd w:val="clear" w:color="auto" w:fill="FFFFFF" w:themeFill="background1"/>
      </w:tcPr>
    </w:tblStylePr>
    <w:tblStylePr w:type="lastRow">
      <w:tblPr/>
      <w:tcPr>
        <w:tcBorders>
          <w:top w:val="single" w:sz="8" w:space="0" w:color="8AB83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B833" w:themeColor="accent2"/>
          <w:insideH w:val="nil"/>
          <w:insideV w:val="nil"/>
        </w:tcBorders>
        <w:shd w:val="clear" w:color="auto" w:fill="FFFFFF" w:themeFill="background1"/>
      </w:tcPr>
    </w:tblStylePr>
    <w:tblStylePr w:type="lastCol">
      <w:tblPr/>
      <w:tcPr>
        <w:tcBorders>
          <w:top w:val="nil"/>
          <w:left w:val="single" w:sz="8" w:space="0" w:color="8AB83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F0C9" w:themeFill="accent2" w:themeFillTint="3F"/>
      </w:tcPr>
    </w:tblStylePr>
    <w:tblStylePr w:type="band1Horz">
      <w:tblPr/>
      <w:tcPr>
        <w:tcBorders>
          <w:top w:val="nil"/>
          <w:bottom w:val="nil"/>
          <w:insideH w:val="nil"/>
          <w:insideV w:val="nil"/>
        </w:tcBorders>
        <w:shd w:val="clear" w:color="auto" w:fill="E2F0C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CF3A" w:themeColor="accent3"/>
        <w:left w:val="single" w:sz="8" w:space="0" w:color="C0CF3A" w:themeColor="accent3"/>
        <w:bottom w:val="single" w:sz="8" w:space="0" w:color="C0CF3A" w:themeColor="accent3"/>
        <w:right w:val="single" w:sz="8" w:space="0" w:color="C0CF3A" w:themeColor="accent3"/>
      </w:tblBorders>
    </w:tblPr>
    <w:tblStylePr w:type="firstRow">
      <w:rPr>
        <w:sz w:val="24"/>
        <w:szCs w:val="24"/>
      </w:rPr>
      <w:tblPr/>
      <w:tcPr>
        <w:tcBorders>
          <w:top w:val="nil"/>
          <w:left w:val="nil"/>
          <w:bottom w:val="single" w:sz="24" w:space="0" w:color="C0CF3A" w:themeColor="accent3"/>
          <w:right w:val="nil"/>
          <w:insideH w:val="nil"/>
          <w:insideV w:val="nil"/>
        </w:tcBorders>
        <w:shd w:val="clear" w:color="auto" w:fill="FFFFFF" w:themeFill="background1"/>
      </w:tcPr>
    </w:tblStylePr>
    <w:tblStylePr w:type="lastRow">
      <w:tblPr/>
      <w:tcPr>
        <w:tcBorders>
          <w:top w:val="single" w:sz="8" w:space="0" w:color="C0CF3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F3A" w:themeColor="accent3"/>
          <w:insideH w:val="nil"/>
          <w:insideV w:val="nil"/>
        </w:tcBorders>
        <w:shd w:val="clear" w:color="auto" w:fill="FFFFFF" w:themeFill="background1"/>
      </w:tcPr>
    </w:tblStylePr>
    <w:tblStylePr w:type="lastCol">
      <w:tblPr/>
      <w:tcPr>
        <w:tcBorders>
          <w:top w:val="nil"/>
          <w:left w:val="single" w:sz="8" w:space="0" w:color="C0CF3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F3CE" w:themeFill="accent3" w:themeFillTint="3F"/>
      </w:tcPr>
    </w:tblStylePr>
    <w:tblStylePr w:type="band1Horz">
      <w:tblPr/>
      <w:tcPr>
        <w:tcBorders>
          <w:top w:val="nil"/>
          <w:bottom w:val="nil"/>
          <w:insideH w:val="nil"/>
          <w:insideV w:val="nil"/>
        </w:tcBorders>
        <w:shd w:val="clear" w:color="auto" w:fill="EFF3C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29676" w:themeColor="accent4"/>
        <w:left w:val="single" w:sz="8" w:space="0" w:color="029676" w:themeColor="accent4"/>
        <w:bottom w:val="single" w:sz="8" w:space="0" w:color="029676" w:themeColor="accent4"/>
        <w:right w:val="single" w:sz="8" w:space="0" w:color="029676" w:themeColor="accent4"/>
      </w:tblBorders>
    </w:tblPr>
    <w:tblStylePr w:type="firstRow">
      <w:rPr>
        <w:sz w:val="24"/>
        <w:szCs w:val="24"/>
      </w:rPr>
      <w:tblPr/>
      <w:tcPr>
        <w:tcBorders>
          <w:top w:val="nil"/>
          <w:left w:val="nil"/>
          <w:bottom w:val="single" w:sz="24" w:space="0" w:color="029676" w:themeColor="accent4"/>
          <w:right w:val="nil"/>
          <w:insideH w:val="nil"/>
          <w:insideV w:val="nil"/>
        </w:tcBorders>
        <w:shd w:val="clear" w:color="auto" w:fill="FFFFFF" w:themeFill="background1"/>
      </w:tcPr>
    </w:tblStylePr>
    <w:tblStylePr w:type="lastRow">
      <w:tblPr/>
      <w:tcPr>
        <w:tcBorders>
          <w:top w:val="single" w:sz="8" w:space="0" w:color="02967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29676" w:themeColor="accent4"/>
          <w:insideH w:val="nil"/>
          <w:insideV w:val="nil"/>
        </w:tcBorders>
        <w:shd w:val="clear" w:color="auto" w:fill="FFFFFF" w:themeFill="background1"/>
      </w:tcPr>
    </w:tblStylePr>
    <w:tblStylePr w:type="lastCol">
      <w:tblPr/>
      <w:tcPr>
        <w:tcBorders>
          <w:top w:val="nil"/>
          <w:left w:val="single" w:sz="8" w:space="0" w:color="02967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DEA" w:themeFill="accent4" w:themeFillTint="3F"/>
      </w:tcPr>
    </w:tblStylePr>
    <w:tblStylePr w:type="band1Horz">
      <w:tblPr/>
      <w:tcPr>
        <w:tcBorders>
          <w:top w:val="nil"/>
          <w:bottom w:val="nil"/>
          <w:insideH w:val="nil"/>
          <w:insideV w:val="nil"/>
        </w:tcBorders>
        <w:shd w:val="clear" w:color="auto" w:fill="A7FDE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AB5C4" w:themeColor="accent5"/>
        <w:left w:val="single" w:sz="8" w:space="0" w:color="4AB5C4" w:themeColor="accent5"/>
        <w:bottom w:val="single" w:sz="8" w:space="0" w:color="4AB5C4" w:themeColor="accent5"/>
        <w:right w:val="single" w:sz="8" w:space="0" w:color="4AB5C4" w:themeColor="accent5"/>
      </w:tblBorders>
    </w:tblPr>
    <w:tblStylePr w:type="firstRow">
      <w:rPr>
        <w:sz w:val="24"/>
        <w:szCs w:val="24"/>
      </w:rPr>
      <w:tblPr/>
      <w:tcPr>
        <w:tcBorders>
          <w:top w:val="nil"/>
          <w:left w:val="nil"/>
          <w:bottom w:val="single" w:sz="24" w:space="0" w:color="4AB5C4" w:themeColor="accent5"/>
          <w:right w:val="nil"/>
          <w:insideH w:val="nil"/>
          <w:insideV w:val="nil"/>
        </w:tcBorders>
        <w:shd w:val="clear" w:color="auto" w:fill="FFFFFF" w:themeFill="background1"/>
      </w:tcPr>
    </w:tblStylePr>
    <w:tblStylePr w:type="lastRow">
      <w:tblPr/>
      <w:tcPr>
        <w:tcBorders>
          <w:top w:val="single" w:sz="8" w:space="0" w:color="4AB5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AB5C4" w:themeColor="accent5"/>
          <w:insideH w:val="nil"/>
          <w:insideV w:val="nil"/>
        </w:tcBorders>
        <w:shd w:val="clear" w:color="auto" w:fill="FFFFFF" w:themeFill="background1"/>
      </w:tcPr>
    </w:tblStylePr>
    <w:tblStylePr w:type="lastCol">
      <w:tblPr/>
      <w:tcPr>
        <w:tcBorders>
          <w:top w:val="nil"/>
          <w:left w:val="single" w:sz="8" w:space="0" w:color="4AB5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CF0" w:themeFill="accent5" w:themeFillTint="3F"/>
      </w:tcPr>
    </w:tblStylePr>
    <w:tblStylePr w:type="band1Horz">
      <w:tblPr/>
      <w:tcPr>
        <w:tcBorders>
          <w:top w:val="nil"/>
          <w:bottom w:val="nil"/>
          <w:insideH w:val="nil"/>
          <w:insideV w:val="nil"/>
        </w:tcBorders>
        <w:shd w:val="clear" w:color="auto" w:fill="D2EC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989B1" w:themeColor="accent6"/>
        <w:left w:val="single" w:sz="8" w:space="0" w:color="0989B1" w:themeColor="accent6"/>
        <w:bottom w:val="single" w:sz="8" w:space="0" w:color="0989B1" w:themeColor="accent6"/>
        <w:right w:val="single" w:sz="8" w:space="0" w:color="0989B1" w:themeColor="accent6"/>
      </w:tblBorders>
    </w:tblPr>
    <w:tblStylePr w:type="firstRow">
      <w:rPr>
        <w:sz w:val="24"/>
        <w:szCs w:val="24"/>
      </w:rPr>
      <w:tblPr/>
      <w:tcPr>
        <w:tcBorders>
          <w:top w:val="nil"/>
          <w:left w:val="nil"/>
          <w:bottom w:val="single" w:sz="24" w:space="0" w:color="0989B1" w:themeColor="accent6"/>
          <w:right w:val="nil"/>
          <w:insideH w:val="nil"/>
          <w:insideV w:val="nil"/>
        </w:tcBorders>
        <w:shd w:val="clear" w:color="auto" w:fill="FFFFFF" w:themeFill="background1"/>
      </w:tcPr>
    </w:tblStylePr>
    <w:tblStylePr w:type="lastRow">
      <w:tblPr/>
      <w:tcPr>
        <w:tcBorders>
          <w:top w:val="single" w:sz="8" w:space="0" w:color="0989B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989B1" w:themeColor="accent6"/>
          <w:insideH w:val="nil"/>
          <w:insideV w:val="nil"/>
        </w:tcBorders>
        <w:shd w:val="clear" w:color="auto" w:fill="FFFFFF" w:themeFill="background1"/>
      </w:tcPr>
    </w:tblStylePr>
    <w:tblStylePr w:type="lastCol">
      <w:tblPr/>
      <w:tcPr>
        <w:tcBorders>
          <w:top w:val="nil"/>
          <w:left w:val="single" w:sz="8" w:space="0" w:color="0989B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E9FB" w:themeFill="accent6" w:themeFillTint="3F"/>
      </w:tcPr>
    </w:tblStylePr>
    <w:tblStylePr w:type="band1Horz">
      <w:tblPr/>
      <w:tcPr>
        <w:tcBorders>
          <w:top w:val="nil"/>
          <w:bottom w:val="nil"/>
          <w:insideH w:val="nil"/>
          <w:insideV w:val="nil"/>
        </w:tcBorders>
        <w:shd w:val="clear" w:color="auto" w:fill="B2E9F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8C45C" w:themeColor="accent1" w:themeTint="BF"/>
        <w:left w:val="single" w:sz="8" w:space="0" w:color="78C45C" w:themeColor="accent1" w:themeTint="BF"/>
        <w:bottom w:val="single" w:sz="8" w:space="0" w:color="78C45C" w:themeColor="accent1" w:themeTint="BF"/>
        <w:right w:val="single" w:sz="8" w:space="0" w:color="78C45C" w:themeColor="accent1" w:themeTint="BF"/>
        <w:insideH w:val="single" w:sz="8" w:space="0" w:color="78C45C" w:themeColor="accent1" w:themeTint="BF"/>
        <w:insideV w:val="single" w:sz="8" w:space="0" w:color="78C45C" w:themeColor="accent1" w:themeTint="BF"/>
      </w:tblBorders>
    </w:tblPr>
    <w:tcPr>
      <w:shd w:val="clear" w:color="auto" w:fill="D2EBC9" w:themeFill="accent1" w:themeFillTint="3F"/>
    </w:tcPr>
    <w:tblStylePr w:type="firstRow">
      <w:rPr>
        <w:b/>
        <w:bCs/>
      </w:rPr>
    </w:tblStylePr>
    <w:tblStylePr w:type="lastRow">
      <w:rPr>
        <w:b/>
        <w:bCs/>
      </w:rPr>
      <w:tblPr/>
      <w:tcPr>
        <w:tcBorders>
          <w:top w:val="single" w:sz="18" w:space="0" w:color="78C45C" w:themeColor="accent1" w:themeTint="BF"/>
        </w:tcBorders>
      </w:tcPr>
    </w:tblStylePr>
    <w:tblStylePr w:type="firstCol">
      <w:rPr>
        <w:b/>
        <w:bCs/>
      </w:rPr>
    </w:tblStylePr>
    <w:tblStylePr w:type="lastCol">
      <w:rPr>
        <w:b/>
        <w:bCs/>
      </w:rPr>
    </w:tblStylePr>
    <w:tblStylePr w:type="band1Vert">
      <w:tblPr/>
      <w:tcPr>
        <w:shd w:val="clear" w:color="auto" w:fill="A5D893" w:themeFill="accent1" w:themeFillTint="7F"/>
      </w:tcPr>
    </w:tblStylePr>
    <w:tblStylePr w:type="band1Horz">
      <w:tblPr/>
      <w:tcPr>
        <w:shd w:val="clear" w:color="auto" w:fill="A5D893"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A9D25D" w:themeColor="accent2" w:themeTint="BF"/>
        <w:left w:val="single" w:sz="8" w:space="0" w:color="A9D25D" w:themeColor="accent2" w:themeTint="BF"/>
        <w:bottom w:val="single" w:sz="8" w:space="0" w:color="A9D25D" w:themeColor="accent2" w:themeTint="BF"/>
        <w:right w:val="single" w:sz="8" w:space="0" w:color="A9D25D" w:themeColor="accent2" w:themeTint="BF"/>
        <w:insideH w:val="single" w:sz="8" w:space="0" w:color="A9D25D" w:themeColor="accent2" w:themeTint="BF"/>
        <w:insideV w:val="single" w:sz="8" w:space="0" w:color="A9D25D" w:themeColor="accent2" w:themeTint="BF"/>
      </w:tblBorders>
    </w:tblPr>
    <w:tcPr>
      <w:shd w:val="clear" w:color="auto" w:fill="E2F0C9" w:themeFill="accent2" w:themeFillTint="3F"/>
    </w:tcPr>
    <w:tblStylePr w:type="firstRow">
      <w:rPr>
        <w:b/>
        <w:bCs/>
      </w:rPr>
    </w:tblStylePr>
    <w:tblStylePr w:type="lastRow">
      <w:rPr>
        <w:b/>
        <w:bCs/>
      </w:rPr>
      <w:tblPr/>
      <w:tcPr>
        <w:tcBorders>
          <w:top w:val="single" w:sz="18" w:space="0" w:color="A9D25D" w:themeColor="accent2" w:themeTint="BF"/>
        </w:tcBorders>
      </w:tcPr>
    </w:tblStylePr>
    <w:tblStylePr w:type="firstCol">
      <w:rPr>
        <w:b/>
        <w:bCs/>
      </w:rPr>
    </w:tblStylePr>
    <w:tblStylePr w:type="lastCol">
      <w:rPr>
        <w:b/>
        <w:bCs/>
      </w:rPr>
    </w:tblStylePr>
    <w:tblStylePr w:type="band1Vert">
      <w:tblPr/>
      <w:tcPr>
        <w:shd w:val="clear" w:color="auto" w:fill="C6E193" w:themeFill="accent2" w:themeFillTint="7F"/>
      </w:tcPr>
    </w:tblStylePr>
    <w:tblStylePr w:type="band1Horz">
      <w:tblPr/>
      <w:tcPr>
        <w:shd w:val="clear" w:color="auto" w:fill="C6E193"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CFDB6B" w:themeColor="accent3" w:themeTint="BF"/>
        <w:left w:val="single" w:sz="8" w:space="0" w:color="CFDB6B" w:themeColor="accent3" w:themeTint="BF"/>
        <w:bottom w:val="single" w:sz="8" w:space="0" w:color="CFDB6B" w:themeColor="accent3" w:themeTint="BF"/>
        <w:right w:val="single" w:sz="8" w:space="0" w:color="CFDB6B" w:themeColor="accent3" w:themeTint="BF"/>
        <w:insideH w:val="single" w:sz="8" w:space="0" w:color="CFDB6B" w:themeColor="accent3" w:themeTint="BF"/>
        <w:insideV w:val="single" w:sz="8" w:space="0" w:color="CFDB6B" w:themeColor="accent3" w:themeTint="BF"/>
      </w:tblBorders>
    </w:tblPr>
    <w:tcPr>
      <w:shd w:val="clear" w:color="auto" w:fill="EFF3CE" w:themeFill="accent3" w:themeFillTint="3F"/>
    </w:tcPr>
    <w:tblStylePr w:type="firstRow">
      <w:rPr>
        <w:b/>
        <w:bCs/>
      </w:rPr>
    </w:tblStylePr>
    <w:tblStylePr w:type="lastRow">
      <w:rPr>
        <w:b/>
        <w:bCs/>
      </w:rPr>
      <w:tblPr/>
      <w:tcPr>
        <w:tcBorders>
          <w:top w:val="single" w:sz="18" w:space="0" w:color="CFDB6B" w:themeColor="accent3" w:themeTint="BF"/>
        </w:tcBorders>
      </w:tcPr>
    </w:tblStylePr>
    <w:tblStylePr w:type="firstCol">
      <w:rPr>
        <w:b/>
        <w:bCs/>
      </w:rPr>
    </w:tblStylePr>
    <w:tblStylePr w:type="lastCol">
      <w:rPr>
        <w:b/>
        <w:bCs/>
      </w:rPr>
    </w:tblStylePr>
    <w:tblStylePr w:type="band1Vert">
      <w:tblPr/>
      <w:tcPr>
        <w:shd w:val="clear" w:color="auto" w:fill="DFE79C" w:themeFill="accent3" w:themeFillTint="7F"/>
      </w:tcPr>
    </w:tblStylePr>
    <w:tblStylePr w:type="band1Horz">
      <w:tblPr/>
      <w:tcPr>
        <w:shd w:val="clear" w:color="auto" w:fill="DFE79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03EEBA" w:themeColor="accent4" w:themeTint="BF"/>
        <w:left w:val="single" w:sz="8" w:space="0" w:color="03EEBA" w:themeColor="accent4" w:themeTint="BF"/>
        <w:bottom w:val="single" w:sz="8" w:space="0" w:color="03EEBA" w:themeColor="accent4" w:themeTint="BF"/>
        <w:right w:val="single" w:sz="8" w:space="0" w:color="03EEBA" w:themeColor="accent4" w:themeTint="BF"/>
        <w:insideH w:val="single" w:sz="8" w:space="0" w:color="03EEBA" w:themeColor="accent4" w:themeTint="BF"/>
        <w:insideV w:val="single" w:sz="8" w:space="0" w:color="03EEBA" w:themeColor="accent4" w:themeTint="BF"/>
      </w:tblBorders>
    </w:tblPr>
    <w:tcPr>
      <w:shd w:val="clear" w:color="auto" w:fill="A7FDEA" w:themeFill="accent4" w:themeFillTint="3F"/>
    </w:tcPr>
    <w:tblStylePr w:type="firstRow">
      <w:rPr>
        <w:b/>
        <w:bCs/>
      </w:rPr>
    </w:tblStylePr>
    <w:tblStylePr w:type="lastRow">
      <w:rPr>
        <w:b/>
        <w:bCs/>
      </w:rPr>
      <w:tblPr/>
      <w:tcPr>
        <w:tcBorders>
          <w:top w:val="single" w:sz="18" w:space="0" w:color="03EEBA" w:themeColor="accent4" w:themeTint="BF"/>
        </w:tcBorders>
      </w:tcPr>
    </w:tblStylePr>
    <w:tblStylePr w:type="firstCol">
      <w:rPr>
        <w:b/>
        <w:bCs/>
      </w:rPr>
    </w:tblStylePr>
    <w:tblStylePr w:type="lastCol">
      <w:rPr>
        <w:b/>
        <w:bCs/>
      </w:rPr>
    </w:tblStylePr>
    <w:tblStylePr w:type="band1Vert">
      <w:tblPr/>
      <w:tcPr>
        <w:shd w:val="clear" w:color="auto" w:fill="4FFCD6" w:themeFill="accent4" w:themeFillTint="7F"/>
      </w:tcPr>
    </w:tblStylePr>
    <w:tblStylePr w:type="band1Horz">
      <w:tblPr/>
      <w:tcPr>
        <w:shd w:val="clear" w:color="auto" w:fill="4FFCD6"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7C7D2" w:themeColor="accent5" w:themeTint="BF"/>
        <w:left w:val="single" w:sz="8" w:space="0" w:color="77C7D2" w:themeColor="accent5" w:themeTint="BF"/>
        <w:bottom w:val="single" w:sz="8" w:space="0" w:color="77C7D2" w:themeColor="accent5" w:themeTint="BF"/>
        <w:right w:val="single" w:sz="8" w:space="0" w:color="77C7D2" w:themeColor="accent5" w:themeTint="BF"/>
        <w:insideH w:val="single" w:sz="8" w:space="0" w:color="77C7D2" w:themeColor="accent5" w:themeTint="BF"/>
        <w:insideV w:val="single" w:sz="8" w:space="0" w:color="77C7D2" w:themeColor="accent5" w:themeTint="BF"/>
      </w:tblBorders>
    </w:tblPr>
    <w:tcPr>
      <w:shd w:val="clear" w:color="auto" w:fill="D2ECF0" w:themeFill="accent5" w:themeFillTint="3F"/>
    </w:tcPr>
    <w:tblStylePr w:type="firstRow">
      <w:rPr>
        <w:b/>
        <w:bCs/>
      </w:rPr>
    </w:tblStylePr>
    <w:tblStylePr w:type="lastRow">
      <w:rPr>
        <w:b/>
        <w:bCs/>
      </w:rPr>
      <w:tblPr/>
      <w:tcPr>
        <w:tcBorders>
          <w:top w:val="single" w:sz="18" w:space="0" w:color="77C7D2" w:themeColor="accent5" w:themeTint="BF"/>
        </w:tcBorders>
      </w:tcPr>
    </w:tblStylePr>
    <w:tblStylePr w:type="firstCol">
      <w:rPr>
        <w:b/>
        <w:bCs/>
      </w:rPr>
    </w:tblStylePr>
    <w:tblStylePr w:type="lastCol">
      <w:rPr>
        <w:b/>
        <w:bCs/>
      </w:rPr>
    </w:tblStylePr>
    <w:tblStylePr w:type="band1Vert">
      <w:tblPr/>
      <w:tcPr>
        <w:shd w:val="clear" w:color="auto" w:fill="A4DAE1" w:themeFill="accent5" w:themeFillTint="7F"/>
      </w:tcPr>
    </w:tblStylePr>
    <w:tblStylePr w:type="band1Horz">
      <w:tblPr/>
      <w:tcPr>
        <w:shd w:val="clear" w:color="auto" w:fill="A4DAE1"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17BEF3" w:themeColor="accent6" w:themeTint="BF"/>
        <w:left w:val="single" w:sz="8" w:space="0" w:color="17BEF3" w:themeColor="accent6" w:themeTint="BF"/>
        <w:bottom w:val="single" w:sz="8" w:space="0" w:color="17BEF3" w:themeColor="accent6" w:themeTint="BF"/>
        <w:right w:val="single" w:sz="8" w:space="0" w:color="17BEF3" w:themeColor="accent6" w:themeTint="BF"/>
        <w:insideH w:val="single" w:sz="8" w:space="0" w:color="17BEF3" w:themeColor="accent6" w:themeTint="BF"/>
        <w:insideV w:val="single" w:sz="8" w:space="0" w:color="17BEF3" w:themeColor="accent6" w:themeTint="BF"/>
      </w:tblBorders>
    </w:tblPr>
    <w:tcPr>
      <w:shd w:val="clear" w:color="auto" w:fill="B2E9FB" w:themeFill="accent6" w:themeFillTint="3F"/>
    </w:tcPr>
    <w:tblStylePr w:type="firstRow">
      <w:rPr>
        <w:b/>
        <w:bCs/>
      </w:rPr>
    </w:tblStylePr>
    <w:tblStylePr w:type="lastRow">
      <w:rPr>
        <w:b/>
        <w:bCs/>
      </w:rPr>
      <w:tblPr/>
      <w:tcPr>
        <w:tcBorders>
          <w:top w:val="single" w:sz="18" w:space="0" w:color="17BEF3" w:themeColor="accent6" w:themeTint="BF"/>
        </w:tcBorders>
      </w:tcPr>
    </w:tblStylePr>
    <w:tblStylePr w:type="firstCol">
      <w:rPr>
        <w:b/>
        <w:bCs/>
      </w:rPr>
    </w:tblStylePr>
    <w:tblStylePr w:type="lastCol">
      <w:rPr>
        <w:b/>
        <w:bCs/>
      </w:rPr>
    </w:tblStylePr>
    <w:tblStylePr w:type="band1Vert">
      <w:tblPr/>
      <w:tcPr>
        <w:shd w:val="clear" w:color="auto" w:fill="65D4F7" w:themeFill="accent6" w:themeFillTint="7F"/>
      </w:tcPr>
    </w:tblStylePr>
    <w:tblStylePr w:type="band1Horz">
      <w:tblPr/>
      <w:tcPr>
        <w:shd w:val="clear" w:color="auto" w:fill="65D4F7"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49E39" w:themeColor="accent1"/>
        <w:left w:val="single" w:sz="8" w:space="0" w:color="549E39" w:themeColor="accent1"/>
        <w:bottom w:val="single" w:sz="8" w:space="0" w:color="549E39" w:themeColor="accent1"/>
        <w:right w:val="single" w:sz="8" w:space="0" w:color="549E39" w:themeColor="accent1"/>
        <w:insideH w:val="single" w:sz="8" w:space="0" w:color="549E39" w:themeColor="accent1"/>
        <w:insideV w:val="single" w:sz="8" w:space="0" w:color="549E39" w:themeColor="accent1"/>
      </w:tblBorders>
    </w:tblPr>
    <w:tcPr>
      <w:shd w:val="clear" w:color="auto" w:fill="D2EBC9" w:themeFill="accent1" w:themeFillTint="3F"/>
    </w:tcPr>
    <w:tblStylePr w:type="firstRow">
      <w:rPr>
        <w:b/>
        <w:bCs/>
        <w:color w:val="000000" w:themeColor="text1"/>
      </w:rPr>
      <w:tblPr/>
      <w:tcPr>
        <w:shd w:val="clear" w:color="auto" w:fill="EDF7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FD3" w:themeFill="accent1" w:themeFillTint="33"/>
      </w:tcPr>
    </w:tblStylePr>
    <w:tblStylePr w:type="band1Vert">
      <w:tblPr/>
      <w:tcPr>
        <w:shd w:val="clear" w:color="auto" w:fill="A5D893" w:themeFill="accent1" w:themeFillTint="7F"/>
      </w:tcPr>
    </w:tblStylePr>
    <w:tblStylePr w:type="band1Horz">
      <w:tblPr/>
      <w:tcPr>
        <w:tcBorders>
          <w:insideH w:val="single" w:sz="6" w:space="0" w:color="549E39" w:themeColor="accent1"/>
          <w:insideV w:val="single" w:sz="6" w:space="0" w:color="549E39" w:themeColor="accent1"/>
        </w:tcBorders>
        <w:shd w:val="clear" w:color="auto" w:fill="A5D89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AB833" w:themeColor="accent2"/>
        <w:left w:val="single" w:sz="8" w:space="0" w:color="8AB833" w:themeColor="accent2"/>
        <w:bottom w:val="single" w:sz="8" w:space="0" w:color="8AB833" w:themeColor="accent2"/>
        <w:right w:val="single" w:sz="8" w:space="0" w:color="8AB833" w:themeColor="accent2"/>
        <w:insideH w:val="single" w:sz="8" w:space="0" w:color="8AB833" w:themeColor="accent2"/>
        <w:insideV w:val="single" w:sz="8" w:space="0" w:color="8AB833" w:themeColor="accent2"/>
      </w:tblBorders>
    </w:tblPr>
    <w:tcPr>
      <w:shd w:val="clear" w:color="auto" w:fill="E2F0C9" w:themeFill="accent2" w:themeFillTint="3F"/>
    </w:tcPr>
    <w:tblStylePr w:type="firstRow">
      <w:rPr>
        <w:b/>
        <w:bCs/>
        <w:color w:val="000000" w:themeColor="text1"/>
      </w:rPr>
      <w:tblPr/>
      <w:tcPr>
        <w:shd w:val="clear" w:color="auto" w:fill="F3F9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3D3" w:themeFill="accent2" w:themeFillTint="33"/>
      </w:tcPr>
    </w:tblStylePr>
    <w:tblStylePr w:type="band1Vert">
      <w:tblPr/>
      <w:tcPr>
        <w:shd w:val="clear" w:color="auto" w:fill="C6E193" w:themeFill="accent2" w:themeFillTint="7F"/>
      </w:tcPr>
    </w:tblStylePr>
    <w:tblStylePr w:type="band1Horz">
      <w:tblPr/>
      <w:tcPr>
        <w:tcBorders>
          <w:insideH w:val="single" w:sz="6" w:space="0" w:color="8AB833" w:themeColor="accent2"/>
          <w:insideV w:val="single" w:sz="6" w:space="0" w:color="8AB833" w:themeColor="accent2"/>
        </w:tcBorders>
        <w:shd w:val="clear" w:color="auto" w:fill="C6E19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CF3A" w:themeColor="accent3"/>
        <w:left w:val="single" w:sz="8" w:space="0" w:color="C0CF3A" w:themeColor="accent3"/>
        <w:bottom w:val="single" w:sz="8" w:space="0" w:color="C0CF3A" w:themeColor="accent3"/>
        <w:right w:val="single" w:sz="8" w:space="0" w:color="C0CF3A" w:themeColor="accent3"/>
        <w:insideH w:val="single" w:sz="8" w:space="0" w:color="C0CF3A" w:themeColor="accent3"/>
        <w:insideV w:val="single" w:sz="8" w:space="0" w:color="C0CF3A" w:themeColor="accent3"/>
      </w:tblBorders>
    </w:tblPr>
    <w:tcPr>
      <w:shd w:val="clear" w:color="auto" w:fill="EFF3CE" w:themeFill="accent3" w:themeFillTint="3F"/>
    </w:tcPr>
    <w:tblStylePr w:type="firstRow">
      <w:rPr>
        <w:b/>
        <w:bCs/>
        <w:color w:val="000000" w:themeColor="text1"/>
      </w:rPr>
      <w:tblPr/>
      <w:tcPr>
        <w:shd w:val="clear" w:color="auto" w:fill="F8FAE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5D7" w:themeFill="accent3" w:themeFillTint="33"/>
      </w:tcPr>
    </w:tblStylePr>
    <w:tblStylePr w:type="band1Vert">
      <w:tblPr/>
      <w:tcPr>
        <w:shd w:val="clear" w:color="auto" w:fill="DFE79C" w:themeFill="accent3" w:themeFillTint="7F"/>
      </w:tcPr>
    </w:tblStylePr>
    <w:tblStylePr w:type="band1Horz">
      <w:tblPr/>
      <w:tcPr>
        <w:tcBorders>
          <w:insideH w:val="single" w:sz="6" w:space="0" w:color="C0CF3A" w:themeColor="accent3"/>
          <w:insideV w:val="single" w:sz="6" w:space="0" w:color="C0CF3A" w:themeColor="accent3"/>
        </w:tcBorders>
        <w:shd w:val="clear" w:color="auto" w:fill="DFE79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29676" w:themeColor="accent4"/>
        <w:left w:val="single" w:sz="8" w:space="0" w:color="029676" w:themeColor="accent4"/>
        <w:bottom w:val="single" w:sz="8" w:space="0" w:color="029676" w:themeColor="accent4"/>
        <w:right w:val="single" w:sz="8" w:space="0" w:color="029676" w:themeColor="accent4"/>
        <w:insideH w:val="single" w:sz="8" w:space="0" w:color="029676" w:themeColor="accent4"/>
        <w:insideV w:val="single" w:sz="8" w:space="0" w:color="029676" w:themeColor="accent4"/>
      </w:tblBorders>
    </w:tblPr>
    <w:tcPr>
      <w:shd w:val="clear" w:color="auto" w:fill="A7FDEA" w:themeFill="accent4" w:themeFillTint="3F"/>
    </w:tcPr>
    <w:tblStylePr w:type="firstRow">
      <w:rPr>
        <w:b/>
        <w:bCs/>
        <w:color w:val="000000" w:themeColor="text1"/>
      </w:rPr>
      <w:tblPr/>
      <w:tcPr>
        <w:shd w:val="clear" w:color="auto" w:fill="DCFE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EE" w:themeFill="accent4" w:themeFillTint="33"/>
      </w:tcPr>
    </w:tblStylePr>
    <w:tblStylePr w:type="band1Vert">
      <w:tblPr/>
      <w:tcPr>
        <w:shd w:val="clear" w:color="auto" w:fill="4FFCD6" w:themeFill="accent4" w:themeFillTint="7F"/>
      </w:tcPr>
    </w:tblStylePr>
    <w:tblStylePr w:type="band1Horz">
      <w:tblPr/>
      <w:tcPr>
        <w:tcBorders>
          <w:insideH w:val="single" w:sz="6" w:space="0" w:color="029676" w:themeColor="accent4"/>
          <w:insideV w:val="single" w:sz="6" w:space="0" w:color="029676" w:themeColor="accent4"/>
        </w:tcBorders>
        <w:shd w:val="clear" w:color="auto" w:fill="4FFCD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AB5C4" w:themeColor="accent5"/>
        <w:left w:val="single" w:sz="8" w:space="0" w:color="4AB5C4" w:themeColor="accent5"/>
        <w:bottom w:val="single" w:sz="8" w:space="0" w:color="4AB5C4" w:themeColor="accent5"/>
        <w:right w:val="single" w:sz="8" w:space="0" w:color="4AB5C4" w:themeColor="accent5"/>
        <w:insideH w:val="single" w:sz="8" w:space="0" w:color="4AB5C4" w:themeColor="accent5"/>
        <w:insideV w:val="single" w:sz="8" w:space="0" w:color="4AB5C4" w:themeColor="accent5"/>
      </w:tblBorders>
    </w:tblPr>
    <w:tcPr>
      <w:shd w:val="clear" w:color="auto" w:fill="D2ECF0" w:themeFill="accent5" w:themeFillTint="3F"/>
    </w:tcPr>
    <w:tblStylePr w:type="firstRow">
      <w:rPr>
        <w:b/>
        <w:bCs/>
        <w:color w:val="000000" w:themeColor="text1"/>
      </w:rPr>
      <w:tblPr/>
      <w:tcPr>
        <w:shd w:val="clear" w:color="auto" w:fill="EDF7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F0F3" w:themeFill="accent5" w:themeFillTint="33"/>
      </w:tcPr>
    </w:tblStylePr>
    <w:tblStylePr w:type="band1Vert">
      <w:tblPr/>
      <w:tcPr>
        <w:shd w:val="clear" w:color="auto" w:fill="A4DAE1" w:themeFill="accent5" w:themeFillTint="7F"/>
      </w:tcPr>
    </w:tblStylePr>
    <w:tblStylePr w:type="band1Horz">
      <w:tblPr/>
      <w:tcPr>
        <w:tcBorders>
          <w:insideH w:val="single" w:sz="6" w:space="0" w:color="4AB5C4" w:themeColor="accent5"/>
          <w:insideV w:val="single" w:sz="6" w:space="0" w:color="4AB5C4" w:themeColor="accent5"/>
        </w:tcBorders>
        <w:shd w:val="clear" w:color="auto" w:fill="A4DA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989B1" w:themeColor="accent6"/>
        <w:left w:val="single" w:sz="8" w:space="0" w:color="0989B1" w:themeColor="accent6"/>
        <w:bottom w:val="single" w:sz="8" w:space="0" w:color="0989B1" w:themeColor="accent6"/>
        <w:right w:val="single" w:sz="8" w:space="0" w:color="0989B1" w:themeColor="accent6"/>
        <w:insideH w:val="single" w:sz="8" w:space="0" w:color="0989B1" w:themeColor="accent6"/>
        <w:insideV w:val="single" w:sz="8" w:space="0" w:color="0989B1" w:themeColor="accent6"/>
      </w:tblBorders>
    </w:tblPr>
    <w:tcPr>
      <w:shd w:val="clear" w:color="auto" w:fill="B2E9FB" w:themeFill="accent6" w:themeFillTint="3F"/>
    </w:tcPr>
    <w:tblStylePr w:type="firstRow">
      <w:rPr>
        <w:b/>
        <w:bCs/>
        <w:color w:val="000000" w:themeColor="text1"/>
      </w:rPr>
      <w:tblPr/>
      <w:tcPr>
        <w:shd w:val="clear" w:color="auto" w:fill="E0F6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DFC" w:themeFill="accent6" w:themeFillTint="33"/>
      </w:tcPr>
    </w:tblStylePr>
    <w:tblStylePr w:type="band1Vert">
      <w:tblPr/>
      <w:tcPr>
        <w:shd w:val="clear" w:color="auto" w:fill="65D4F7" w:themeFill="accent6" w:themeFillTint="7F"/>
      </w:tcPr>
    </w:tblStylePr>
    <w:tblStylePr w:type="band1Horz">
      <w:tblPr/>
      <w:tcPr>
        <w:tcBorders>
          <w:insideH w:val="single" w:sz="6" w:space="0" w:color="0989B1" w:themeColor="accent6"/>
          <w:insideV w:val="single" w:sz="6" w:space="0" w:color="0989B1" w:themeColor="accent6"/>
        </w:tcBorders>
        <w:shd w:val="clear" w:color="auto" w:fill="65D4F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BC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49E3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49E3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49E3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49E3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89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893"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F0C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B83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B83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B83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B83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6E19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6E193"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F3C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F3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F3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F3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F3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E79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E79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DE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2967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2967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2967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2967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FFCD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FFCD6"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C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AB5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AB5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AB5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AB5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4DA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4DAE1"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E9F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989B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989B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989B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989B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5D4F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5D4F7"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549E3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94E1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E762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E762A" w:themeFill="accent1" w:themeFillShade="BF"/>
      </w:tcPr>
    </w:tblStylePr>
    <w:tblStylePr w:type="band1Vert">
      <w:tblPr/>
      <w:tcPr>
        <w:tcBorders>
          <w:top w:val="nil"/>
          <w:left w:val="nil"/>
          <w:bottom w:val="nil"/>
          <w:right w:val="nil"/>
          <w:insideH w:val="nil"/>
          <w:insideV w:val="nil"/>
        </w:tcBorders>
        <w:shd w:val="clear" w:color="auto" w:fill="3E762A" w:themeFill="accent1" w:themeFillShade="BF"/>
      </w:tcPr>
    </w:tblStylePr>
    <w:tblStylePr w:type="band1Horz">
      <w:tblPr/>
      <w:tcPr>
        <w:tcBorders>
          <w:top w:val="nil"/>
          <w:left w:val="nil"/>
          <w:bottom w:val="nil"/>
          <w:right w:val="nil"/>
          <w:insideH w:val="nil"/>
          <w:insideV w:val="nil"/>
        </w:tcBorders>
        <w:shd w:val="clear" w:color="auto" w:fill="3E762A"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8AB83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5B1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6892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68926" w:themeFill="accent2" w:themeFillShade="BF"/>
      </w:tcPr>
    </w:tblStylePr>
    <w:tblStylePr w:type="band1Vert">
      <w:tblPr/>
      <w:tcPr>
        <w:tcBorders>
          <w:top w:val="nil"/>
          <w:left w:val="nil"/>
          <w:bottom w:val="nil"/>
          <w:right w:val="nil"/>
          <w:insideH w:val="nil"/>
          <w:insideV w:val="nil"/>
        </w:tcBorders>
        <w:shd w:val="clear" w:color="auto" w:fill="668926" w:themeFill="accent2" w:themeFillShade="BF"/>
      </w:tcPr>
    </w:tblStylePr>
    <w:tblStylePr w:type="band1Horz">
      <w:tblPr/>
      <w:tcPr>
        <w:tcBorders>
          <w:top w:val="nil"/>
          <w:left w:val="nil"/>
          <w:bottom w:val="nil"/>
          <w:right w:val="nil"/>
          <w:insideH w:val="nil"/>
          <w:insideV w:val="nil"/>
        </w:tcBorders>
        <w:shd w:val="clear" w:color="auto" w:fill="668926"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C0CF3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91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39F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39F27" w:themeFill="accent3" w:themeFillShade="BF"/>
      </w:tcPr>
    </w:tblStylePr>
    <w:tblStylePr w:type="band1Vert">
      <w:tblPr/>
      <w:tcPr>
        <w:tcBorders>
          <w:top w:val="nil"/>
          <w:left w:val="nil"/>
          <w:bottom w:val="nil"/>
          <w:right w:val="nil"/>
          <w:insideH w:val="nil"/>
          <w:insideV w:val="nil"/>
        </w:tcBorders>
        <w:shd w:val="clear" w:color="auto" w:fill="939F27" w:themeFill="accent3" w:themeFillShade="BF"/>
      </w:tcPr>
    </w:tblStylePr>
    <w:tblStylePr w:type="band1Horz">
      <w:tblPr/>
      <w:tcPr>
        <w:tcBorders>
          <w:top w:val="nil"/>
          <w:left w:val="nil"/>
          <w:bottom w:val="nil"/>
          <w:right w:val="nil"/>
          <w:insideH w:val="nil"/>
          <w:insideV w:val="nil"/>
        </w:tcBorders>
        <w:shd w:val="clear" w:color="auto" w:fill="939F27"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2967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14A3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1705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17057" w:themeFill="accent4" w:themeFillShade="BF"/>
      </w:tcPr>
    </w:tblStylePr>
    <w:tblStylePr w:type="band1Vert">
      <w:tblPr/>
      <w:tcPr>
        <w:tcBorders>
          <w:top w:val="nil"/>
          <w:left w:val="nil"/>
          <w:bottom w:val="nil"/>
          <w:right w:val="nil"/>
          <w:insideH w:val="nil"/>
          <w:insideV w:val="nil"/>
        </w:tcBorders>
        <w:shd w:val="clear" w:color="auto" w:fill="017057" w:themeFill="accent4" w:themeFillShade="BF"/>
      </w:tcPr>
    </w:tblStylePr>
    <w:tblStylePr w:type="band1Horz">
      <w:tblPr/>
      <w:tcPr>
        <w:tcBorders>
          <w:top w:val="nil"/>
          <w:left w:val="nil"/>
          <w:bottom w:val="nil"/>
          <w:right w:val="nil"/>
          <w:insideH w:val="nil"/>
          <w:insideV w:val="nil"/>
        </w:tcBorders>
        <w:shd w:val="clear" w:color="auto" w:fill="017057"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AB5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5C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B9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B98" w:themeFill="accent5" w:themeFillShade="BF"/>
      </w:tcPr>
    </w:tblStylePr>
    <w:tblStylePr w:type="band1Vert">
      <w:tblPr/>
      <w:tcPr>
        <w:tcBorders>
          <w:top w:val="nil"/>
          <w:left w:val="nil"/>
          <w:bottom w:val="nil"/>
          <w:right w:val="nil"/>
          <w:insideH w:val="nil"/>
          <w:insideV w:val="nil"/>
        </w:tcBorders>
        <w:shd w:val="clear" w:color="auto" w:fill="318B98" w:themeFill="accent5" w:themeFillShade="BF"/>
      </w:tcPr>
    </w:tblStylePr>
    <w:tblStylePr w:type="band1Horz">
      <w:tblPr/>
      <w:tcPr>
        <w:tcBorders>
          <w:top w:val="nil"/>
          <w:left w:val="nil"/>
          <w:bottom w:val="nil"/>
          <w:right w:val="nil"/>
          <w:insideH w:val="nil"/>
          <w:insideV w:val="nil"/>
        </w:tcBorders>
        <w:shd w:val="clear" w:color="auto" w:fill="318B98"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0989B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4435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6668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66684" w:themeFill="accent6" w:themeFillShade="BF"/>
      </w:tcPr>
    </w:tblStylePr>
    <w:tblStylePr w:type="band1Vert">
      <w:tblPr/>
      <w:tcPr>
        <w:tcBorders>
          <w:top w:val="nil"/>
          <w:left w:val="nil"/>
          <w:bottom w:val="nil"/>
          <w:right w:val="nil"/>
          <w:insideH w:val="nil"/>
          <w:insideV w:val="nil"/>
        </w:tcBorders>
        <w:shd w:val="clear" w:color="auto" w:fill="066684" w:themeFill="accent6" w:themeFillShade="BF"/>
      </w:tcPr>
    </w:tblStylePr>
    <w:tblStylePr w:type="band1Horz">
      <w:tblPr/>
      <w:tcPr>
        <w:tcBorders>
          <w:top w:val="nil"/>
          <w:left w:val="nil"/>
          <w:bottom w:val="nil"/>
          <w:right w:val="nil"/>
          <w:insideH w:val="nil"/>
          <w:insideV w:val="nil"/>
        </w:tcBorders>
        <w:shd w:val="clear" w:color="auto" w:fill="066684"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8AB83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AB8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8AB833" w:themeColor="accent2"/>
        <w:left w:val="single" w:sz="4" w:space="0" w:color="549E39" w:themeColor="accent1"/>
        <w:bottom w:val="single" w:sz="4" w:space="0" w:color="549E39" w:themeColor="accent1"/>
        <w:right w:val="single" w:sz="4" w:space="0" w:color="549E39" w:themeColor="accent1"/>
        <w:insideH w:val="single" w:sz="4" w:space="0" w:color="FFFFFF" w:themeColor="background1"/>
        <w:insideV w:val="single" w:sz="4" w:space="0" w:color="FFFFFF" w:themeColor="background1"/>
      </w:tblBorders>
    </w:tblPr>
    <w:tcPr>
      <w:shd w:val="clear" w:color="auto" w:fill="EDF7E9" w:themeFill="accent1" w:themeFillTint="19"/>
    </w:tcPr>
    <w:tblStylePr w:type="firstRow">
      <w:rPr>
        <w:b/>
        <w:bCs/>
      </w:rPr>
      <w:tblPr/>
      <w:tcPr>
        <w:tcBorders>
          <w:top w:val="nil"/>
          <w:left w:val="nil"/>
          <w:bottom w:val="single" w:sz="24" w:space="0" w:color="8AB8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25E22" w:themeFill="accent1" w:themeFillShade="99"/>
      </w:tcPr>
    </w:tblStylePr>
    <w:tblStylePr w:type="firstCol">
      <w:rPr>
        <w:color w:val="FFFFFF" w:themeColor="background1"/>
      </w:rPr>
      <w:tblPr/>
      <w:tcPr>
        <w:tcBorders>
          <w:top w:val="nil"/>
          <w:left w:val="nil"/>
          <w:bottom w:val="nil"/>
          <w:right w:val="nil"/>
          <w:insideH w:val="single" w:sz="4" w:space="0" w:color="325E22" w:themeColor="accent1" w:themeShade="99"/>
          <w:insideV w:val="nil"/>
        </w:tcBorders>
        <w:shd w:val="clear" w:color="auto" w:fill="325E2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25E22" w:themeFill="accent1" w:themeFillShade="99"/>
      </w:tcPr>
    </w:tblStylePr>
    <w:tblStylePr w:type="band1Vert">
      <w:tblPr/>
      <w:tcPr>
        <w:shd w:val="clear" w:color="auto" w:fill="B7DFA8" w:themeFill="accent1" w:themeFillTint="66"/>
      </w:tcPr>
    </w:tblStylePr>
    <w:tblStylePr w:type="band1Horz">
      <w:tblPr/>
      <w:tcPr>
        <w:shd w:val="clear" w:color="auto" w:fill="A5D89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8AB833" w:themeColor="accent2"/>
        <w:left w:val="single" w:sz="4" w:space="0" w:color="8AB833" w:themeColor="accent2"/>
        <w:bottom w:val="single" w:sz="4" w:space="0" w:color="8AB833" w:themeColor="accent2"/>
        <w:right w:val="single" w:sz="4" w:space="0" w:color="8AB833" w:themeColor="accent2"/>
        <w:insideH w:val="single" w:sz="4" w:space="0" w:color="FFFFFF" w:themeColor="background1"/>
        <w:insideV w:val="single" w:sz="4" w:space="0" w:color="FFFFFF" w:themeColor="background1"/>
      </w:tblBorders>
    </w:tblPr>
    <w:tcPr>
      <w:shd w:val="clear" w:color="auto" w:fill="F3F9E9" w:themeFill="accent2" w:themeFillTint="19"/>
    </w:tcPr>
    <w:tblStylePr w:type="firstRow">
      <w:rPr>
        <w:b/>
        <w:bCs/>
      </w:rPr>
      <w:tblPr/>
      <w:tcPr>
        <w:tcBorders>
          <w:top w:val="nil"/>
          <w:left w:val="nil"/>
          <w:bottom w:val="single" w:sz="24" w:space="0" w:color="8AB8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6E1E" w:themeFill="accent2" w:themeFillShade="99"/>
      </w:tcPr>
    </w:tblStylePr>
    <w:tblStylePr w:type="firstCol">
      <w:rPr>
        <w:color w:val="FFFFFF" w:themeColor="background1"/>
      </w:rPr>
      <w:tblPr/>
      <w:tcPr>
        <w:tcBorders>
          <w:top w:val="nil"/>
          <w:left w:val="nil"/>
          <w:bottom w:val="nil"/>
          <w:right w:val="nil"/>
          <w:insideH w:val="single" w:sz="4" w:space="0" w:color="526E1E" w:themeColor="accent2" w:themeShade="99"/>
          <w:insideV w:val="nil"/>
        </w:tcBorders>
        <w:shd w:val="clear" w:color="auto" w:fill="526E1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26E1E" w:themeFill="accent2" w:themeFillShade="99"/>
      </w:tcPr>
    </w:tblStylePr>
    <w:tblStylePr w:type="band1Vert">
      <w:tblPr/>
      <w:tcPr>
        <w:shd w:val="clear" w:color="auto" w:fill="D1E7A8" w:themeFill="accent2" w:themeFillTint="66"/>
      </w:tcPr>
    </w:tblStylePr>
    <w:tblStylePr w:type="band1Horz">
      <w:tblPr/>
      <w:tcPr>
        <w:shd w:val="clear" w:color="auto" w:fill="C6E19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29676" w:themeColor="accent4"/>
        <w:left w:val="single" w:sz="4" w:space="0" w:color="C0CF3A" w:themeColor="accent3"/>
        <w:bottom w:val="single" w:sz="4" w:space="0" w:color="C0CF3A" w:themeColor="accent3"/>
        <w:right w:val="single" w:sz="4" w:space="0" w:color="C0CF3A" w:themeColor="accent3"/>
        <w:insideH w:val="single" w:sz="4" w:space="0" w:color="FFFFFF" w:themeColor="background1"/>
        <w:insideV w:val="single" w:sz="4" w:space="0" w:color="FFFFFF" w:themeColor="background1"/>
      </w:tblBorders>
    </w:tblPr>
    <w:tcPr>
      <w:shd w:val="clear" w:color="auto" w:fill="F8FAEB" w:themeFill="accent3" w:themeFillTint="19"/>
    </w:tcPr>
    <w:tblStylePr w:type="firstRow">
      <w:rPr>
        <w:b/>
        <w:bCs/>
      </w:rPr>
      <w:tblPr/>
      <w:tcPr>
        <w:tcBorders>
          <w:top w:val="nil"/>
          <w:left w:val="nil"/>
          <w:bottom w:val="single" w:sz="24" w:space="0" w:color="02967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7F1F" w:themeFill="accent3" w:themeFillShade="99"/>
      </w:tcPr>
    </w:tblStylePr>
    <w:tblStylePr w:type="firstCol">
      <w:rPr>
        <w:color w:val="FFFFFF" w:themeColor="background1"/>
      </w:rPr>
      <w:tblPr/>
      <w:tcPr>
        <w:tcBorders>
          <w:top w:val="nil"/>
          <w:left w:val="nil"/>
          <w:bottom w:val="nil"/>
          <w:right w:val="nil"/>
          <w:insideH w:val="single" w:sz="4" w:space="0" w:color="757F1F" w:themeColor="accent3" w:themeShade="99"/>
          <w:insideV w:val="nil"/>
        </w:tcBorders>
        <w:shd w:val="clear" w:color="auto" w:fill="757F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57F1F" w:themeFill="accent3" w:themeFillShade="99"/>
      </w:tcPr>
    </w:tblStylePr>
    <w:tblStylePr w:type="band1Vert">
      <w:tblPr/>
      <w:tcPr>
        <w:shd w:val="clear" w:color="auto" w:fill="E5EBB0" w:themeFill="accent3" w:themeFillTint="66"/>
      </w:tcPr>
    </w:tblStylePr>
    <w:tblStylePr w:type="band1Horz">
      <w:tblPr/>
      <w:tcPr>
        <w:shd w:val="clear" w:color="auto" w:fill="DFE79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C0CF3A" w:themeColor="accent3"/>
        <w:left w:val="single" w:sz="4" w:space="0" w:color="029676" w:themeColor="accent4"/>
        <w:bottom w:val="single" w:sz="4" w:space="0" w:color="029676" w:themeColor="accent4"/>
        <w:right w:val="single" w:sz="4" w:space="0" w:color="029676" w:themeColor="accent4"/>
        <w:insideH w:val="single" w:sz="4" w:space="0" w:color="FFFFFF" w:themeColor="background1"/>
        <w:insideV w:val="single" w:sz="4" w:space="0" w:color="FFFFFF" w:themeColor="background1"/>
      </w:tblBorders>
    </w:tblPr>
    <w:tcPr>
      <w:shd w:val="clear" w:color="auto" w:fill="DCFEF7" w:themeFill="accent4" w:themeFillTint="19"/>
    </w:tcPr>
    <w:tblStylePr w:type="firstRow">
      <w:rPr>
        <w:b/>
        <w:bCs/>
      </w:rPr>
      <w:tblPr/>
      <w:tcPr>
        <w:tcBorders>
          <w:top w:val="nil"/>
          <w:left w:val="nil"/>
          <w:bottom w:val="single" w:sz="24" w:space="0" w:color="C0CF3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5946" w:themeFill="accent4" w:themeFillShade="99"/>
      </w:tcPr>
    </w:tblStylePr>
    <w:tblStylePr w:type="firstCol">
      <w:rPr>
        <w:color w:val="FFFFFF" w:themeColor="background1"/>
      </w:rPr>
      <w:tblPr/>
      <w:tcPr>
        <w:tcBorders>
          <w:top w:val="nil"/>
          <w:left w:val="nil"/>
          <w:bottom w:val="nil"/>
          <w:right w:val="nil"/>
          <w:insideH w:val="single" w:sz="4" w:space="0" w:color="015946" w:themeColor="accent4" w:themeShade="99"/>
          <w:insideV w:val="nil"/>
        </w:tcBorders>
        <w:shd w:val="clear" w:color="auto" w:fill="01594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15946" w:themeFill="accent4" w:themeFillShade="99"/>
      </w:tcPr>
    </w:tblStylePr>
    <w:tblStylePr w:type="band1Vert">
      <w:tblPr/>
      <w:tcPr>
        <w:shd w:val="clear" w:color="auto" w:fill="71FDDE" w:themeFill="accent4" w:themeFillTint="66"/>
      </w:tcPr>
    </w:tblStylePr>
    <w:tblStylePr w:type="band1Horz">
      <w:tblPr/>
      <w:tcPr>
        <w:shd w:val="clear" w:color="auto" w:fill="4FFCD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0989B1" w:themeColor="accent6"/>
        <w:left w:val="single" w:sz="4" w:space="0" w:color="4AB5C4" w:themeColor="accent5"/>
        <w:bottom w:val="single" w:sz="4" w:space="0" w:color="4AB5C4" w:themeColor="accent5"/>
        <w:right w:val="single" w:sz="4" w:space="0" w:color="4AB5C4" w:themeColor="accent5"/>
        <w:insideH w:val="single" w:sz="4" w:space="0" w:color="FFFFFF" w:themeColor="background1"/>
        <w:insideV w:val="single" w:sz="4" w:space="0" w:color="FFFFFF" w:themeColor="background1"/>
      </w:tblBorders>
    </w:tblPr>
    <w:tcPr>
      <w:shd w:val="clear" w:color="auto" w:fill="EDF7F9" w:themeFill="accent5" w:themeFillTint="19"/>
    </w:tcPr>
    <w:tblStylePr w:type="firstRow">
      <w:rPr>
        <w:b/>
        <w:bCs/>
      </w:rPr>
      <w:tblPr/>
      <w:tcPr>
        <w:tcBorders>
          <w:top w:val="nil"/>
          <w:left w:val="nil"/>
          <w:bottom w:val="single" w:sz="24" w:space="0" w:color="0989B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6F7A" w:themeFill="accent5" w:themeFillShade="99"/>
      </w:tcPr>
    </w:tblStylePr>
    <w:tblStylePr w:type="firstCol">
      <w:rPr>
        <w:color w:val="FFFFFF" w:themeColor="background1"/>
      </w:rPr>
      <w:tblPr/>
      <w:tcPr>
        <w:tcBorders>
          <w:top w:val="nil"/>
          <w:left w:val="nil"/>
          <w:bottom w:val="nil"/>
          <w:right w:val="nil"/>
          <w:insideH w:val="single" w:sz="4" w:space="0" w:color="286F7A" w:themeColor="accent5" w:themeShade="99"/>
          <w:insideV w:val="nil"/>
        </w:tcBorders>
        <w:shd w:val="clear" w:color="auto" w:fill="286F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6F7A" w:themeFill="accent5" w:themeFillShade="99"/>
      </w:tcPr>
    </w:tblStylePr>
    <w:tblStylePr w:type="band1Vert">
      <w:tblPr/>
      <w:tcPr>
        <w:shd w:val="clear" w:color="auto" w:fill="B6E1E7" w:themeFill="accent5" w:themeFillTint="66"/>
      </w:tcPr>
    </w:tblStylePr>
    <w:tblStylePr w:type="band1Horz">
      <w:tblPr/>
      <w:tcPr>
        <w:shd w:val="clear" w:color="auto" w:fill="A4DA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AB5C4" w:themeColor="accent5"/>
        <w:left w:val="single" w:sz="4" w:space="0" w:color="0989B1" w:themeColor="accent6"/>
        <w:bottom w:val="single" w:sz="4" w:space="0" w:color="0989B1" w:themeColor="accent6"/>
        <w:right w:val="single" w:sz="4" w:space="0" w:color="0989B1" w:themeColor="accent6"/>
        <w:insideH w:val="single" w:sz="4" w:space="0" w:color="FFFFFF" w:themeColor="background1"/>
        <w:insideV w:val="single" w:sz="4" w:space="0" w:color="FFFFFF" w:themeColor="background1"/>
      </w:tblBorders>
    </w:tblPr>
    <w:tcPr>
      <w:shd w:val="clear" w:color="auto" w:fill="E0F6FD" w:themeFill="accent6" w:themeFillTint="19"/>
    </w:tcPr>
    <w:tblStylePr w:type="firstRow">
      <w:rPr>
        <w:b/>
        <w:bCs/>
      </w:rPr>
      <w:tblPr/>
      <w:tcPr>
        <w:tcBorders>
          <w:top w:val="nil"/>
          <w:left w:val="nil"/>
          <w:bottom w:val="single" w:sz="24" w:space="0" w:color="4AB5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55169" w:themeFill="accent6" w:themeFillShade="99"/>
      </w:tcPr>
    </w:tblStylePr>
    <w:tblStylePr w:type="firstCol">
      <w:rPr>
        <w:color w:val="FFFFFF" w:themeColor="background1"/>
      </w:rPr>
      <w:tblPr/>
      <w:tcPr>
        <w:tcBorders>
          <w:top w:val="nil"/>
          <w:left w:val="nil"/>
          <w:bottom w:val="nil"/>
          <w:right w:val="nil"/>
          <w:insideH w:val="single" w:sz="4" w:space="0" w:color="055169" w:themeColor="accent6" w:themeShade="99"/>
          <w:insideV w:val="nil"/>
        </w:tcBorders>
        <w:shd w:val="clear" w:color="auto" w:fill="05516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55169" w:themeFill="accent6" w:themeFillShade="99"/>
      </w:tcPr>
    </w:tblStylePr>
    <w:tblStylePr w:type="band1Vert">
      <w:tblPr/>
      <w:tcPr>
        <w:shd w:val="clear" w:color="auto" w:fill="83DCF8" w:themeFill="accent6" w:themeFillTint="66"/>
      </w:tcPr>
    </w:tblStylePr>
    <w:tblStylePr w:type="band1Horz">
      <w:tblPr/>
      <w:tcPr>
        <w:shd w:val="clear" w:color="auto" w:fill="65D4F7"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E9329" w:themeFill="accent2" w:themeFillShade="CC"/>
      </w:tcPr>
    </w:tblStylePr>
    <w:tblStylePr w:type="lastRow">
      <w:rPr>
        <w:b/>
        <w:bCs/>
        <w:color w:val="6E932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7E9" w:themeFill="accent1" w:themeFillTint="19"/>
    </w:tcPr>
    <w:tblStylePr w:type="firstRow">
      <w:rPr>
        <w:b/>
        <w:bCs/>
        <w:color w:val="FFFFFF" w:themeColor="background1"/>
      </w:rPr>
      <w:tblPr/>
      <w:tcPr>
        <w:tcBorders>
          <w:bottom w:val="single" w:sz="12" w:space="0" w:color="FFFFFF" w:themeColor="background1"/>
        </w:tcBorders>
        <w:shd w:val="clear" w:color="auto" w:fill="6E9329" w:themeFill="accent2" w:themeFillShade="CC"/>
      </w:tcPr>
    </w:tblStylePr>
    <w:tblStylePr w:type="lastRow">
      <w:rPr>
        <w:b/>
        <w:bCs/>
        <w:color w:val="6E932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BC9" w:themeFill="accent1" w:themeFillTint="3F"/>
      </w:tcPr>
    </w:tblStylePr>
    <w:tblStylePr w:type="band1Horz">
      <w:tblPr/>
      <w:tcPr>
        <w:shd w:val="clear" w:color="auto" w:fill="DAEFD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3F9E9" w:themeFill="accent2" w:themeFillTint="19"/>
    </w:tcPr>
    <w:tblStylePr w:type="firstRow">
      <w:rPr>
        <w:b/>
        <w:bCs/>
        <w:color w:val="FFFFFF" w:themeColor="background1"/>
      </w:rPr>
      <w:tblPr/>
      <w:tcPr>
        <w:tcBorders>
          <w:bottom w:val="single" w:sz="12" w:space="0" w:color="FFFFFF" w:themeColor="background1"/>
        </w:tcBorders>
        <w:shd w:val="clear" w:color="auto" w:fill="6E9329" w:themeFill="accent2" w:themeFillShade="CC"/>
      </w:tcPr>
    </w:tblStylePr>
    <w:tblStylePr w:type="lastRow">
      <w:rPr>
        <w:b/>
        <w:bCs/>
        <w:color w:val="6E932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F0C9" w:themeFill="accent2" w:themeFillTint="3F"/>
      </w:tcPr>
    </w:tblStylePr>
    <w:tblStylePr w:type="band1Horz">
      <w:tblPr/>
      <w:tcPr>
        <w:shd w:val="clear" w:color="auto" w:fill="E8F3D3"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8FAEB" w:themeFill="accent3" w:themeFillTint="19"/>
    </w:tcPr>
    <w:tblStylePr w:type="firstRow">
      <w:rPr>
        <w:b/>
        <w:bCs/>
        <w:color w:val="FFFFFF" w:themeColor="background1"/>
      </w:rPr>
      <w:tblPr/>
      <w:tcPr>
        <w:tcBorders>
          <w:bottom w:val="single" w:sz="12" w:space="0" w:color="FFFFFF" w:themeColor="background1"/>
        </w:tcBorders>
        <w:shd w:val="clear" w:color="auto" w:fill="01775D" w:themeFill="accent4" w:themeFillShade="CC"/>
      </w:tcPr>
    </w:tblStylePr>
    <w:tblStylePr w:type="lastRow">
      <w:rPr>
        <w:b/>
        <w:bCs/>
        <w:color w:val="01775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3CE" w:themeFill="accent3" w:themeFillTint="3F"/>
      </w:tcPr>
    </w:tblStylePr>
    <w:tblStylePr w:type="band1Horz">
      <w:tblPr/>
      <w:tcPr>
        <w:shd w:val="clear" w:color="auto" w:fill="F2F5D7"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DCFEF7" w:themeFill="accent4" w:themeFillTint="19"/>
    </w:tcPr>
    <w:tblStylePr w:type="firstRow">
      <w:rPr>
        <w:b/>
        <w:bCs/>
        <w:color w:val="FFFFFF" w:themeColor="background1"/>
      </w:rPr>
      <w:tblPr/>
      <w:tcPr>
        <w:tcBorders>
          <w:bottom w:val="single" w:sz="12" w:space="0" w:color="FFFFFF" w:themeColor="background1"/>
        </w:tcBorders>
        <w:shd w:val="clear" w:color="auto" w:fill="9DAA29" w:themeFill="accent3" w:themeFillShade="CC"/>
      </w:tcPr>
    </w:tblStylePr>
    <w:tblStylePr w:type="lastRow">
      <w:rPr>
        <w:b/>
        <w:bCs/>
        <w:color w:val="9DAA2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DEA" w:themeFill="accent4" w:themeFillTint="3F"/>
      </w:tcPr>
    </w:tblStylePr>
    <w:tblStylePr w:type="band1Horz">
      <w:tblPr/>
      <w:tcPr>
        <w:shd w:val="clear" w:color="auto" w:fill="B8FEEE"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7F9" w:themeFill="accent5" w:themeFillTint="19"/>
    </w:tcPr>
    <w:tblStylePr w:type="firstRow">
      <w:rPr>
        <w:b/>
        <w:bCs/>
        <w:color w:val="FFFFFF" w:themeColor="background1"/>
      </w:rPr>
      <w:tblPr/>
      <w:tcPr>
        <w:tcBorders>
          <w:bottom w:val="single" w:sz="12" w:space="0" w:color="FFFFFF" w:themeColor="background1"/>
        </w:tcBorders>
        <w:shd w:val="clear" w:color="auto" w:fill="076D8D" w:themeFill="accent6" w:themeFillShade="CC"/>
      </w:tcPr>
    </w:tblStylePr>
    <w:tblStylePr w:type="lastRow">
      <w:rPr>
        <w:b/>
        <w:bCs/>
        <w:color w:val="076D8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CF0" w:themeFill="accent5" w:themeFillTint="3F"/>
      </w:tcPr>
    </w:tblStylePr>
    <w:tblStylePr w:type="band1Horz">
      <w:tblPr/>
      <w:tcPr>
        <w:shd w:val="clear" w:color="auto" w:fill="DAF0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0F6FD" w:themeFill="accent6" w:themeFillTint="19"/>
    </w:tcPr>
    <w:tblStylePr w:type="firstRow">
      <w:rPr>
        <w:b/>
        <w:bCs/>
        <w:color w:val="FFFFFF" w:themeColor="background1"/>
      </w:rPr>
      <w:tblPr/>
      <w:tcPr>
        <w:tcBorders>
          <w:bottom w:val="single" w:sz="12" w:space="0" w:color="FFFFFF" w:themeColor="background1"/>
        </w:tcBorders>
        <w:shd w:val="clear" w:color="auto" w:fill="3595A2" w:themeFill="accent5" w:themeFillShade="CC"/>
      </w:tcPr>
    </w:tblStylePr>
    <w:tblStylePr w:type="lastRow">
      <w:rPr>
        <w:b/>
        <w:bCs/>
        <w:color w:val="3595A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E9FB" w:themeFill="accent6" w:themeFillTint="3F"/>
      </w:tcPr>
    </w:tblStylePr>
    <w:tblStylePr w:type="band1Horz">
      <w:tblPr/>
      <w:tcPr>
        <w:shd w:val="clear" w:color="auto" w:fill="C1EDFC"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FD3" w:themeFill="accent1" w:themeFillTint="33"/>
    </w:tcPr>
    <w:tblStylePr w:type="firstRow">
      <w:rPr>
        <w:b/>
        <w:bCs/>
      </w:rPr>
      <w:tblPr/>
      <w:tcPr>
        <w:shd w:val="clear" w:color="auto" w:fill="B7DFA8" w:themeFill="accent1" w:themeFillTint="66"/>
      </w:tcPr>
    </w:tblStylePr>
    <w:tblStylePr w:type="lastRow">
      <w:rPr>
        <w:b/>
        <w:bCs/>
        <w:color w:val="000000" w:themeColor="text1"/>
      </w:rPr>
      <w:tblPr/>
      <w:tcPr>
        <w:shd w:val="clear" w:color="auto" w:fill="B7DFA8" w:themeFill="accent1" w:themeFillTint="66"/>
      </w:tcPr>
    </w:tblStylePr>
    <w:tblStylePr w:type="firstCol">
      <w:rPr>
        <w:color w:val="FFFFFF" w:themeColor="background1"/>
      </w:rPr>
      <w:tblPr/>
      <w:tcPr>
        <w:shd w:val="clear" w:color="auto" w:fill="3E762A" w:themeFill="accent1" w:themeFillShade="BF"/>
      </w:tcPr>
    </w:tblStylePr>
    <w:tblStylePr w:type="lastCol">
      <w:rPr>
        <w:color w:val="FFFFFF" w:themeColor="background1"/>
      </w:rPr>
      <w:tblPr/>
      <w:tcPr>
        <w:shd w:val="clear" w:color="auto" w:fill="3E762A" w:themeFill="accent1" w:themeFillShade="BF"/>
      </w:tcPr>
    </w:tblStylePr>
    <w:tblStylePr w:type="band1Vert">
      <w:tblPr/>
      <w:tcPr>
        <w:shd w:val="clear" w:color="auto" w:fill="A5D893" w:themeFill="accent1" w:themeFillTint="7F"/>
      </w:tcPr>
    </w:tblStylePr>
    <w:tblStylePr w:type="band1Horz">
      <w:tblPr/>
      <w:tcPr>
        <w:shd w:val="clear" w:color="auto" w:fill="A5D893"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F3D3" w:themeFill="accent2" w:themeFillTint="33"/>
    </w:tcPr>
    <w:tblStylePr w:type="firstRow">
      <w:rPr>
        <w:b/>
        <w:bCs/>
      </w:rPr>
      <w:tblPr/>
      <w:tcPr>
        <w:shd w:val="clear" w:color="auto" w:fill="D1E7A8" w:themeFill="accent2" w:themeFillTint="66"/>
      </w:tcPr>
    </w:tblStylePr>
    <w:tblStylePr w:type="lastRow">
      <w:rPr>
        <w:b/>
        <w:bCs/>
        <w:color w:val="000000" w:themeColor="text1"/>
      </w:rPr>
      <w:tblPr/>
      <w:tcPr>
        <w:shd w:val="clear" w:color="auto" w:fill="D1E7A8" w:themeFill="accent2" w:themeFillTint="66"/>
      </w:tcPr>
    </w:tblStylePr>
    <w:tblStylePr w:type="firstCol">
      <w:rPr>
        <w:color w:val="FFFFFF" w:themeColor="background1"/>
      </w:rPr>
      <w:tblPr/>
      <w:tcPr>
        <w:shd w:val="clear" w:color="auto" w:fill="668926" w:themeFill="accent2" w:themeFillShade="BF"/>
      </w:tcPr>
    </w:tblStylePr>
    <w:tblStylePr w:type="lastCol">
      <w:rPr>
        <w:color w:val="FFFFFF" w:themeColor="background1"/>
      </w:rPr>
      <w:tblPr/>
      <w:tcPr>
        <w:shd w:val="clear" w:color="auto" w:fill="668926" w:themeFill="accent2" w:themeFillShade="BF"/>
      </w:tcPr>
    </w:tblStylePr>
    <w:tblStylePr w:type="band1Vert">
      <w:tblPr/>
      <w:tcPr>
        <w:shd w:val="clear" w:color="auto" w:fill="C6E193" w:themeFill="accent2" w:themeFillTint="7F"/>
      </w:tcPr>
    </w:tblStylePr>
    <w:tblStylePr w:type="band1Horz">
      <w:tblPr/>
      <w:tcPr>
        <w:shd w:val="clear" w:color="auto" w:fill="C6E193"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5D7" w:themeFill="accent3" w:themeFillTint="33"/>
    </w:tcPr>
    <w:tblStylePr w:type="firstRow">
      <w:rPr>
        <w:b/>
        <w:bCs/>
      </w:rPr>
      <w:tblPr/>
      <w:tcPr>
        <w:shd w:val="clear" w:color="auto" w:fill="E5EBB0" w:themeFill="accent3" w:themeFillTint="66"/>
      </w:tcPr>
    </w:tblStylePr>
    <w:tblStylePr w:type="lastRow">
      <w:rPr>
        <w:b/>
        <w:bCs/>
        <w:color w:val="000000" w:themeColor="text1"/>
      </w:rPr>
      <w:tblPr/>
      <w:tcPr>
        <w:shd w:val="clear" w:color="auto" w:fill="E5EBB0" w:themeFill="accent3" w:themeFillTint="66"/>
      </w:tcPr>
    </w:tblStylePr>
    <w:tblStylePr w:type="firstCol">
      <w:rPr>
        <w:color w:val="FFFFFF" w:themeColor="background1"/>
      </w:rPr>
      <w:tblPr/>
      <w:tcPr>
        <w:shd w:val="clear" w:color="auto" w:fill="939F27" w:themeFill="accent3" w:themeFillShade="BF"/>
      </w:tcPr>
    </w:tblStylePr>
    <w:tblStylePr w:type="lastCol">
      <w:rPr>
        <w:color w:val="FFFFFF" w:themeColor="background1"/>
      </w:rPr>
      <w:tblPr/>
      <w:tcPr>
        <w:shd w:val="clear" w:color="auto" w:fill="939F27" w:themeFill="accent3" w:themeFillShade="BF"/>
      </w:tcPr>
    </w:tblStylePr>
    <w:tblStylePr w:type="band1Vert">
      <w:tblPr/>
      <w:tcPr>
        <w:shd w:val="clear" w:color="auto" w:fill="DFE79C" w:themeFill="accent3" w:themeFillTint="7F"/>
      </w:tcPr>
    </w:tblStylePr>
    <w:tblStylePr w:type="band1Horz">
      <w:tblPr/>
      <w:tcPr>
        <w:shd w:val="clear" w:color="auto" w:fill="DFE79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8FEEE" w:themeFill="accent4" w:themeFillTint="33"/>
    </w:tcPr>
    <w:tblStylePr w:type="firstRow">
      <w:rPr>
        <w:b/>
        <w:bCs/>
      </w:rPr>
      <w:tblPr/>
      <w:tcPr>
        <w:shd w:val="clear" w:color="auto" w:fill="71FDDE" w:themeFill="accent4" w:themeFillTint="66"/>
      </w:tcPr>
    </w:tblStylePr>
    <w:tblStylePr w:type="lastRow">
      <w:rPr>
        <w:b/>
        <w:bCs/>
        <w:color w:val="000000" w:themeColor="text1"/>
      </w:rPr>
      <w:tblPr/>
      <w:tcPr>
        <w:shd w:val="clear" w:color="auto" w:fill="71FDDE" w:themeFill="accent4" w:themeFillTint="66"/>
      </w:tcPr>
    </w:tblStylePr>
    <w:tblStylePr w:type="firstCol">
      <w:rPr>
        <w:color w:val="FFFFFF" w:themeColor="background1"/>
      </w:rPr>
      <w:tblPr/>
      <w:tcPr>
        <w:shd w:val="clear" w:color="auto" w:fill="017057" w:themeFill="accent4" w:themeFillShade="BF"/>
      </w:tcPr>
    </w:tblStylePr>
    <w:tblStylePr w:type="lastCol">
      <w:rPr>
        <w:color w:val="FFFFFF" w:themeColor="background1"/>
      </w:rPr>
      <w:tblPr/>
      <w:tcPr>
        <w:shd w:val="clear" w:color="auto" w:fill="017057" w:themeFill="accent4" w:themeFillShade="BF"/>
      </w:tcPr>
    </w:tblStylePr>
    <w:tblStylePr w:type="band1Vert">
      <w:tblPr/>
      <w:tcPr>
        <w:shd w:val="clear" w:color="auto" w:fill="4FFCD6" w:themeFill="accent4" w:themeFillTint="7F"/>
      </w:tcPr>
    </w:tblStylePr>
    <w:tblStylePr w:type="band1Horz">
      <w:tblPr/>
      <w:tcPr>
        <w:shd w:val="clear" w:color="auto" w:fill="4FFCD6"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F0F3" w:themeFill="accent5" w:themeFillTint="33"/>
    </w:tcPr>
    <w:tblStylePr w:type="firstRow">
      <w:rPr>
        <w:b/>
        <w:bCs/>
      </w:rPr>
      <w:tblPr/>
      <w:tcPr>
        <w:shd w:val="clear" w:color="auto" w:fill="B6E1E7" w:themeFill="accent5" w:themeFillTint="66"/>
      </w:tcPr>
    </w:tblStylePr>
    <w:tblStylePr w:type="lastRow">
      <w:rPr>
        <w:b/>
        <w:bCs/>
        <w:color w:val="000000" w:themeColor="text1"/>
      </w:rPr>
      <w:tblPr/>
      <w:tcPr>
        <w:shd w:val="clear" w:color="auto" w:fill="B6E1E7" w:themeFill="accent5" w:themeFillTint="66"/>
      </w:tcPr>
    </w:tblStylePr>
    <w:tblStylePr w:type="firstCol">
      <w:rPr>
        <w:color w:val="FFFFFF" w:themeColor="background1"/>
      </w:rPr>
      <w:tblPr/>
      <w:tcPr>
        <w:shd w:val="clear" w:color="auto" w:fill="318B98" w:themeFill="accent5" w:themeFillShade="BF"/>
      </w:tcPr>
    </w:tblStylePr>
    <w:tblStylePr w:type="lastCol">
      <w:rPr>
        <w:color w:val="FFFFFF" w:themeColor="background1"/>
      </w:rPr>
      <w:tblPr/>
      <w:tcPr>
        <w:shd w:val="clear" w:color="auto" w:fill="318B98" w:themeFill="accent5" w:themeFillShade="BF"/>
      </w:tcPr>
    </w:tblStylePr>
    <w:tblStylePr w:type="band1Vert">
      <w:tblPr/>
      <w:tcPr>
        <w:shd w:val="clear" w:color="auto" w:fill="A4DAE1" w:themeFill="accent5" w:themeFillTint="7F"/>
      </w:tcPr>
    </w:tblStylePr>
    <w:tblStylePr w:type="band1Horz">
      <w:tblPr/>
      <w:tcPr>
        <w:shd w:val="clear" w:color="auto" w:fill="A4DAE1"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DFC" w:themeFill="accent6" w:themeFillTint="33"/>
    </w:tcPr>
    <w:tblStylePr w:type="firstRow">
      <w:rPr>
        <w:b/>
        <w:bCs/>
      </w:rPr>
      <w:tblPr/>
      <w:tcPr>
        <w:shd w:val="clear" w:color="auto" w:fill="83DCF8" w:themeFill="accent6" w:themeFillTint="66"/>
      </w:tcPr>
    </w:tblStylePr>
    <w:tblStylePr w:type="lastRow">
      <w:rPr>
        <w:b/>
        <w:bCs/>
        <w:color w:val="000000" w:themeColor="text1"/>
      </w:rPr>
      <w:tblPr/>
      <w:tcPr>
        <w:shd w:val="clear" w:color="auto" w:fill="83DCF8" w:themeFill="accent6" w:themeFillTint="66"/>
      </w:tcPr>
    </w:tblStylePr>
    <w:tblStylePr w:type="firstCol">
      <w:rPr>
        <w:color w:val="FFFFFF" w:themeColor="background1"/>
      </w:rPr>
      <w:tblPr/>
      <w:tcPr>
        <w:shd w:val="clear" w:color="auto" w:fill="066684" w:themeFill="accent6" w:themeFillShade="BF"/>
      </w:tcPr>
    </w:tblStylePr>
    <w:tblStylePr w:type="lastCol">
      <w:rPr>
        <w:color w:val="FFFFFF" w:themeColor="background1"/>
      </w:rPr>
      <w:tblPr/>
      <w:tcPr>
        <w:shd w:val="clear" w:color="auto" w:fill="066684" w:themeFill="accent6" w:themeFillShade="BF"/>
      </w:tcPr>
    </w:tblStylePr>
    <w:tblStylePr w:type="band1Vert">
      <w:tblPr/>
      <w:tcPr>
        <w:shd w:val="clear" w:color="auto" w:fill="65D4F7" w:themeFill="accent6" w:themeFillTint="7F"/>
      </w:tcPr>
    </w:tblStylePr>
    <w:tblStylePr w:type="band1Horz">
      <w:tblPr/>
      <w:tcPr>
        <w:shd w:val="clear" w:color="auto" w:fill="65D4F7" w:themeFill="accent6" w:themeFillTint="7F"/>
      </w:tcPr>
    </w:tblStylePr>
  </w:style>
  <w:style w:type="character" w:styleId="Hyperlink">
    <w:name w:val="Hyperlink"/>
    <w:basedOn w:val="DefaultParagraphFont"/>
    <w:uiPriority w:val="99"/>
    <w:unhideWhenUsed/>
    <w:rsid w:val="003E5399"/>
    <w:rPr>
      <w:color w:val="6B9F25" w:themeColor="hyperlink"/>
      <w:u w:val="single"/>
    </w:rPr>
  </w:style>
  <w:style w:type="character" w:styleId="UnresolvedMention">
    <w:name w:val="Unresolved Mention"/>
    <w:basedOn w:val="DefaultParagraphFont"/>
    <w:uiPriority w:val="99"/>
    <w:semiHidden/>
    <w:unhideWhenUsed/>
    <w:rsid w:val="003E5399"/>
    <w:rPr>
      <w:color w:val="605E5C"/>
      <w:shd w:val="clear" w:color="auto" w:fill="E1DFDD"/>
    </w:rPr>
  </w:style>
  <w:style w:type="character" w:styleId="FollowedHyperlink">
    <w:name w:val="FollowedHyperlink"/>
    <w:basedOn w:val="DefaultParagraphFont"/>
    <w:uiPriority w:val="99"/>
    <w:semiHidden/>
    <w:unhideWhenUsed/>
    <w:rsid w:val="00EF10D4"/>
    <w:rPr>
      <w:color w:val="BA690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www.nottinghamshire.gov.uk/care/safeguarding/childrens-mash/report-a-new-concern-about-a-child" TargetMode="External"/><Relationship Id="rId26" Type="http://schemas.openxmlformats.org/officeDocument/2006/relationships/hyperlink" Target="https://www.nottinghamshirehealthcare.nhs.uk/slt-drop-in-sessions/" TargetMode="External"/><Relationship Id="rId39" Type="http://schemas.openxmlformats.org/officeDocument/2006/relationships/hyperlink" Target="https://www.youngminds.org.uk/" TargetMode="External"/><Relationship Id="rId21" Type="http://schemas.openxmlformats.org/officeDocument/2006/relationships/hyperlink" Target="http://www.nottshelpyourself.org.uk/" TargetMode="External"/><Relationship Id="rId34" Type="http://schemas.openxmlformats.org/officeDocument/2006/relationships/hyperlink" Target="https://www.youtube.com/watch?v=W-8jTTIsJ7Q" TargetMode="External"/><Relationship Id="rId42" Type="http://schemas.openxmlformats.org/officeDocument/2006/relationships/hyperlink" Target="https://www.childrensbereavementcentre.co.uk/" TargetMode="External"/><Relationship Id="rId47" Type="http://schemas.openxmlformats.org/officeDocument/2006/relationships/hyperlink" Target="https://www.nottinghamshire.gov.uk/care/childrens-social-care/nottinghamshire-children-and-families-alliance/the-neurodevelopmental-pathway-and-support-guidance" TargetMode="External"/><Relationship Id="rId50" Type="http://schemas.openxmlformats.org/officeDocument/2006/relationships/hyperlink" Target="https://www.nhs.uk/healthier-families/" TargetMode="External"/><Relationship Id="rId55" Type="http://schemas.openxmlformats.org/officeDocument/2006/relationships/footer" Target="footer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yperlink" Target="https://www.nottinghamshire.gov.uk/care/childrens-social-care/nottinghamshire-children-and-families-alliance/pathway-to-provision" TargetMode="External"/><Relationship Id="rId29" Type="http://schemas.openxmlformats.org/officeDocument/2006/relationships/hyperlink" Target="https://padlet.com/joannemillsbatson/area-senco-eecjipyx19to31wq" TargetMode="External"/><Relationship Id="rId11" Type="http://schemas.openxmlformats.org/officeDocument/2006/relationships/webSettings" Target="webSettings.xml"/><Relationship Id="rId24" Type="http://schemas.openxmlformats.org/officeDocument/2006/relationships/hyperlink" Target="https://www.nottinghamshirehealthcare.nhs.uk/slt-how-to-refer" TargetMode="External"/><Relationship Id="rId32" Type="http://schemas.openxmlformats.org/officeDocument/2006/relationships/hyperlink" Target="https://www.gov.uk/government/publications/health-protection-in-schools-and-other-childcare-facilities" TargetMode="External"/><Relationship Id="rId37" Type="http://schemas.openxmlformats.org/officeDocument/2006/relationships/hyperlink" Target="https://www.annafreud.org/services/services-for-children-and-young-people/for-under-fives/early-years-in-mind/" TargetMode="External"/><Relationship Id="rId40" Type="http://schemas.openxmlformats.org/officeDocument/2006/relationships/hyperlink" Target="https://www.barnardos.org.uk/get-support/support-for-parents-and-carers/mental-health" TargetMode="External"/><Relationship Id="rId45" Type="http://schemas.openxmlformats.org/officeDocument/2006/relationships/hyperlink" Target="https://askusnotts.org.uk/" TargetMode="External"/><Relationship Id="rId53" Type="http://schemas.openxmlformats.org/officeDocument/2006/relationships/hyperlink" Target="https://www.nottinghamshire.gov.uk/culture-leisure/libraries/inspire" TargetMode="External"/><Relationship Id="rId5" Type="http://schemas.openxmlformats.org/officeDocument/2006/relationships/customXml" Target="../customXml/item5.xml"/><Relationship Id="rId19" Type="http://schemas.openxmlformats.org/officeDocument/2006/relationships/hyperlink" Target="https://www.nottinghamshire.gov.uk/care/early-years-and-childcare/childcare-providers/free-childcare-providers"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www.nottinghamshire.gov.uk/care/family-hub-networks" TargetMode="External"/><Relationship Id="rId27" Type="http://schemas.openxmlformats.org/officeDocument/2006/relationships/hyperlink" Target="https://www.gov.uk/government/publications/early-years-foundation-stage-framework--2" TargetMode="External"/><Relationship Id="rId30" Type="http://schemas.openxmlformats.org/officeDocument/2006/relationships/hyperlink" Target="https://www.gov.uk/government/publications/working-together-to-safeguard-children--2" TargetMode="External"/><Relationship Id="rId35" Type="http://schemas.openxmlformats.org/officeDocument/2006/relationships/hyperlink" Target="https://nottswa.org/" TargetMode="External"/><Relationship Id="rId43" Type="http://schemas.openxmlformats.org/officeDocument/2006/relationships/hyperlink" Target="https://www.ssafa.org.uk/nottinghamshire" TargetMode="External"/><Relationship Id="rId48" Type="http://schemas.openxmlformats.org/officeDocument/2006/relationships/hyperlink" Target="https://www.nottinghamshire.gov.uk/media/1494619/early-years-send-inclusion-support-factsheet.pdf" TargetMode="External"/><Relationship Id="rId56" Type="http://schemas.openxmlformats.org/officeDocument/2006/relationships/fontTable" Target="fontTable.xml"/><Relationship Id="rId8" Type="http://schemas.openxmlformats.org/officeDocument/2006/relationships/numbering" Target="numbering.xml"/><Relationship Id="rId51" Type="http://schemas.openxmlformats.org/officeDocument/2006/relationships/hyperlink" Target="https://thesleepcharity.org.uk/information-support/children/relaxation-tips/" TargetMode="Externa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https://nscp.nottinghamshire.gov.uk/media/123laxks/neglect-toolkit.pdf" TargetMode="External"/><Relationship Id="rId25" Type="http://schemas.openxmlformats.org/officeDocument/2006/relationships/hyperlink" Target="https://www.nottinghamshirehealthcare.nhs.uk/language-for-life" TargetMode="External"/><Relationship Id="rId33" Type="http://schemas.openxmlformats.org/officeDocument/2006/relationships/hyperlink" Target="https://www.nhs.uk/mental-health/conditions/fabricated-or-induced-illness/overview/" TargetMode="External"/><Relationship Id="rId38" Type="http://schemas.openxmlformats.org/officeDocument/2006/relationships/hyperlink" Target="https://www.mind.org.uk/" TargetMode="External"/><Relationship Id="rId46" Type="http://schemas.openxmlformats.org/officeDocument/2006/relationships/hyperlink" Target="https://www.nottshelpyourself.org.uk/kb5/nottinghamshire/directory/site.page?id=HlSw_8ygETk" TargetMode="External"/><Relationship Id="rId20" Type="http://schemas.openxmlformats.org/officeDocument/2006/relationships/hyperlink" Target="https://www.nottinghamshire.gov.uk/care/early-years-and-childcare/childcare-providers/early-years-education-and-childcare-training" TargetMode="External"/><Relationship Id="rId41" Type="http://schemas.openxmlformats.org/officeDocument/2006/relationships/hyperlink" Target="http://s3.media.squarespace.com/production/1892222/19210459/wp-content/uploads/2010/01/child-hierarchy-of-needs.jpg" TargetMode="External"/><Relationship Id="rId54" Type="http://schemas.openxmlformats.org/officeDocument/2006/relationships/hyperlink" Target="https://em-edsupport.org.uk/Services/3835"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nscp.nottinghamshire.gov.uk/" TargetMode="External"/><Relationship Id="rId23" Type="http://schemas.openxmlformats.org/officeDocument/2006/relationships/hyperlink" Target="https://www.nottinghamshirehealthcare.nhs.uk/specialist-childrens-speech-and-language-therapy/" TargetMode="External"/><Relationship Id="rId28" Type="http://schemas.openxmlformats.org/officeDocument/2006/relationships/hyperlink" Target="https://www.gov.uk/government/publications/send-code-of-practice-0-to-25" TargetMode="External"/><Relationship Id="rId36" Type="http://schemas.openxmlformats.org/officeDocument/2006/relationships/hyperlink" Target="https://equation.org.uk/" TargetMode="External"/><Relationship Id="rId49" Type="http://schemas.openxmlformats.org/officeDocument/2006/relationships/hyperlink" Target="https://www.nhs.uk/best-start-in-life/" TargetMode="External"/><Relationship Id="rId57" Type="http://schemas.openxmlformats.org/officeDocument/2006/relationships/theme" Target="theme/theme1.xml"/><Relationship Id="rId10" Type="http://schemas.openxmlformats.org/officeDocument/2006/relationships/settings" Target="settings.xml"/><Relationship Id="rId31" Type="http://schemas.openxmlformats.org/officeDocument/2006/relationships/hyperlink" Target="https://www.nottinghamshire.gov.uk/care/safeguarding/childrens-mash/report-a-new-concern-about-a-child" TargetMode="External"/><Relationship Id="rId44" Type="http://schemas.openxmlformats.org/officeDocument/2006/relationships/hyperlink" Target="https://www.prisonadvice.org.uk/get-help/children-young-people/" TargetMode="External"/><Relationship Id="rId52" Type="http://schemas.openxmlformats.org/officeDocument/2006/relationships/hyperlink" Target="https://uk.mantralingua.com/"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64c9d834-598d-44db-8280-f2a48873429d" ContentTypeId="0x01010098A77BC932DF7A47999647AAD48BE41E" PreviousValue="false"/>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d1cd733-cea0-45d5-9d4a-a165c5586349">
      <Terms xmlns="http://schemas.microsoft.com/office/infopath/2007/PartnerControls"/>
    </lcf76f155ced4ddcb4097134ff3c332f>
    <f44cace9888d469f9e48cf28bfb64a03 xmlns="0e583997-b476-4bb1-8076-4eca08b5d6ca">
      <Terms xmlns="http://schemas.microsoft.com/office/infopath/2007/PartnerControls"/>
    </f44cace9888d469f9e48cf28bfb64a03>
    <c68e7fa7917c48f28da6a306b3492896 xmlns="0e583997-b476-4bb1-8076-4eca08b5d6ca">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fbfd3d3b-379a-4ef9-a760-718cd7103326</TermId>
        </TermInfo>
      </Terms>
    </c68e7fa7917c48f28da6a306b3492896>
    <n6801823ec8c4e138e706452364a4ac3 xmlns="0e583997-b476-4bb1-8076-4eca08b5d6ca">
      <Terms xmlns="http://schemas.microsoft.com/office/infopath/2007/PartnerControls"/>
    </n6801823ec8c4e138e706452364a4ac3>
    <lc9957cbe9784bdeaf216847ee6ab92d xmlns="0e583997-b476-4bb1-8076-4eca08b5d6ca">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18b99fa1-bc8d-4007-81c1-75dac247c978</TermId>
        </TermInfo>
      </Terms>
    </lc9957cbe9784bdeaf216847ee6ab92d>
    <TaxCatchAll xmlns="88cc1ac3-d661-4513-9676-173c55b04fe2">
      <Value>2</Value>
      <Value>1</Value>
    </TaxCatchAll>
    <b8f21bd225404508935f72b61b4e53ed xmlns="0e583997-b476-4bb1-8076-4eca08b5d6ca">
      <Terms xmlns="http://schemas.microsoft.com/office/infopath/2007/PartnerControls"/>
    </b8f21bd225404508935f72b61b4e53ed>
    <e7d5a8d9078542cd84eec5a3737f68bc xmlns="0e583997-b476-4bb1-8076-4eca08b5d6ca">
      <Terms xmlns="http://schemas.microsoft.com/office/infopath/2007/PartnerControls"/>
    </e7d5a8d9078542cd84eec5a3737f68bc>
    <od8ee7b5f77545768ff1fa0c2dfce1a5 xmlns="0e583997-b476-4bb1-8076-4eca08b5d6ca">
      <Terms xmlns="http://schemas.microsoft.com/office/infopath/2007/PartnerControls"/>
    </od8ee7b5f77545768ff1fa0c2dfce1a5>
  </documentManagement>
</p:properties>
</file>

<file path=customXml/item6.xml><?xml version="1.0" encoding="utf-8"?>
<ct:contentTypeSchema xmlns:ct="http://schemas.microsoft.com/office/2006/metadata/contentType" xmlns:ma="http://schemas.microsoft.com/office/2006/metadata/properties/metaAttributes" ct:_="" ma:_="" ma:contentTypeName="NCC Document" ma:contentTypeID="0x010100326FE12A0B67A9409A6BFB81D3B139C000E0764A72367E734ABD49091EB5AFDFD8" ma:contentTypeVersion="41" ma:contentTypeDescription="This is the base NCC document content type." ma:contentTypeScope="" ma:versionID="94df88bdf3abc84cd6d3c9a74d1dc922">
  <xsd:schema xmlns:xsd="http://www.w3.org/2001/XMLSchema" xmlns:xs="http://www.w3.org/2001/XMLSchema" xmlns:p="http://schemas.microsoft.com/office/2006/metadata/properties" xmlns:ns3="88cc1ac3-d661-4513-9676-173c55b04fe2" xmlns:ns4="0e583997-b476-4bb1-8076-4eca08b5d6ca" xmlns:ns5="7d1cd733-cea0-45d5-9d4a-a165c5586349" targetNamespace="http://schemas.microsoft.com/office/2006/metadata/properties" ma:root="true" ma:fieldsID="ff461e4de03a80ebf54d476c78a4a4c1" ns3:_="" ns4:_="" ns5:_="">
    <xsd:import namespace="88cc1ac3-d661-4513-9676-173c55b04fe2"/>
    <xsd:import namespace="0e583997-b476-4bb1-8076-4eca08b5d6ca"/>
    <xsd:import namespace="7d1cd733-cea0-45d5-9d4a-a165c5586349"/>
    <xsd:element name="properties">
      <xsd:complexType>
        <xsd:sequence>
          <xsd:element name="documentManagement">
            <xsd:complexType>
              <xsd:all>
                <xsd:element ref="ns3:TaxCatchAll" minOccurs="0"/>
                <xsd:element ref="ns3:TaxCatchAllLabel" minOccurs="0"/>
                <xsd:element ref="ns4:e7d5a8d9078542cd84eec5a3737f68bc" minOccurs="0"/>
                <xsd:element ref="ns4:b8f21bd225404508935f72b61b4e53ed" minOccurs="0"/>
                <xsd:element ref="ns4:c68e7fa7917c48f28da6a306b3492896" minOccurs="0"/>
                <xsd:element ref="ns4:od8ee7b5f77545768ff1fa0c2dfce1a5" minOccurs="0"/>
                <xsd:element ref="ns4:n6801823ec8c4e138e706452364a4ac3" minOccurs="0"/>
                <xsd:element ref="ns4:lc9957cbe9784bdeaf216847ee6ab92d" minOccurs="0"/>
                <xsd:element ref="ns4:f44cace9888d469f9e48cf28bfb64a03" minOccurs="0"/>
                <xsd:element ref="ns5:MediaServiceOCR" minOccurs="0"/>
                <xsd:element ref="ns5:MediaServiceGenerationTime" minOccurs="0"/>
                <xsd:element ref="ns5:MediaServiceEventHashCode" minOccurs="0"/>
                <xsd:element ref="ns5:MediaServiceLocation" minOccurs="0"/>
                <xsd:element ref="ns4:SharedWithUsers" minOccurs="0"/>
                <xsd:element ref="ns4:SharedWithDetails" minOccurs="0"/>
                <xsd:element ref="ns5:MediaServiceAutoKeyPoints" minOccurs="0"/>
                <xsd:element ref="ns5:MediaServiceKeyPoints"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cc1ac3-d661-4513-9676-173c55b04fe2" elementFormDefault="qualified">
    <xsd:import namespace="http://schemas.microsoft.com/office/2006/documentManagement/types"/>
    <xsd:import namespace="http://schemas.microsoft.com/office/infopath/2007/PartnerControls"/>
    <xsd:element name="TaxCatchAll" ma:index="3" nillable="true" ma:displayName="Taxonomy Catch All Column" ma:hidden="true" ma:list="{7a87f66e-540a-444a-88a8-1286a6420f61}" ma:internalName="TaxCatchAll" ma:showField="CatchAllData" ma:web="0e583997-b476-4bb1-8076-4eca08b5d6ca">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hidden="true" ma:list="{7a87f66e-540a-444a-88a8-1286a6420f61}" ma:internalName="TaxCatchAllLabel" ma:readOnly="true" ma:showField="CatchAllDataLabel" ma:web="0e583997-b476-4bb1-8076-4eca08b5d6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583997-b476-4bb1-8076-4eca08b5d6ca" elementFormDefault="qualified">
    <xsd:import namespace="http://schemas.microsoft.com/office/2006/documentManagement/types"/>
    <xsd:import namespace="http://schemas.microsoft.com/office/infopath/2007/PartnerControls"/>
    <xsd:element name="e7d5a8d9078542cd84eec5a3737f68bc" ma:index="17" nillable="true" ma:taxonomy="true" ma:internalName="e7d5a8d9078542cd84eec5a3737f68bc" ma:taxonomyFieldName="Authoring_Team" ma:displayName="Authoring Team" ma:default="" ma:fieldId="{e7d5a8d9-0785-42cd-84ee-c5a3737f68bc}" ma:sspId="12976cec-d0ce-485f-bc4a-34973482e79f" ma:termSetId="7c8bfc01-3c61-4992-8382-4bbc43bc0606" ma:anchorId="00000000-0000-0000-0000-000000000000" ma:open="false" ma:isKeyword="false">
      <xsd:complexType>
        <xsd:sequence>
          <xsd:element ref="pc:Terms" minOccurs="0" maxOccurs="1"/>
        </xsd:sequence>
      </xsd:complexType>
    </xsd:element>
    <xsd:element name="b8f21bd225404508935f72b61b4e53ed" ma:index="18" nillable="true" ma:taxonomy="true" ma:internalName="b8f21bd225404508935f72b61b4e53ed" ma:taxonomyFieldName="Document_Type" ma:displayName="Document Type" ma:default="" ma:fieldId="{b8f21bd2-2540-4508-935f-72b61b4e53ed}" ma:sspId="12976cec-d0ce-485f-bc4a-34973482e79f" ma:termSetId="e0a7f381-dc0a-4d18-a572-d174e2347858" ma:anchorId="00000000-0000-0000-0000-000000000000" ma:open="false" ma:isKeyword="false">
      <xsd:complexType>
        <xsd:sequence>
          <xsd:element ref="pc:Terms" minOccurs="0" maxOccurs="1"/>
        </xsd:sequence>
      </xsd:complexType>
    </xsd:element>
    <xsd:element name="c68e7fa7917c48f28da6a306b3492896" ma:index="19" nillable="true" ma:taxonomy="true" ma:internalName="c68e7fa7917c48f28da6a306b3492896" ma:taxonomyFieldName="NCC_Status" ma:displayName="Doc Status" ma:default="1;#Draft|fbfd3d3b-379a-4ef9-a760-718cd7103326" ma:fieldId="{c68e7fa7-917c-48f2-8da6-a306b3492896}" ma:sspId="12976cec-d0ce-485f-bc4a-34973482e79f" ma:termSetId="e5e3b9af-3c2f-4c77-901d-295b696646e0" ma:anchorId="00000000-0000-0000-0000-000000000000" ma:open="false" ma:isKeyword="false">
      <xsd:complexType>
        <xsd:sequence>
          <xsd:element ref="pc:Terms" minOccurs="0" maxOccurs="1"/>
        </xsd:sequence>
      </xsd:complexType>
    </xsd:element>
    <xsd:element name="od8ee7b5f77545768ff1fa0c2dfce1a5" ma:index="20" nillable="true" ma:taxonomy="true" ma:internalName="od8ee7b5f77545768ff1fa0c2dfce1a5" ma:taxonomyFieldName="File_Plan" ma:displayName="File Plan" ma:default="" ma:fieldId="{8d8ee7b5-f775-4576-8ff1-fa0c2dfce1a5}" ma:taxonomyMulti="true" ma:sspId="12976cec-d0ce-485f-bc4a-34973482e79f" ma:termSetId="85a4d7db-0f76-460a-87eb-57ad36ae03b7" ma:anchorId="00000000-0000-0000-0000-000000000000" ma:open="false" ma:isKeyword="false">
      <xsd:complexType>
        <xsd:sequence>
          <xsd:element ref="pc:Terms" minOccurs="0" maxOccurs="1"/>
        </xsd:sequence>
      </xsd:complexType>
    </xsd:element>
    <xsd:element name="n6801823ec8c4e138e706452364a4ac3" ma:index="21" nillable="true" ma:taxonomy="true" ma:internalName="n6801823ec8c4e138e706452364a4ac3" ma:taxonomyFieldName="Financial_Year" ma:displayName="Financial Year" ma:default="" ma:fieldId="{76801823-ec8c-4e13-8e70-6452364a4ac3}" ma:taxonomyMulti="true" ma:sspId="12976cec-d0ce-485f-bc4a-34973482e79f" ma:termSetId="edc266e7-e925-4ff3-9bf8-4a9dad39b780" ma:anchorId="00000000-0000-0000-0000-000000000000" ma:open="false" ma:isKeyword="false">
      <xsd:complexType>
        <xsd:sequence>
          <xsd:element ref="pc:Terms" minOccurs="0" maxOccurs="1"/>
        </xsd:sequence>
      </xsd:complexType>
    </xsd:element>
    <xsd:element name="lc9957cbe9784bdeaf216847ee6ab92d" ma:index="22" nillable="true" ma:taxonomy="true" ma:internalName="lc9957cbe9784bdeaf216847ee6ab92d" ma:taxonomyFieldName="Security_Classification" ma:displayName="Security Classification" ma:default="2;#OFFICIAL|18b99fa1-bc8d-4007-81c1-75dac247c978" ma:fieldId="{5c9957cb-e978-4bde-af21-6847ee6ab92d}" ma:sspId="12976cec-d0ce-485f-bc4a-34973482e79f" ma:termSetId="4f753933-fbe9-4b8d-9f82-ff63e9aa9543" ma:anchorId="00000000-0000-0000-0000-000000000000" ma:open="false" ma:isKeyword="false">
      <xsd:complexType>
        <xsd:sequence>
          <xsd:element ref="pc:Terms" minOccurs="0" maxOccurs="1"/>
        </xsd:sequence>
      </xsd:complexType>
    </xsd:element>
    <xsd:element name="f44cace9888d469f9e48cf28bfb64a03" ma:index="23" nillable="true" ma:taxonomy="true" ma:internalName="f44cace9888d469f9e48cf28bfb64a03" ma:taxonomyFieldName="NCC_Audience" ma:displayName="NCC Audience" ma:default="" ma:fieldId="{f44cace9-888d-469f-9e48-cf28bfb64a03}" ma:taxonomyMulti="true" ma:sspId="12976cec-d0ce-485f-bc4a-34973482e79f" ma:termSetId="b94ed75c-002a-4bb8-9f19-0713357e891f" ma:anchorId="00000000-0000-0000-0000-000000000000" ma:open="false" ma:isKeyword="false">
      <xsd:complexType>
        <xsd:sequence>
          <xsd:element ref="pc:Terms" minOccurs="0" maxOccurs="1"/>
        </xsd:sequence>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1cd733-cea0-45d5-9d4a-a165c5586349" elementFormDefault="qualified">
    <xsd:import namespace="http://schemas.microsoft.com/office/2006/documentManagement/types"/>
    <xsd:import namespace="http://schemas.microsoft.com/office/infopath/2007/PartnerControls"/>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12976cec-d0ce-485f-bc4a-34973482e79f" ma:termSetId="09814cd3-568e-fe90-9814-8d621ff8fb84" ma:anchorId="fba54fb3-c3e1-fe81-a776-ca4b69148c4d" ma:open="true" ma:isKeyword="false">
      <xsd:complexType>
        <xsd:sequence>
          <xsd:element ref="pc:Terms" minOccurs="0" maxOccurs="1"/>
        </xsd:sequence>
      </xsd:complexType>
    </xsd:element>
    <xsd:element name="MediaLengthInSeconds" ma:index="34" nillable="true" ma:displayName="MediaLengthInSeconds" ma:hidden="true" ma:internalName="MediaLengthInSeconds" ma:readOnly="true">
      <xsd:simpleType>
        <xsd:restriction base="dms:Unknown"/>
      </xsd:simple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Receiver xmlns="">
    <Name>ItemUpdatedEventHandlerForConceptSearch</Name>
    <Synchronization>Asynchronous</Synchronization>
    <Type>10002</Type>
    <SequenceNumber>10001</SequenceNumber>
    <Url/>
    <Assembly>conceptSearching.Sharepoint.ContentTypes2010, Version=1.0.0.0, Culture=neutral, PublicKeyToken=858f8f13980e4745</Assembly>
    <Class>conceptSearching.Sharepoint.ContentTypes2010.CSHandleEvent</Class>
    <Data/>
    <Filter/>
  </Receiver>
  <Receiver xmlns="">
    <Name>ItemUpdatingEventHandlerForConceptSearch</Name>
    <Synchronization>Synchronous</Synchronization>
    <Type>2</Type>
    <SequenceNumber>10001</SequenceNumber>
    <Url/>
    <Assembly>conceptSearching.Sharepoint.ContentTypes2010, Version=1.0.0.0, Culture=neutral, PublicKeyToken=858f8f13980e4745</Assembly>
    <Class>conceptSearching.Sharepoint.ContentTypes2010.CSHandleEvent</Class>
    <Data/>
    <Filter/>
  </Receiver>
  <Receiver xmlns="">
    <Name>ItemCheckedInEventHandlerForConceptSearch</Name>
    <Synchronization>Asynchronous</Synchronization>
    <Type>10004</Type>
    <SequenceNumber>10002</SequenceNumber>
    <Url/>
    <Assembly>conceptSearching.Sharepoint.ContentTypes2010, Version=1.0.0.0, Culture=neutral, PublicKeyToken=858f8f13980e4745</Assembly>
    <Class>conceptSearching.Sharepoint.ContentTypes2010.CSHandleEvent</Class>
    <Data/>
    <Filter/>
  </Receiver>
  <Receiver xmlns="">
    <Name>ItemUncheckedOutEventHandlerForConceptSearch</Name>
    <Synchronization>Asynchronous</Synchronization>
    <Type>10006</Type>
    <SequenceNumber>10003</SequenceNumber>
    <Url/>
    <Assembly>conceptSearching.Sharepoint.ContentTypes2010, Version=1.0.0.0, Culture=neutral, PublicKeyToken=858f8f13980e4745</Assembly>
    <Class>conceptSearching.Sharepoint.ContentTypes2010.CSHandleEvent</Class>
    <Data/>
    <Filter/>
  </Receiver>
  <Receiver xmlns="">
    <Name>ItemAddedEventHandlerForConceptSearch</Name>
    <Synchronization>Asynchronous</Synchronization>
    <Type>10001</Type>
    <SequenceNumber>10004</SequenceNumber>
    <Url/>
    <Assembly>conceptSearching.Sharepoint.ContentTypes2010, Version=1.0.0.0, Culture=neutral, PublicKeyToken=858f8f13980e4745</Assembly>
    <Class>conceptSearching.Sharepoint.ContentTypes2010.CSHandleEvent</Class>
    <Data/>
    <Filter/>
  </Receiver>
  <Receiver xmlns="">
    <Name>ItemFileMovedEventHandlerForConceptSearch</Name>
    <Synchronization>Asynchronous</Synchronization>
    <Type>10009</Type>
    <SequenceNumber>10005</SequenceNumber>
    <Url/>
    <Assembly>conceptSearching.Sharepoint.ContentTypes2010, Version=1.0.0.0, Culture=neutral, PublicKeyToken=858f8f13980e4745</Assembly>
    <Class>conceptSearching.Sharepoint.ContentTypes2010.CSHandleEvent</Class>
    <Data/>
    <Filter/>
  </Receiver>
  <Receiver xmlns="">
    <Name>ItemDeletedEventHandlerForConceptSearch</Name>
    <Synchronization>Asynchronous</Synchronization>
    <Type>10003</Type>
    <SequenceNumber>10006</SequenceNumber>
    <Url/>
    <Assembly>conceptSearching.Sharepoint.ContentTypes2010, Version=1.0.0.0, Culture=neutral, PublicKeyToken=858f8f13980e4745</Assembly>
    <Class>conceptSearching.Sharepoint.ContentTypes2010.CSHandleEvent</Class>
    <Data/>
    <Filter/>
  </Receiver>
</spe:Receivers>
</file>

<file path=customXml/itemProps1.xml><?xml version="1.0" encoding="utf-8"?>
<ds:datastoreItem xmlns:ds="http://schemas.openxmlformats.org/officeDocument/2006/customXml" ds:itemID="{428CEFB0-A59B-46A0-AF86-C332F4220C6F}">
  <ds:schemaRefs>
    <ds:schemaRef ds:uri="http://schemas.microsoft.com/office/2006/metadata/customXsn"/>
  </ds:schemaRefs>
</ds:datastoreItem>
</file>

<file path=customXml/itemProps2.xml><?xml version="1.0" encoding="utf-8"?>
<ds:datastoreItem xmlns:ds="http://schemas.openxmlformats.org/officeDocument/2006/customXml" ds:itemID="{EC71C66E-F469-4D97-8653-E904CE084C7C}">
  <ds:schemaRefs>
    <ds:schemaRef ds:uri="http://schemas.microsoft.com/sharepoint/v3/contenttype/forms"/>
  </ds:schemaRefs>
</ds:datastoreItem>
</file>

<file path=customXml/itemProps3.xml><?xml version="1.0" encoding="utf-8"?>
<ds:datastoreItem xmlns:ds="http://schemas.openxmlformats.org/officeDocument/2006/customXml" ds:itemID="{0CAE4EB0-D5B5-4104-B364-79F4F96309C5}">
  <ds:schemaRefs>
    <ds:schemaRef ds:uri="Microsoft.SharePoint.Taxonomy.ContentTypeSync"/>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5.xml><?xml version="1.0" encoding="utf-8"?>
<ds:datastoreItem xmlns:ds="http://schemas.openxmlformats.org/officeDocument/2006/customXml" ds:itemID="{5A68B5E4-03BC-493B-9A4C-7215CA218F7A}">
  <ds:schemaRefs>
    <ds:schemaRef ds:uri="http://schemas.microsoft.com/office/2006/metadata/properties"/>
    <ds:schemaRef ds:uri="http://schemas.microsoft.com/office/infopath/2007/PartnerControls"/>
    <ds:schemaRef ds:uri="7d1cd733-cea0-45d5-9d4a-a165c5586349"/>
    <ds:schemaRef ds:uri="0e583997-b476-4bb1-8076-4eca08b5d6ca"/>
    <ds:schemaRef ds:uri="88cc1ac3-d661-4513-9676-173c55b04fe2"/>
  </ds:schemaRefs>
</ds:datastoreItem>
</file>

<file path=customXml/itemProps6.xml><?xml version="1.0" encoding="utf-8"?>
<ds:datastoreItem xmlns:ds="http://schemas.openxmlformats.org/officeDocument/2006/customXml" ds:itemID="{88A5E650-5E8D-4AD2-82E8-BE92E378D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cc1ac3-d661-4513-9676-173c55b04fe2"/>
    <ds:schemaRef ds:uri="0e583997-b476-4bb1-8076-4eca08b5d6ca"/>
    <ds:schemaRef ds:uri="7d1cd733-cea0-45d5-9d4a-a165c5586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5C8436A5-A7C8-42FD-9029-8ABF3154A686}">
  <ds:schemaRefs>
    <ds:schemaRef ds:uri="http://schemas.microsoft.com/sharepoint/events"/>
    <ds:schemaRef ds:uri=""/>
  </ds:schemaRefs>
</ds:datastoreItem>
</file>

<file path=docMetadata/LabelInfo.xml><?xml version="1.0" encoding="utf-8"?>
<clbl:labelList xmlns:clbl="http://schemas.microsoft.com/office/2020/mipLabelMetadata">
  <clbl:label id="{8fd7c08e-9c24-436d-a6ad-a8ecb8394d49}" enabled="1" method="Standard" siteId="{6e5a37bb-a961-4e4f-baae-2798a2245f3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2371</Words>
  <Characters>13520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Rachael Homewood</cp:lastModifiedBy>
  <cp:revision>2</cp:revision>
  <dcterms:created xsi:type="dcterms:W3CDTF">2026-10-01T17:03:00Z</dcterms:created>
  <dcterms:modified xsi:type="dcterms:W3CDTF">2026-10-01T17:03:00Z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0x010100326FE12A0B67A9409A6BFB81D3B139C000E0764A72367E734ABD49091EB5AFDFD8</vt:lpwstr>
  </property>
  <property fmtid="{D5CDD505-2E9C-101B-9397-08002B2CF9AE}" pid="3" name="MediaServiceImageTags">
    <vt:lpwstr/>
  </property>
  <property fmtid="{D5CDD505-2E9C-101B-9397-08002B2CF9AE}" pid="4" name="Document_Type">
    <vt:lpwstr/>
  </property>
  <property fmtid="{D5CDD505-2E9C-101B-9397-08002B2CF9AE}" pid="5" name="File_Plan">
    <vt:lpwstr/>
  </property>
  <property fmtid="{D5CDD505-2E9C-101B-9397-08002B2CF9AE}" pid="6" name="NCC_Status">
    <vt:lpwstr>1;#Draft|fbfd3d3b-379a-4ef9-a760-718cd7103326</vt:lpwstr>
  </property>
  <property fmtid="{D5CDD505-2E9C-101B-9397-08002B2CF9AE}" pid="7" name="Security_Classification">
    <vt:lpwstr>2;#OFFICIAL|18b99fa1-bc8d-4007-81c1-75dac247c978</vt:lpwstr>
  </property>
  <property fmtid="{D5CDD505-2E9C-101B-9397-08002B2CF9AE}" pid="8" name="NCC_Audience">
    <vt:lpwstr/>
  </property>
  <property fmtid="{D5CDD505-2E9C-101B-9397-08002B2CF9AE}" pid="9" name="Target">
    <vt:lpwstr/>
  </property>
  <property fmtid="{D5CDD505-2E9C-101B-9397-08002B2CF9AE}" pid="10" name="o881893be42b40f2a174cac7d4e8c6ff">
    <vt:lpwstr/>
  </property>
  <property fmtid="{D5CDD505-2E9C-101B-9397-08002B2CF9AE}" pid="11" name="Financial_Year">
    <vt:lpwstr/>
  </property>
  <property fmtid="{D5CDD505-2E9C-101B-9397-08002B2CF9AE}" pid="12" name="Authoring_Team">
    <vt:lpwstr/>
  </property>
</Properties>
</file>