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C86F" w14:textId="77777777" w:rsidR="00344C2C" w:rsidRDefault="00EB4639">
      <w:pPr>
        <w:spacing w:after="108" w:line="259" w:lineRule="auto"/>
        <w:ind w:left="0" w:right="4495" w:firstLine="0"/>
        <w:jc w:val="center"/>
      </w:pPr>
      <w:r>
        <w:rPr>
          <w:noProof/>
        </w:rPr>
        <w:drawing>
          <wp:inline distT="0" distB="0" distL="0" distR="0" wp14:anchorId="4FB13468" wp14:editId="5C345F15">
            <wp:extent cx="2837815" cy="4572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837815" cy="457200"/>
                    </a:xfrm>
                    <a:prstGeom prst="rect">
                      <a:avLst/>
                    </a:prstGeom>
                  </pic:spPr>
                </pic:pic>
              </a:graphicData>
            </a:graphic>
          </wp:inline>
        </w:drawing>
      </w:r>
      <w:r>
        <w:rPr>
          <w:b/>
          <w:color w:val="538135"/>
        </w:rPr>
        <w:t xml:space="preserve"> </w:t>
      </w:r>
    </w:p>
    <w:p w14:paraId="50110CC9" w14:textId="77777777" w:rsidR="00344C2C" w:rsidRDefault="00EB4639">
      <w:pPr>
        <w:spacing w:after="345" w:line="259" w:lineRule="auto"/>
        <w:ind w:left="0" w:right="0" w:firstLine="0"/>
        <w:jc w:val="left"/>
      </w:pPr>
      <w:r>
        <w:rPr>
          <w:b/>
          <w:color w:val="538135"/>
        </w:rPr>
        <w:t xml:space="preserve"> </w:t>
      </w:r>
    </w:p>
    <w:p w14:paraId="39245948" w14:textId="77777777" w:rsidR="00344C2C" w:rsidRDefault="00EB4639">
      <w:pPr>
        <w:spacing w:after="1" w:line="259" w:lineRule="auto"/>
        <w:ind w:left="10" w:right="10" w:hanging="10"/>
        <w:jc w:val="center"/>
      </w:pPr>
      <w:r>
        <w:rPr>
          <w:sz w:val="44"/>
        </w:rPr>
        <w:t xml:space="preserve">Anti-Money Laundering Policy and </w:t>
      </w:r>
    </w:p>
    <w:p w14:paraId="4281E5F7" w14:textId="77777777" w:rsidR="00344C2C" w:rsidRDefault="00EB4639">
      <w:pPr>
        <w:spacing w:after="1" w:line="259" w:lineRule="auto"/>
        <w:ind w:left="10" w:right="9" w:hanging="10"/>
        <w:jc w:val="center"/>
      </w:pPr>
      <w:r>
        <w:rPr>
          <w:sz w:val="44"/>
        </w:rPr>
        <w:t xml:space="preserve">Procedures </w:t>
      </w:r>
    </w:p>
    <w:p w14:paraId="0C600129" w14:textId="77777777" w:rsidR="00344C2C" w:rsidRDefault="00EB4639">
      <w:pPr>
        <w:spacing w:after="160" w:line="259" w:lineRule="auto"/>
        <w:ind w:left="0" w:right="0" w:firstLine="0"/>
        <w:jc w:val="left"/>
      </w:pPr>
      <w:r>
        <w:t xml:space="preserve"> </w:t>
      </w:r>
    </w:p>
    <w:p w14:paraId="5A193FDC" w14:textId="77777777" w:rsidR="00344C2C" w:rsidRDefault="00EB4639">
      <w:pPr>
        <w:pStyle w:val="Heading1"/>
        <w:tabs>
          <w:tab w:val="center" w:pos="1420"/>
        </w:tabs>
        <w:ind w:left="-15" w:firstLine="0"/>
      </w:pPr>
      <w:r>
        <w:t xml:space="preserve">1.  </w:t>
      </w:r>
      <w:r>
        <w:tab/>
        <w:t>Introduction</w:t>
      </w:r>
      <w:r>
        <w:rPr>
          <w:color w:val="006600"/>
        </w:rPr>
        <w:t xml:space="preserve"> </w:t>
      </w:r>
    </w:p>
    <w:p w14:paraId="15B3BD15" w14:textId="793F79B0" w:rsidR="00344C2C" w:rsidRDefault="00EB4639" w:rsidP="00193793">
      <w:pPr>
        <w:ind w:left="703" w:right="0" w:hanging="703"/>
      </w:pPr>
      <w:r>
        <w:t xml:space="preserve">1.1 </w:t>
      </w:r>
      <w:r w:rsidR="00193793">
        <w:tab/>
      </w:r>
      <w:r>
        <w:t xml:space="preserve">The fight against crime and terrorist activities is becoming ever more globalised. The significant contribution that can be made by depriving potential criminals and terrorists of the funds they need is recognised, as is the relatively low level of funds required for significant acts to be carried out. </w:t>
      </w:r>
    </w:p>
    <w:p w14:paraId="2B698028" w14:textId="77777777" w:rsidR="00344C2C" w:rsidRDefault="00EB4639">
      <w:pPr>
        <w:spacing w:after="0" w:line="259" w:lineRule="auto"/>
        <w:ind w:left="0" w:right="0" w:firstLine="0"/>
        <w:jc w:val="left"/>
      </w:pPr>
      <w:r>
        <w:t xml:space="preserve"> </w:t>
      </w:r>
    </w:p>
    <w:p w14:paraId="09665AD9" w14:textId="132C4ED9" w:rsidR="00344C2C" w:rsidRDefault="00EB4639">
      <w:pPr>
        <w:ind w:left="703" w:right="0"/>
      </w:pPr>
      <w:r>
        <w:t xml:space="preserve">1.2 </w:t>
      </w:r>
      <w:r w:rsidR="00193793">
        <w:tab/>
      </w:r>
      <w:r>
        <w:t xml:space="preserve">Nottinghamshire County Council is committed to: preventing the Council and its employees being exposed to money laundering; identifying the risks where it may occur; and complying with legal and regulatory requirements, especially with regard to reporting suspected cases. </w:t>
      </w:r>
    </w:p>
    <w:p w14:paraId="36B7E1EB" w14:textId="77777777" w:rsidR="00344C2C" w:rsidRDefault="00EB4639">
      <w:pPr>
        <w:spacing w:after="0" w:line="259" w:lineRule="auto"/>
        <w:ind w:left="0" w:right="0" w:firstLine="0"/>
        <w:jc w:val="left"/>
      </w:pPr>
      <w:r>
        <w:t xml:space="preserve"> </w:t>
      </w:r>
    </w:p>
    <w:p w14:paraId="4762B8DB" w14:textId="25D9A2B1" w:rsidR="00344C2C" w:rsidRDefault="00EB4639">
      <w:pPr>
        <w:ind w:left="703" w:right="0"/>
      </w:pPr>
      <w:r>
        <w:t xml:space="preserve">1.3 </w:t>
      </w:r>
      <w:r w:rsidR="00193793">
        <w:tab/>
      </w:r>
      <w:r>
        <w:t xml:space="preserve">The Proceeds of Crime Act 2002, the Terrorism Act 2000 and the Money Laundering Regulations 2007 place obligations on the Council and its employees to establish internal procedures to prevent the use of their services for money laundering. </w:t>
      </w:r>
    </w:p>
    <w:p w14:paraId="315A8426" w14:textId="77777777" w:rsidR="00344C2C" w:rsidRDefault="00EB4639">
      <w:pPr>
        <w:spacing w:after="0" w:line="259" w:lineRule="auto"/>
        <w:ind w:left="0" w:right="0" w:firstLine="0"/>
        <w:jc w:val="left"/>
      </w:pPr>
      <w:r>
        <w:t xml:space="preserve"> </w:t>
      </w:r>
    </w:p>
    <w:p w14:paraId="788C706E" w14:textId="29431B32" w:rsidR="00344C2C" w:rsidRDefault="00EB4639">
      <w:pPr>
        <w:ind w:left="703" w:right="0"/>
      </w:pPr>
      <w:r>
        <w:t xml:space="preserve">1.4 </w:t>
      </w:r>
      <w:r w:rsidR="00193793">
        <w:tab/>
      </w:r>
      <w:r>
        <w:t xml:space="preserve">This Anti-Money Laundering Policy sits within the </w:t>
      </w:r>
      <w:proofErr w:type="spellStart"/>
      <w:r>
        <w:t>Council‟s</w:t>
      </w:r>
      <w:proofErr w:type="spellEnd"/>
      <w:r>
        <w:t xml:space="preserve"> wider Counter Fraud and Counter Corruption Policy and Strategy. </w:t>
      </w:r>
    </w:p>
    <w:p w14:paraId="3EC228DE" w14:textId="77777777" w:rsidR="00344C2C" w:rsidRDefault="00EB4639">
      <w:pPr>
        <w:spacing w:after="0" w:line="259" w:lineRule="auto"/>
        <w:ind w:left="0" w:right="0" w:firstLine="0"/>
        <w:jc w:val="left"/>
      </w:pPr>
      <w:r>
        <w:t xml:space="preserve"> </w:t>
      </w:r>
    </w:p>
    <w:p w14:paraId="39A69EB2" w14:textId="77777777" w:rsidR="00344C2C" w:rsidRDefault="00EB4639">
      <w:pPr>
        <w:numPr>
          <w:ilvl w:val="0"/>
          <w:numId w:val="1"/>
        </w:numPr>
        <w:ind w:right="0" w:hanging="720"/>
        <w:jc w:val="left"/>
      </w:pPr>
      <w:r>
        <w:rPr>
          <w:b/>
          <w:color w:val="538135"/>
        </w:rPr>
        <w:t xml:space="preserve">What is Money Laundering? </w:t>
      </w:r>
    </w:p>
    <w:p w14:paraId="4822E888" w14:textId="4AC9481F" w:rsidR="00344C2C" w:rsidRDefault="00EB4639" w:rsidP="00193793">
      <w:pPr>
        <w:pStyle w:val="ListParagraph"/>
        <w:numPr>
          <w:ilvl w:val="1"/>
          <w:numId w:val="1"/>
        </w:numPr>
        <w:ind w:left="709" w:right="0"/>
      </w:pPr>
      <w:r>
        <w:t xml:space="preserve">Money laundering is the process where criminals attempt to hide and change the true identity of the proceeds of their crime so that they appear legitimate. </w:t>
      </w:r>
    </w:p>
    <w:p w14:paraId="7E3F8963" w14:textId="77777777" w:rsidR="00344C2C" w:rsidRDefault="00EB4639">
      <w:pPr>
        <w:ind w:left="708" w:right="0" w:firstLine="0"/>
      </w:pPr>
      <w:r>
        <w:t xml:space="preserve">The various stages are termed placement, layering and integration: </w:t>
      </w:r>
    </w:p>
    <w:p w14:paraId="66868EF4" w14:textId="77777777" w:rsidR="00344C2C" w:rsidRPr="00193793" w:rsidRDefault="00EB4639" w:rsidP="00193793">
      <w:pPr>
        <w:numPr>
          <w:ilvl w:val="0"/>
          <w:numId w:val="6"/>
        </w:numPr>
        <w:ind w:right="0" w:hanging="360"/>
        <w:rPr>
          <w:color w:val="auto"/>
        </w:rPr>
      </w:pPr>
      <w:r w:rsidRPr="00193793">
        <w:rPr>
          <w:color w:val="auto"/>
        </w:rPr>
        <w:t xml:space="preserve">placement – „dirty money‟ is placed directly into the financial system </w:t>
      </w:r>
    </w:p>
    <w:p w14:paraId="5327075F" w14:textId="77777777" w:rsidR="00344C2C" w:rsidRPr="00193793" w:rsidRDefault="00EB4639" w:rsidP="00193793">
      <w:pPr>
        <w:numPr>
          <w:ilvl w:val="0"/>
          <w:numId w:val="6"/>
        </w:numPr>
        <w:ind w:right="0" w:hanging="360"/>
        <w:rPr>
          <w:color w:val="auto"/>
        </w:rPr>
      </w:pPr>
      <w:r w:rsidRPr="00193793">
        <w:rPr>
          <w:color w:val="auto"/>
        </w:rPr>
        <w:t xml:space="preserve">layering – the proceeds are moved through a series of financial transactions, making it harder to establish their origin </w:t>
      </w:r>
    </w:p>
    <w:p w14:paraId="1B52B476" w14:textId="77777777" w:rsidR="00344C2C" w:rsidRDefault="00EB4639" w:rsidP="00193793">
      <w:pPr>
        <w:numPr>
          <w:ilvl w:val="0"/>
          <w:numId w:val="6"/>
        </w:numPr>
        <w:ind w:right="0" w:hanging="360"/>
      </w:pPr>
      <w:r w:rsidRPr="00193793">
        <w:rPr>
          <w:color w:val="auto"/>
        </w:rPr>
        <w:t xml:space="preserve">integration – the money launderer creates a legitimate explanation for the source of the funds allowing them to be retained, invested into the legitimate </w:t>
      </w:r>
      <w:r>
        <w:t xml:space="preserve">economy or to acquire assets. </w:t>
      </w:r>
    </w:p>
    <w:p w14:paraId="477E75CB" w14:textId="77777777" w:rsidR="00193793" w:rsidRDefault="00193793" w:rsidP="00193793">
      <w:pPr>
        <w:ind w:left="1068" w:right="0" w:firstLine="0"/>
      </w:pPr>
    </w:p>
    <w:p w14:paraId="4EE1CA63" w14:textId="77777777" w:rsidR="00344C2C" w:rsidRDefault="00EB4639">
      <w:pPr>
        <w:ind w:left="708" w:right="0" w:firstLine="0"/>
      </w:pPr>
      <w:r>
        <w:t xml:space="preserve">An example in a Council setting is where illicit cash is used (placed) to pay for the annual non-domestic rates on a commercial premises (possibly also by means of a large overpayment), and then within a very short time the property is vacated (layering). A refund is made to the individual from the Council, </w:t>
      </w:r>
    </w:p>
    <w:p w14:paraId="471E28A8" w14:textId="77777777" w:rsidR="00344C2C" w:rsidRDefault="00EB4639">
      <w:pPr>
        <w:ind w:left="708" w:right="0" w:firstLine="0"/>
      </w:pPr>
      <w:r>
        <w:t xml:space="preserve">„integrating‟ the source of the money. </w:t>
      </w:r>
    </w:p>
    <w:p w14:paraId="6B0A9610" w14:textId="77777777" w:rsidR="00344C2C" w:rsidRDefault="00EB4639">
      <w:pPr>
        <w:spacing w:after="0" w:line="259" w:lineRule="auto"/>
        <w:ind w:left="0" w:right="0" w:firstLine="0"/>
        <w:jc w:val="left"/>
      </w:pPr>
      <w:r>
        <w:t xml:space="preserve"> </w:t>
      </w:r>
    </w:p>
    <w:p w14:paraId="102BC646" w14:textId="77777777" w:rsidR="00344C2C" w:rsidRDefault="00EB4639" w:rsidP="00193793">
      <w:pPr>
        <w:numPr>
          <w:ilvl w:val="1"/>
          <w:numId w:val="1"/>
        </w:numPr>
        <w:ind w:left="709" w:right="0" w:hanging="710"/>
      </w:pPr>
      <w:r>
        <w:t xml:space="preserve">The following constitute the act of money laundering: </w:t>
      </w:r>
    </w:p>
    <w:p w14:paraId="7A62129D" w14:textId="77777777" w:rsidR="00344C2C" w:rsidRDefault="00EB4639" w:rsidP="00193793">
      <w:pPr>
        <w:numPr>
          <w:ilvl w:val="2"/>
          <w:numId w:val="1"/>
        </w:numPr>
        <w:ind w:left="1134" w:right="0"/>
      </w:pPr>
      <w:r>
        <w:lastRenderedPageBreak/>
        <w:t xml:space="preserve">Concealing, disguising, converting, transferring criminal property or removing it from the UK (section 327 of the 2002 Act); or </w:t>
      </w:r>
    </w:p>
    <w:p w14:paraId="1F71112A" w14:textId="77777777" w:rsidR="00344C2C" w:rsidRDefault="00EB4639" w:rsidP="00193793">
      <w:pPr>
        <w:numPr>
          <w:ilvl w:val="2"/>
          <w:numId w:val="1"/>
        </w:numPr>
        <w:ind w:left="1134" w:right="0"/>
      </w:pPr>
      <w:r>
        <w:t xml:space="preserve">Entering into or becoming concerned in an arrangement which you know or suspect facilitates the acquisition, retention, use or control of criminal property by or on behalf of another person (section 328); or </w:t>
      </w:r>
    </w:p>
    <w:p w14:paraId="4FAC431C" w14:textId="77777777" w:rsidR="00344C2C" w:rsidRDefault="00EB4639" w:rsidP="00193793">
      <w:pPr>
        <w:numPr>
          <w:ilvl w:val="2"/>
          <w:numId w:val="1"/>
        </w:numPr>
        <w:ind w:left="1134" w:right="0"/>
      </w:pPr>
      <w:r>
        <w:t>Acquiring, using or possessing criminal property (section 329</w:t>
      </w:r>
      <w:proofErr w:type="gramStart"/>
      <w:r>
        <w:t>);</w:t>
      </w:r>
      <w:proofErr w:type="gramEnd"/>
      <w:r>
        <w:t xml:space="preserve"> </w:t>
      </w:r>
    </w:p>
    <w:p w14:paraId="1E97749F" w14:textId="77777777" w:rsidR="00344C2C" w:rsidRDefault="00EB4639" w:rsidP="00193793">
      <w:pPr>
        <w:numPr>
          <w:ilvl w:val="2"/>
          <w:numId w:val="1"/>
        </w:numPr>
        <w:ind w:left="1134" w:right="0"/>
      </w:pPr>
      <w:r>
        <w:t xml:space="preserve">Becoming concerned in an arrangement facilitating concealment, removal from the jurisdiction, transfer to nominees or any other retention or control of terrorist property (section 18 of the Terrorist Act 2000). </w:t>
      </w:r>
    </w:p>
    <w:p w14:paraId="3361BD5F" w14:textId="77777777" w:rsidR="00344C2C" w:rsidRDefault="00EB4639">
      <w:pPr>
        <w:spacing w:after="0" w:line="259" w:lineRule="auto"/>
        <w:ind w:left="1070" w:right="0" w:firstLine="0"/>
        <w:jc w:val="left"/>
      </w:pPr>
      <w:r>
        <w:t xml:space="preserve"> </w:t>
      </w:r>
    </w:p>
    <w:p w14:paraId="47AAB589" w14:textId="77777777" w:rsidR="00344C2C" w:rsidRDefault="00EB4639" w:rsidP="00193793">
      <w:pPr>
        <w:numPr>
          <w:ilvl w:val="1"/>
          <w:numId w:val="1"/>
        </w:numPr>
        <w:ind w:left="709" w:right="0" w:hanging="710"/>
      </w:pPr>
      <w:r>
        <w:t xml:space="preserve">These are the primary money laundering offences and thus prohibited acts under the legislation. There are also two secondary offences: failure to disclose any of the primary offences; and tipping-off. Tipping-off is where someone informs a person or people who are, or are suspected of, being involved in money laundering, in such a way as to reduce the likelihood of their being investigated or prejudicing an investigation. </w:t>
      </w:r>
    </w:p>
    <w:p w14:paraId="7B03224E" w14:textId="77777777" w:rsidR="00344C2C" w:rsidRDefault="00EB4639" w:rsidP="00193793">
      <w:pPr>
        <w:spacing w:after="0" w:line="259" w:lineRule="auto"/>
        <w:ind w:left="709" w:right="0" w:firstLine="0"/>
        <w:jc w:val="left"/>
      </w:pPr>
      <w:r>
        <w:t xml:space="preserve"> </w:t>
      </w:r>
    </w:p>
    <w:p w14:paraId="42480CDC" w14:textId="77777777" w:rsidR="00344C2C" w:rsidRDefault="00EB4639" w:rsidP="00193793">
      <w:pPr>
        <w:numPr>
          <w:ilvl w:val="1"/>
          <w:numId w:val="1"/>
        </w:numPr>
        <w:spacing w:after="0"/>
        <w:ind w:left="709" w:right="0" w:hanging="710"/>
      </w:pPr>
      <w:r>
        <w:t xml:space="preserve">Potentially any member of staff could be caught by the money laundering provisions if they suspect money laundering and do nothing about it or become involved with it in some way. This Policy sets out how any concerns should be raised. </w:t>
      </w:r>
      <w:r>
        <w:rPr>
          <w:b/>
        </w:rPr>
        <w:t xml:space="preserve">The key requirement for Council employees and partners is to promptly report (Section 337 Disclosure) any suspected money laundering activity to the Council's Section 151 Officer, who fulfils the role of the Money Laundering Reporting Officer (MLRO). </w:t>
      </w:r>
    </w:p>
    <w:p w14:paraId="61223DF2" w14:textId="77777777" w:rsidR="00344C2C" w:rsidRDefault="00EB4639" w:rsidP="00193793">
      <w:pPr>
        <w:spacing w:after="0" w:line="259" w:lineRule="auto"/>
        <w:ind w:left="709" w:right="0" w:firstLine="0"/>
        <w:jc w:val="left"/>
      </w:pPr>
      <w:r>
        <w:rPr>
          <w:b/>
        </w:rPr>
        <w:t xml:space="preserve"> </w:t>
      </w:r>
    </w:p>
    <w:p w14:paraId="79AF4793" w14:textId="73AA8A44" w:rsidR="00344C2C" w:rsidRDefault="00EB4639" w:rsidP="00193793">
      <w:pPr>
        <w:numPr>
          <w:ilvl w:val="1"/>
          <w:numId w:val="1"/>
        </w:numPr>
        <w:spacing w:after="0"/>
        <w:ind w:left="709" w:right="0" w:hanging="710"/>
      </w:pPr>
      <w:r>
        <w:rPr>
          <w:b/>
        </w:rPr>
        <w:t xml:space="preserve">Employees should be particularly alert to situations where funds flow through the Council from unfamiliar sources.  Where the Council is forming a new business </w:t>
      </w:r>
      <w:proofErr w:type="gramStart"/>
      <w:r w:rsidR="0061422F">
        <w:rPr>
          <w:b/>
        </w:rPr>
        <w:t>relationship, or</w:t>
      </w:r>
      <w:proofErr w:type="gramEnd"/>
      <w:r>
        <w:rPr>
          <w:b/>
        </w:rPr>
        <w:t xml:space="preserve"> is considering a significant </w:t>
      </w:r>
      <w:r w:rsidR="0061422F">
        <w:rPr>
          <w:b/>
        </w:rPr>
        <w:t>one-off</w:t>
      </w:r>
      <w:r>
        <w:rPr>
          <w:b/>
        </w:rPr>
        <w:t xml:space="preserve"> transaction with a new client, evidence of the identity of the prospective client should be obtained before proceeding. </w:t>
      </w:r>
    </w:p>
    <w:p w14:paraId="5459CA5D" w14:textId="77777777" w:rsidR="00344C2C" w:rsidRDefault="00EB4639" w:rsidP="00193793">
      <w:pPr>
        <w:spacing w:after="0" w:line="259" w:lineRule="auto"/>
        <w:ind w:left="709" w:right="0" w:firstLine="0"/>
        <w:jc w:val="left"/>
      </w:pPr>
      <w:r>
        <w:t xml:space="preserve"> </w:t>
      </w:r>
    </w:p>
    <w:p w14:paraId="13B52449" w14:textId="77777777" w:rsidR="00344C2C" w:rsidRDefault="00EB4639" w:rsidP="00193793">
      <w:pPr>
        <w:numPr>
          <w:ilvl w:val="1"/>
          <w:numId w:val="1"/>
        </w:numPr>
        <w:ind w:left="709" w:right="0" w:hanging="710"/>
      </w:pPr>
      <w:r>
        <w:t>Whilst the risk to the Council of contravening the legislation is low, it is extremely important that all employees are familiar with their legal responsibilities: serious criminal sanctions may be imposed for breaches of the legislation.</w:t>
      </w:r>
      <w:r>
        <w:rPr>
          <w:b/>
        </w:rPr>
        <w:t xml:space="preserve">  </w:t>
      </w:r>
    </w:p>
    <w:p w14:paraId="05B46438" w14:textId="35D4D51B" w:rsidR="00344C2C" w:rsidRDefault="00EB4639" w:rsidP="00193793">
      <w:pPr>
        <w:spacing w:after="0" w:line="259" w:lineRule="auto"/>
        <w:ind w:left="709" w:right="0" w:firstLine="0"/>
        <w:jc w:val="left"/>
      </w:pPr>
      <w:r>
        <w:rPr>
          <w:b/>
        </w:rPr>
        <w:t xml:space="preserve"> </w:t>
      </w:r>
      <w:r>
        <w:t xml:space="preserve"> </w:t>
      </w:r>
    </w:p>
    <w:p w14:paraId="747561DA" w14:textId="77777777" w:rsidR="00344C2C" w:rsidRDefault="00EB4639">
      <w:pPr>
        <w:pStyle w:val="Heading1"/>
        <w:tabs>
          <w:tab w:val="center" w:pos="1827"/>
        </w:tabs>
        <w:ind w:left="-15" w:firstLine="0"/>
      </w:pPr>
      <w:r>
        <w:t xml:space="preserve">3.  </w:t>
      </w:r>
      <w:r>
        <w:tab/>
        <w:t xml:space="preserve">Scope of the Policy </w:t>
      </w:r>
    </w:p>
    <w:p w14:paraId="5637DA29" w14:textId="77777777" w:rsidR="00344C2C" w:rsidRDefault="00EB4639">
      <w:pPr>
        <w:spacing w:after="0" w:line="259" w:lineRule="auto"/>
        <w:ind w:left="0" w:right="0" w:firstLine="0"/>
        <w:jc w:val="left"/>
      </w:pPr>
      <w:r>
        <w:rPr>
          <w:color w:val="006600"/>
        </w:rPr>
        <w:t xml:space="preserve"> </w:t>
      </w:r>
    </w:p>
    <w:p w14:paraId="37B93B60" w14:textId="3AB52CBE" w:rsidR="00344C2C" w:rsidRDefault="00EB4639">
      <w:pPr>
        <w:ind w:left="703" w:right="0"/>
      </w:pPr>
      <w:r>
        <w:t xml:space="preserve">3.1 </w:t>
      </w:r>
      <w:r w:rsidR="00193793">
        <w:tab/>
      </w:r>
      <w:r>
        <w:t xml:space="preserve">This Policy applies to all employees of the Council and its partners. It sets out the required procedures which should be followed for reporting suspicions of money laundering activity to enable the Council to comply with its legal obligations. </w:t>
      </w:r>
    </w:p>
    <w:p w14:paraId="58279B9A" w14:textId="77777777" w:rsidR="00344C2C" w:rsidRDefault="00EB4639">
      <w:pPr>
        <w:spacing w:after="0" w:line="259" w:lineRule="auto"/>
        <w:ind w:left="0" w:right="0" w:firstLine="0"/>
        <w:jc w:val="left"/>
      </w:pPr>
      <w:r>
        <w:t xml:space="preserve"> </w:t>
      </w:r>
    </w:p>
    <w:p w14:paraId="028958F6" w14:textId="3C0F86DA" w:rsidR="00344C2C" w:rsidRDefault="00EB4639">
      <w:pPr>
        <w:ind w:left="703" w:right="0"/>
      </w:pPr>
      <w:r>
        <w:t xml:space="preserve">3.2 </w:t>
      </w:r>
      <w:r w:rsidR="00193793">
        <w:tab/>
      </w:r>
      <w:r>
        <w:t xml:space="preserve">This Policy is consistent with all other Council policies including the Counter Fraud &amp; Counter Corruption Policy &amp; Strategy, the Whistleblowing Policy, Employee Code of Conduct and Members‟ Code of Conduct. </w:t>
      </w:r>
    </w:p>
    <w:p w14:paraId="6A268C10" w14:textId="77777777" w:rsidR="00344C2C" w:rsidRDefault="00EB4639">
      <w:pPr>
        <w:spacing w:after="0" w:line="259" w:lineRule="auto"/>
        <w:ind w:left="0" w:right="0" w:firstLine="0"/>
        <w:jc w:val="left"/>
      </w:pPr>
      <w:r>
        <w:t xml:space="preserve"> </w:t>
      </w:r>
    </w:p>
    <w:p w14:paraId="781956C4" w14:textId="0E822E47" w:rsidR="00344C2C" w:rsidRDefault="00EB4639" w:rsidP="00193793">
      <w:pPr>
        <w:ind w:left="703" w:right="0"/>
      </w:pPr>
      <w:r>
        <w:lastRenderedPageBreak/>
        <w:t xml:space="preserve">3.3 </w:t>
      </w:r>
      <w:r w:rsidR="00193793">
        <w:tab/>
      </w:r>
      <w:r>
        <w:t xml:space="preserve">Failure by a Council employee to comply with the procedures set out in this Policy may lead to disciplinary action being taken against them. Any disciplinary action will be dealt with in accordance with the </w:t>
      </w:r>
      <w:r w:rsidR="0061422F">
        <w:t>Council’s</w:t>
      </w:r>
      <w:r>
        <w:t xml:space="preserve"> Disciplinary Policy. </w:t>
      </w:r>
    </w:p>
    <w:p w14:paraId="0CEC25FE" w14:textId="72F6F1BE" w:rsidR="00344C2C" w:rsidRDefault="00344C2C">
      <w:pPr>
        <w:spacing w:after="0" w:line="259" w:lineRule="auto"/>
        <w:ind w:left="0" w:right="0" w:firstLine="0"/>
        <w:jc w:val="left"/>
      </w:pPr>
    </w:p>
    <w:p w14:paraId="5A7A4143" w14:textId="77777777" w:rsidR="00344C2C" w:rsidRDefault="00EB4639">
      <w:pPr>
        <w:numPr>
          <w:ilvl w:val="0"/>
          <w:numId w:val="2"/>
        </w:numPr>
        <w:ind w:right="0" w:hanging="720"/>
        <w:jc w:val="left"/>
      </w:pPr>
      <w:r>
        <w:rPr>
          <w:b/>
          <w:color w:val="538135"/>
        </w:rPr>
        <w:t xml:space="preserve">What are the obligations on the Council? </w:t>
      </w:r>
    </w:p>
    <w:p w14:paraId="1F2685D4" w14:textId="77777777" w:rsidR="00344C2C" w:rsidRDefault="00EB4639">
      <w:pPr>
        <w:spacing w:after="17" w:line="259" w:lineRule="auto"/>
        <w:ind w:left="0" w:right="0" w:firstLine="0"/>
        <w:jc w:val="left"/>
      </w:pPr>
      <w:r>
        <w:rPr>
          <w:b/>
          <w:color w:val="006600"/>
        </w:rPr>
        <w:t xml:space="preserve"> </w:t>
      </w:r>
    </w:p>
    <w:p w14:paraId="23E8CB5E" w14:textId="77777777" w:rsidR="00344C2C" w:rsidRDefault="00EB4639" w:rsidP="00193793">
      <w:pPr>
        <w:numPr>
          <w:ilvl w:val="1"/>
          <w:numId w:val="2"/>
        </w:numPr>
        <w:ind w:left="709" w:right="0" w:hanging="698"/>
      </w:pPr>
      <w:r>
        <w:t xml:space="preserve">Organisations conducting “relevant business” must: </w:t>
      </w:r>
    </w:p>
    <w:p w14:paraId="34CE9537" w14:textId="4A1E073C" w:rsidR="00344C2C" w:rsidRDefault="00EB4639" w:rsidP="00193793">
      <w:pPr>
        <w:numPr>
          <w:ilvl w:val="2"/>
          <w:numId w:val="2"/>
        </w:numPr>
        <w:spacing w:after="29"/>
        <w:ind w:left="1418" w:right="0" w:hanging="698"/>
      </w:pPr>
      <w:r>
        <w:t xml:space="preserve">appoint a MLRO to receive disclosures from employees of money laundering activity (their own or anyone </w:t>
      </w:r>
      <w:r w:rsidR="0061422F">
        <w:t>else’s</w:t>
      </w:r>
      <w:proofErr w:type="gramStart"/>
      <w:r>
        <w:t>);</w:t>
      </w:r>
      <w:proofErr w:type="gramEnd"/>
      <w:r>
        <w:t xml:space="preserve"> </w:t>
      </w:r>
    </w:p>
    <w:p w14:paraId="743F1E11" w14:textId="77777777" w:rsidR="00344C2C" w:rsidRDefault="00EB4639" w:rsidP="00193793">
      <w:pPr>
        <w:numPr>
          <w:ilvl w:val="2"/>
          <w:numId w:val="2"/>
        </w:numPr>
        <w:ind w:left="1418" w:right="0" w:hanging="698"/>
      </w:pPr>
      <w:r>
        <w:t xml:space="preserve">implement a procedure to enable the reporting of suspicions of money </w:t>
      </w:r>
      <w:proofErr w:type="gramStart"/>
      <w:r>
        <w:t>laundering;</w:t>
      </w:r>
      <w:proofErr w:type="gramEnd"/>
      <w:r>
        <w:t xml:space="preserve"> </w:t>
      </w:r>
    </w:p>
    <w:p w14:paraId="34717022" w14:textId="77777777" w:rsidR="00344C2C" w:rsidRDefault="00EB4639" w:rsidP="00193793">
      <w:pPr>
        <w:numPr>
          <w:ilvl w:val="2"/>
          <w:numId w:val="2"/>
        </w:numPr>
        <w:ind w:left="1418" w:right="0" w:hanging="698"/>
      </w:pPr>
      <w:r>
        <w:t xml:space="preserve">maintain client identification procedures in certain circumstances; and </w:t>
      </w:r>
    </w:p>
    <w:p w14:paraId="7EE788DC" w14:textId="77777777" w:rsidR="00344C2C" w:rsidRDefault="00EB4639" w:rsidP="00193793">
      <w:pPr>
        <w:numPr>
          <w:ilvl w:val="2"/>
          <w:numId w:val="2"/>
        </w:numPr>
        <w:ind w:left="1418" w:right="0" w:hanging="698"/>
      </w:pPr>
      <w:r>
        <w:t xml:space="preserve">maintain record keeping procedures. </w:t>
      </w:r>
    </w:p>
    <w:p w14:paraId="137A6F30" w14:textId="77777777" w:rsidR="00344C2C" w:rsidRDefault="00EB4639" w:rsidP="00193793">
      <w:pPr>
        <w:spacing w:after="7" w:line="259" w:lineRule="auto"/>
        <w:ind w:left="709" w:right="0" w:hanging="698"/>
        <w:jc w:val="left"/>
      </w:pPr>
      <w:r>
        <w:t xml:space="preserve"> </w:t>
      </w:r>
    </w:p>
    <w:p w14:paraId="5B08434D" w14:textId="46E4EB91" w:rsidR="00344C2C" w:rsidRDefault="00EB4639" w:rsidP="00193793">
      <w:pPr>
        <w:numPr>
          <w:ilvl w:val="1"/>
          <w:numId w:val="2"/>
        </w:numPr>
        <w:ind w:left="709" w:right="0" w:hanging="698"/>
      </w:pPr>
      <w:r>
        <w:t xml:space="preserve">Not all of the </w:t>
      </w:r>
      <w:r w:rsidR="0061422F">
        <w:t>Council’s</w:t>
      </w:r>
      <w:r>
        <w:t xml:space="preserve"> business is “relevant” for the purposes of the legislation. It is mainly accountancy and financial; and company and property transactions undertaken by Legal Services. However, the safest way to ensure compliance with the law is to apply it to all areas of work undertaken by the Council; therefore, all staff are required to comply with the reporting procedure set out in section 6 below. </w:t>
      </w:r>
    </w:p>
    <w:p w14:paraId="670ACA05" w14:textId="77777777" w:rsidR="00344C2C" w:rsidRDefault="00EB4639">
      <w:pPr>
        <w:spacing w:after="0" w:line="259" w:lineRule="auto"/>
        <w:ind w:left="0" w:right="0" w:firstLine="0"/>
        <w:jc w:val="left"/>
      </w:pPr>
      <w:r>
        <w:t xml:space="preserve"> </w:t>
      </w:r>
    </w:p>
    <w:p w14:paraId="23F514FC" w14:textId="77777777" w:rsidR="00344C2C" w:rsidRDefault="00EB4639">
      <w:pPr>
        <w:pStyle w:val="Heading1"/>
        <w:tabs>
          <w:tab w:val="center" w:pos="3053"/>
        </w:tabs>
        <w:ind w:left="-15" w:firstLine="0"/>
      </w:pPr>
      <w:r>
        <w:t xml:space="preserve">5.  </w:t>
      </w:r>
      <w:r>
        <w:tab/>
        <w:t xml:space="preserve">The Money Laundering Reporting Officer </w:t>
      </w:r>
    </w:p>
    <w:p w14:paraId="0C32C1FF" w14:textId="77777777" w:rsidR="00344C2C" w:rsidRDefault="00EB4639">
      <w:pPr>
        <w:spacing w:after="0" w:line="259" w:lineRule="auto"/>
        <w:ind w:left="0" w:right="0" w:firstLine="0"/>
        <w:jc w:val="left"/>
      </w:pPr>
      <w:r>
        <w:rPr>
          <w:color w:val="006600"/>
        </w:rPr>
        <w:t xml:space="preserve"> </w:t>
      </w:r>
    </w:p>
    <w:p w14:paraId="1248FAD4" w14:textId="572DF0AB" w:rsidR="00344C2C" w:rsidRDefault="00EB4639">
      <w:pPr>
        <w:ind w:left="703" w:right="0"/>
      </w:pPr>
      <w:r>
        <w:t xml:space="preserve">5.1 </w:t>
      </w:r>
      <w:r w:rsidR="00193793">
        <w:tab/>
      </w:r>
      <w:r>
        <w:t xml:space="preserve">The officer nominated to receive disclosures about money laundering activity within the Council is the Section 151 Officer who can be contacted as follows: </w:t>
      </w:r>
    </w:p>
    <w:p w14:paraId="14CB4A6B" w14:textId="77777777" w:rsidR="00344C2C" w:rsidRDefault="00EB4639">
      <w:pPr>
        <w:spacing w:after="0" w:line="259" w:lineRule="auto"/>
        <w:ind w:left="0" w:right="0" w:firstLine="0"/>
        <w:jc w:val="left"/>
      </w:pPr>
      <w:r>
        <w:t xml:space="preserve"> </w:t>
      </w:r>
    </w:p>
    <w:p w14:paraId="55F2B593" w14:textId="77777777" w:rsidR="00344C2C" w:rsidRDefault="00EB4639">
      <w:pPr>
        <w:ind w:left="720" w:right="0" w:firstLine="0"/>
      </w:pPr>
      <w:r>
        <w:t xml:space="preserve">Section 151 Officer </w:t>
      </w:r>
    </w:p>
    <w:p w14:paraId="5B2CA5E9" w14:textId="77777777" w:rsidR="00344C2C" w:rsidRDefault="00EB4639">
      <w:pPr>
        <w:ind w:left="720" w:right="0" w:firstLine="0"/>
      </w:pPr>
      <w:r>
        <w:t xml:space="preserve">Service Director – Finance, Procurement and Improvement </w:t>
      </w:r>
    </w:p>
    <w:p w14:paraId="5AE5CFDB" w14:textId="77777777" w:rsidR="00344C2C" w:rsidRDefault="00EB4639">
      <w:pPr>
        <w:ind w:left="720" w:right="0" w:firstLine="0"/>
      </w:pPr>
      <w:r>
        <w:t xml:space="preserve">Financial Services </w:t>
      </w:r>
    </w:p>
    <w:p w14:paraId="3D63FA32" w14:textId="77777777" w:rsidR="00344C2C" w:rsidRDefault="00EB4639">
      <w:pPr>
        <w:ind w:left="720" w:right="0" w:firstLine="0"/>
      </w:pPr>
      <w:r>
        <w:t xml:space="preserve">Nottinghamshire County Council </w:t>
      </w:r>
    </w:p>
    <w:p w14:paraId="3F8230BF" w14:textId="77777777" w:rsidR="00344C2C" w:rsidRDefault="00EB4639">
      <w:pPr>
        <w:ind w:left="720" w:right="0" w:firstLine="0"/>
      </w:pPr>
      <w:r>
        <w:t xml:space="preserve">County Hall </w:t>
      </w:r>
    </w:p>
    <w:p w14:paraId="0094EE66" w14:textId="77777777" w:rsidR="00344C2C" w:rsidRDefault="00EB4639">
      <w:pPr>
        <w:ind w:left="720" w:right="0" w:firstLine="0"/>
      </w:pPr>
      <w:r>
        <w:t xml:space="preserve">Loughborough Road </w:t>
      </w:r>
    </w:p>
    <w:p w14:paraId="6C8A7ED1" w14:textId="77777777" w:rsidR="00344C2C" w:rsidRDefault="00EB4639">
      <w:pPr>
        <w:ind w:left="720" w:right="0" w:firstLine="0"/>
      </w:pPr>
      <w:r>
        <w:t xml:space="preserve">West Bridgford </w:t>
      </w:r>
    </w:p>
    <w:p w14:paraId="183007DF" w14:textId="77777777" w:rsidR="00344C2C" w:rsidRDefault="00EB4639">
      <w:pPr>
        <w:ind w:left="720" w:right="0" w:firstLine="0"/>
      </w:pPr>
      <w:r>
        <w:t xml:space="preserve">Nottingham </w:t>
      </w:r>
    </w:p>
    <w:p w14:paraId="05AAC344" w14:textId="77777777" w:rsidR="00344C2C" w:rsidRDefault="00EB4639">
      <w:pPr>
        <w:ind w:left="720" w:right="0" w:firstLine="0"/>
      </w:pPr>
      <w:r>
        <w:t xml:space="preserve">NG2 7QP </w:t>
      </w:r>
    </w:p>
    <w:p w14:paraId="0311C599" w14:textId="77777777" w:rsidR="00344C2C" w:rsidRDefault="00EB4639">
      <w:pPr>
        <w:spacing w:after="0" w:line="259" w:lineRule="auto"/>
        <w:ind w:left="720" w:right="0" w:firstLine="0"/>
        <w:jc w:val="left"/>
      </w:pPr>
      <w:r>
        <w:t xml:space="preserve"> </w:t>
      </w:r>
    </w:p>
    <w:p w14:paraId="5BD63368" w14:textId="77777777" w:rsidR="00344C2C" w:rsidRDefault="00EB4639">
      <w:pPr>
        <w:ind w:left="720" w:right="0" w:firstLine="0"/>
      </w:pPr>
      <w:r>
        <w:t xml:space="preserve">Telephone – 0115 9773033 </w:t>
      </w:r>
    </w:p>
    <w:p w14:paraId="791B76AF" w14:textId="7C991F75" w:rsidR="00344C2C" w:rsidRDefault="00344C2C">
      <w:pPr>
        <w:spacing w:after="0" w:line="259" w:lineRule="auto"/>
        <w:ind w:left="720" w:right="0" w:firstLine="0"/>
        <w:jc w:val="left"/>
      </w:pPr>
    </w:p>
    <w:p w14:paraId="2F775718" w14:textId="3D940E60" w:rsidR="00344C2C" w:rsidRDefault="00EB4639" w:rsidP="0061422F">
      <w:pPr>
        <w:spacing w:after="0" w:line="259" w:lineRule="auto"/>
        <w:ind w:left="709" w:right="0" w:hanging="709"/>
        <w:jc w:val="left"/>
      </w:pPr>
      <w:r>
        <w:t xml:space="preserve"> 5.2 </w:t>
      </w:r>
      <w:r w:rsidR="00193793">
        <w:tab/>
      </w:r>
      <w:r>
        <w:t>In the absence of the MLRO disclosures will be received by the Head of Internal Audit – 0115 977</w:t>
      </w:r>
      <w:r w:rsidR="0061422F">
        <w:t>4832</w:t>
      </w:r>
      <w:r>
        <w:t xml:space="preserve">. </w:t>
      </w:r>
    </w:p>
    <w:p w14:paraId="10551355" w14:textId="77777777" w:rsidR="00344C2C" w:rsidRDefault="00EB4639">
      <w:pPr>
        <w:spacing w:after="0" w:line="259" w:lineRule="auto"/>
        <w:ind w:left="0" w:right="0" w:firstLine="0"/>
        <w:jc w:val="left"/>
      </w:pPr>
      <w:r>
        <w:t xml:space="preserve"> </w:t>
      </w:r>
    </w:p>
    <w:p w14:paraId="2AD34EAA" w14:textId="77777777" w:rsidR="00344C2C" w:rsidRDefault="00EB4639">
      <w:pPr>
        <w:tabs>
          <w:tab w:val="center" w:pos="1959"/>
        </w:tabs>
        <w:ind w:left="-15" w:right="0" w:firstLine="0"/>
        <w:jc w:val="left"/>
      </w:pPr>
      <w:r>
        <w:rPr>
          <w:b/>
          <w:color w:val="538135"/>
        </w:rPr>
        <w:t xml:space="preserve">6.  </w:t>
      </w:r>
      <w:r>
        <w:rPr>
          <w:b/>
          <w:color w:val="538135"/>
        </w:rPr>
        <w:tab/>
        <w:t xml:space="preserve">Disclosure Procedure </w:t>
      </w:r>
    </w:p>
    <w:p w14:paraId="077D9EBC" w14:textId="77777777" w:rsidR="00344C2C" w:rsidRDefault="00EB4639">
      <w:pPr>
        <w:spacing w:after="0" w:line="259" w:lineRule="auto"/>
        <w:ind w:left="0" w:right="0" w:firstLine="0"/>
        <w:jc w:val="left"/>
      </w:pPr>
      <w:r>
        <w:rPr>
          <w:color w:val="006600"/>
        </w:rPr>
        <w:t xml:space="preserve"> </w:t>
      </w:r>
    </w:p>
    <w:p w14:paraId="793F5701" w14:textId="77777777" w:rsidR="00344C2C" w:rsidRDefault="00EB4639">
      <w:pPr>
        <w:pStyle w:val="Heading1"/>
        <w:ind w:left="730"/>
      </w:pPr>
      <w:r>
        <w:t xml:space="preserve">Cash Payments </w:t>
      </w:r>
    </w:p>
    <w:p w14:paraId="0DF9B0DC" w14:textId="75E383B6" w:rsidR="00344C2C" w:rsidRDefault="00EB4639">
      <w:pPr>
        <w:ind w:left="703" w:right="0"/>
      </w:pPr>
      <w:r>
        <w:t xml:space="preserve">6.1 </w:t>
      </w:r>
      <w:r w:rsidR="00193793">
        <w:tab/>
      </w:r>
      <w:r>
        <w:t xml:space="preserve">No payment to the Council should automatically be accepted in cash (including notes, coins or </w:t>
      </w:r>
      <w:proofErr w:type="gramStart"/>
      <w:r>
        <w:t>travellers</w:t>
      </w:r>
      <w:proofErr w:type="gramEnd"/>
      <w:r>
        <w:t xml:space="preserve"> cheques in any currency) if it exceeds £1,000.  This does not, however, mean that cash transactions below this </w:t>
      </w:r>
    </w:p>
    <w:p w14:paraId="3F02A630" w14:textId="77777777" w:rsidR="00344C2C" w:rsidRDefault="00EB4639">
      <w:pPr>
        <w:ind w:left="720" w:right="0" w:firstLine="0"/>
      </w:pPr>
      <w:r>
        <w:lastRenderedPageBreak/>
        <w:t xml:space="preserve">value will be valid and legal and should not raise suspicion. Professional scepticism should be retained at all times. </w:t>
      </w:r>
    </w:p>
    <w:p w14:paraId="63AE571A" w14:textId="77777777" w:rsidR="00344C2C" w:rsidRDefault="00EB4639">
      <w:pPr>
        <w:spacing w:after="0" w:line="259" w:lineRule="auto"/>
        <w:ind w:left="0" w:right="0" w:firstLine="0"/>
        <w:jc w:val="left"/>
      </w:pPr>
      <w:r>
        <w:t xml:space="preserve"> </w:t>
      </w:r>
    </w:p>
    <w:p w14:paraId="32506E37" w14:textId="1D26D5C4" w:rsidR="00344C2C" w:rsidRDefault="00EB4639">
      <w:pPr>
        <w:ind w:left="703" w:right="0"/>
      </w:pPr>
      <w:r>
        <w:t xml:space="preserve">6.2 </w:t>
      </w:r>
      <w:r w:rsidR="00193793">
        <w:tab/>
      </w:r>
      <w:r>
        <w:t xml:space="preserve">Staff who collect cash payments are asked to provide the details of any cash transaction over £1,000 to the MLRO so that precautionary checks can be performed. </w:t>
      </w:r>
    </w:p>
    <w:p w14:paraId="52A111CA" w14:textId="77777777" w:rsidR="00344C2C" w:rsidRDefault="00EB4639">
      <w:pPr>
        <w:spacing w:after="0" w:line="259" w:lineRule="auto"/>
        <w:ind w:left="0" w:right="0" w:firstLine="0"/>
        <w:jc w:val="left"/>
      </w:pPr>
      <w:r>
        <w:t xml:space="preserve"> </w:t>
      </w:r>
    </w:p>
    <w:p w14:paraId="08345C1C" w14:textId="14A29EB9" w:rsidR="00344C2C" w:rsidRDefault="00EB4639">
      <w:pPr>
        <w:ind w:left="703" w:right="0"/>
      </w:pPr>
      <w:r>
        <w:t xml:space="preserve">6.3 </w:t>
      </w:r>
      <w:r w:rsidR="00193793">
        <w:tab/>
      </w:r>
      <w:r>
        <w:t xml:space="preserve">The Council, in the normal operation of its services, accepts payments from individuals and organisations. If an employee has no reason to suspect or know that money laundering activity is taking place and if the money offered is less than £1,000 in cash as payment or part payment for goods/services offered by the Council then there is no need to seek guidance from the MLRO. </w:t>
      </w:r>
    </w:p>
    <w:p w14:paraId="5BBE5CF6" w14:textId="77777777" w:rsidR="00344C2C" w:rsidRDefault="00EB4639">
      <w:pPr>
        <w:spacing w:after="0" w:line="259" w:lineRule="auto"/>
        <w:ind w:left="0" w:right="0" w:firstLine="0"/>
        <w:jc w:val="left"/>
      </w:pPr>
      <w:r>
        <w:t xml:space="preserve"> </w:t>
      </w:r>
    </w:p>
    <w:p w14:paraId="31012B73" w14:textId="2C2E8B67" w:rsidR="00344C2C" w:rsidRDefault="00EB4639">
      <w:pPr>
        <w:ind w:left="703" w:right="0"/>
      </w:pPr>
      <w:r>
        <w:t xml:space="preserve">6.4 </w:t>
      </w:r>
      <w:r w:rsidR="00193793">
        <w:tab/>
      </w:r>
      <w:r>
        <w:t xml:space="preserve">If a member of staff has reasonable grounds to suspect money laundering activities or proceeds of crime, or is simply suspicious, the matter should still be reported to the MLRO. If the money offered is £1,000 or more in </w:t>
      </w:r>
      <w:proofErr w:type="gramStart"/>
      <w:r>
        <w:t>cash</w:t>
      </w:r>
      <w:proofErr w:type="gramEnd"/>
      <w:r>
        <w:t xml:space="preserve"> then payment must not be accepted until guidance has been received from the MLRO even if this means the person has to be asked to wait. </w:t>
      </w:r>
    </w:p>
    <w:p w14:paraId="14ECABB4" w14:textId="77777777" w:rsidR="00344C2C" w:rsidRDefault="00EB4639">
      <w:pPr>
        <w:spacing w:after="0" w:line="259" w:lineRule="auto"/>
        <w:ind w:left="0" w:right="0" w:firstLine="0"/>
        <w:jc w:val="left"/>
      </w:pPr>
      <w:r>
        <w:t xml:space="preserve"> </w:t>
      </w:r>
    </w:p>
    <w:p w14:paraId="5683D276" w14:textId="3DAFD262" w:rsidR="00344C2C" w:rsidRDefault="00EB4639">
      <w:pPr>
        <w:ind w:left="703" w:right="0"/>
      </w:pPr>
      <w:r>
        <w:t xml:space="preserve">6.5 </w:t>
      </w:r>
      <w:r w:rsidR="00193793">
        <w:tab/>
      </w:r>
      <w:r>
        <w:t xml:space="preserve">Any officer involved in a transaction of this kind should ensure that the person provides satisfactory evidence of their identity personally, through passport/photo driving licence plus one other document providing evidence of current address in the form of a bank statement, credit card statement, mortgage or insurance details or a utility bill. Where the other party is a company, this can be done through company formation documents or business rate bill. </w:t>
      </w:r>
    </w:p>
    <w:p w14:paraId="1A2DC9F1" w14:textId="77777777" w:rsidR="00344C2C" w:rsidRDefault="00EB4639">
      <w:pPr>
        <w:spacing w:after="0" w:line="259" w:lineRule="auto"/>
        <w:ind w:left="0" w:right="0" w:firstLine="0"/>
        <w:jc w:val="left"/>
      </w:pPr>
      <w:r>
        <w:t xml:space="preserve"> </w:t>
      </w:r>
    </w:p>
    <w:p w14:paraId="69A8EA8E" w14:textId="77777777" w:rsidR="00344C2C" w:rsidRDefault="00EB4639">
      <w:pPr>
        <w:pStyle w:val="Heading1"/>
        <w:ind w:left="730"/>
      </w:pPr>
      <w:r>
        <w:t xml:space="preserve">Reporting to the Money Laundering Reporting Officer </w:t>
      </w:r>
    </w:p>
    <w:p w14:paraId="103B38C8" w14:textId="333601E1" w:rsidR="00344C2C" w:rsidRDefault="00EB4639">
      <w:pPr>
        <w:ind w:left="703" w:right="0"/>
      </w:pPr>
      <w:r>
        <w:t xml:space="preserve">6.6 </w:t>
      </w:r>
      <w:r w:rsidR="00193793">
        <w:tab/>
      </w:r>
      <w:r>
        <w:t xml:space="preserve">Any employee who becomes concerned that their involvement in a matter may amount to a prohibited act under the legislation, must disclose this promptly to the MLRO or deputy. The disclosure should be at the earliest opportunity of the information coming to your attention, not weeks or months later. Should you not do so, then you may be liable to prosecution. </w:t>
      </w:r>
    </w:p>
    <w:p w14:paraId="4AFE1969" w14:textId="77777777" w:rsidR="00344C2C" w:rsidRDefault="00EB4639">
      <w:pPr>
        <w:spacing w:after="0" w:line="259" w:lineRule="auto"/>
        <w:ind w:left="0" w:right="0" w:firstLine="0"/>
        <w:jc w:val="left"/>
      </w:pPr>
      <w:r>
        <w:t xml:space="preserve"> </w:t>
      </w:r>
    </w:p>
    <w:p w14:paraId="1121B94C" w14:textId="39F2F565" w:rsidR="00344C2C" w:rsidRDefault="00EB4639">
      <w:pPr>
        <w:ind w:left="703" w:right="0"/>
      </w:pPr>
      <w:r>
        <w:t xml:space="preserve">6.7 </w:t>
      </w:r>
      <w:r w:rsidR="00193793">
        <w:tab/>
      </w:r>
      <w:r>
        <w:t xml:space="preserve">The employee must follow any subsequent directions from the MLRO or deputy and must not make any further enquiries themselves into the matter. Additionally, they must not take any further steps in the transaction without authorisation from the MLRO or deputy. </w:t>
      </w:r>
    </w:p>
    <w:p w14:paraId="55CE5E84" w14:textId="77777777" w:rsidR="00344C2C" w:rsidRDefault="00EB4639">
      <w:pPr>
        <w:spacing w:after="0" w:line="259" w:lineRule="auto"/>
        <w:ind w:left="0" w:right="0" w:firstLine="0"/>
        <w:jc w:val="left"/>
      </w:pPr>
      <w:r>
        <w:t xml:space="preserve"> </w:t>
      </w:r>
    </w:p>
    <w:p w14:paraId="690CD9D9" w14:textId="38BD09AB" w:rsidR="00344C2C" w:rsidRDefault="00EB4639">
      <w:pPr>
        <w:ind w:left="703" w:right="0"/>
      </w:pPr>
      <w:r>
        <w:t xml:space="preserve">6.8 </w:t>
      </w:r>
      <w:r w:rsidR="00193793">
        <w:tab/>
      </w:r>
      <w:r>
        <w:t xml:space="preserve">The employee must not disclose or otherwise indicate their suspicions to the person(s) suspected of money laundering. The person concerned should be advised that routine Council procedures require secondary authorisation prior to large cash amounts being processed. The employee must not discuss the matter with others or note on a file that a report has been made to the MLRO in case this results in the suspect becoming aware of the suspicion. </w:t>
      </w:r>
    </w:p>
    <w:p w14:paraId="2D0E4940" w14:textId="77777777" w:rsidR="00344C2C" w:rsidRDefault="00EB4639">
      <w:pPr>
        <w:spacing w:after="0" w:line="259" w:lineRule="auto"/>
        <w:ind w:left="0" w:right="0" w:firstLine="0"/>
        <w:jc w:val="left"/>
      </w:pPr>
      <w:r>
        <w:t xml:space="preserve"> </w:t>
      </w:r>
    </w:p>
    <w:p w14:paraId="181CF9EA" w14:textId="77777777" w:rsidR="00344C2C" w:rsidRDefault="00EB4639">
      <w:pPr>
        <w:pStyle w:val="Heading1"/>
        <w:ind w:left="730"/>
      </w:pPr>
      <w:r>
        <w:lastRenderedPageBreak/>
        <w:t xml:space="preserve">Consideration of the disclosure by the Money Laundering Reporting Officer </w:t>
      </w:r>
    </w:p>
    <w:p w14:paraId="2AAC3B6F" w14:textId="2EDB5B36" w:rsidR="00344C2C" w:rsidRDefault="00EB4639">
      <w:pPr>
        <w:ind w:left="703" w:right="0"/>
      </w:pPr>
      <w:r>
        <w:t xml:space="preserve">6.9 </w:t>
      </w:r>
      <w:r w:rsidR="00193793">
        <w:tab/>
      </w:r>
      <w:r>
        <w:t xml:space="preserve">The MLRO or deputy must promptly evaluate any disclosure to determine whether it should be reported to the National Crime Agency (NCA). </w:t>
      </w:r>
    </w:p>
    <w:p w14:paraId="2C70D85C" w14:textId="77777777" w:rsidR="00344C2C" w:rsidRDefault="00EB4639">
      <w:pPr>
        <w:spacing w:after="0" w:line="259" w:lineRule="auto"/>
        <w:ind w:left="0" w:right="0" w:firstLine="0"/>
        <w:jc w:val="left"/>
      </w:pPr>
      <w:r>
        <w:t xml:space="preserve"> </w:t>
      </w:r>
    </w:p>
    <w:p w14:paraId="0028FC65" w14:textId="4728C721" w:rsidR="00344C2C" w:rsidRDefault="00EB4639">
      <w:pPr>
        <w:ind w:left="703" w:right="0"/>
      </w:pPr>
      <w:r>
        <w:t xml:space="preserve">6.10 </w:t>
      </w:r>
      <w:r w:rsidR="00193793">
        <w:tab/>
      </w:r>
      <w:r>
        <w:t xml:space="preserve">The MLRO or deputy must, if they so determine, promptly report the matter to the NCA on their standard report form and in the prescribed manner. Up to date contact details can be found on the NCA website at: </w:t>
      </w:r>
    </w:p>
    <w:p w14:paraId="3F67604B" w14:textId="77777777" w:rsidR="00344C2C" w:rsidRDefault="00EB4639">
      <w:pPr>
        <w:spacing w:after="7" w:line="251" w:lineRule="auto"/>
        <w:ind w:left="730" w:right="0" w:hanging="10"/>
        <w:jc w:val="left"/>
      </w:pPr>
      <w:hyperlink r:id="rId8">
        <w:r>
          <w:rPr>
            <w:color w:val="0563C1"/>
            <w:u w:val="single" w:color="0563C1"/>
          </w:rPr>
          <w:t>http://www.nationalcrimeagency.gov.uk/</w:t>
        </w:r>
      </w:hyperlink>
      <w:hyperlink r:id="rId9">
        <w:r>
          <w:rPr>
            <w:color w:val="0000FF"/>
          </w:rPr>
          <w:t xml:space="preserve"> </w:t>
        </w:r>
      </w:hyperlink>
      <w:r>
        <w:t xml:space="preserve">(main NCA website) </w:t>
      </w:r>
    </w:p>
    <w:p w14:paraId="7BE60086" w14:textId="77777777" w:rsidR="00344C2C" w:rsidRDefault="00EB4639">
      <w:pPr>
        <w:spacing w:after="0" w:line="259" w:lineRule="auto"/>
        <w:ind w:left="0" w:right="0" w:firstLine="0"/>
        <w:jc w:val="left"/>
      </w:pPr>
      <w:r>
        <w:rPr>
          <w:color w:val="0000FF"/>
        </w:rPr>
        <w:t xml:space="preserve"> </w:t>
      </w:r>
    </w:p>
    <w:p w14:paraId="41AF16C1" w14:textId="026C06F2" w:rsidR="00344C2C" w:rsidRDefault="00EB4639">
      <w:pPr>
        <w:ind w:left="703" w:right="0"/>
      </w:pPr>
      <w:r>
        <w:t xml:space="preserve">6.11 </w:t>
      </w:r>
      <w:r w:rsidR="00193793">
        <w:tab/>
      </w:r>
      <w:r>
        <w:t xml:space="preserve">All disclosure reports referred to the MLRO or deputy and reports made to the NCA must be retained by the MLRO in a confidential file kept for that purpose, for a minimum of five years. The Money Laundering Disclosure Form (Appendix 1) should be used by the MLRO to record any action taken. </w:t>
      </w:r>
    </w:p>
    <w:p w14:paraId="7508D08A" w14:textId="77777777" w:rsidR="00344C2C" w:rsidRDefault="00EB4639">
      <w:pPr>
        <w:spacing w:after="0" w:line="259" w:lineRule="auto"/>
        <w:ind w:left="0" w:right="0" w:firstLine="0"/>
        <w:jc w:val="left"/>
      </w:pPr>
      <w:r>
        <w:t xml:space="preserve"> </w:t>
      </w:r>
    </w:p>
    <w:p w14:paraId="6E352395" w14:textId="4281FFD6" w:rsidR="00344C2C" w:rsidRDefault="00EB4639">
      <w:pPr>
        <w:ind w:left="703" w:right="0"/>
      </w:pPr>
      <w:r>
        <w:t xml:space="preserve">6.12 </w:t>
      </w:r>
      <w:r w:rsidR="0061422F">
        <w:tab/>
      </w:r>
      <w:r>
        <w:t xml:space="preserve">The MLRO or deputy will commit a criminal offence if they know or suspect, or </w:t>
      </w:r>
      <w:r w:rsidR="0061422F">
        <w:t>h</w:t>
      </w:r>
      <w:r>
        <w:t xml:space="preserve">ave reasonable grounds to do so, through a disclosure being made to them, that another person is engaged in money laundering and they do not disclose this as soon as practicable to the NCA. </w:t>
      </w:r>
    </w:p>
    <w:p w14:paraId="41F07E8B" w14:textId="77777777" w:rsidR="00344C2C" w:rsidRDefault="00EB4639">
      <w:pPr>
        <w:spacing w:after="0" w:line="259" w:lineRule="auto"/>
        <w:ind w:left="0" w:right="0" w:firstLine="0"/>
        <w:jc w:val="left"/>
      </w:pPr>
      <w:r>
        <w:t xml:space="preserve"> </w:t>
      </w:r>
    </w:p>
    <w:p w14:paraId="42338079" w14:textId="77777777" w:rsidR="00344C2C" w:rsidRDefault="00EB4639">
      <w:pPr>
        <w:pStyle w:val="Heading1"/>
        <w:tabs>
          <w:tab w:val="center" w:pos="1641"/>
        </w:tabs>
        <w:ind w:left="-15" w:firstLine="0"/>
      </w:pPr>
      <w:r>
        <w:t xml:space="preserve">7. </w:t>
      </w:r>
      <w:r>
        <w:tab/>
        <w:t xml:space="preserve">Record Keeping </w:t>
      </w:r>
    </w:p>
    <w:p w14:paraId="4CD483F6" w14:textId="77777777" w:rsidR="00344C2C" w:rsidRDefault="00EB4639">
      <w:pPr>
        <w:spacing w:after="0" w:line="259" w:lineRule="auto"/>
        <w:ind w:left="0" w:right="0" w:firstLine="0"/>
        <w:jc w:val="left"/>
      </w:pPr>
      <w:r>
        <w:rPr>
          <w:color w:val="006600"/>
        </w:rPr>
        <w:t xml:space="preserve"> </w:t>
      </w:r>
    </w:p>
    <w:p w14:paraId="0FD764B0" w14:textId="08DD693E" w:rsidR="00344C2C" w:rsidRDefault="00EB4639">
      <w:pPr>
        <w:ind w:left="703" w:right="0"/>
      </w:pPr>
      <w:r>
        <w:t xml:space="preserve">7.1 </w:t>
      </w:r>
      <w:r w:rsidR="00193793">
        <w:tab/>
      </w:r>
      <w:r>
        <w:t xml:space="preserve">The MLRO will keep a record of all referrals made to them and of any action taken / not taken. The precise nature of these records is not set down in law but should be capable of providing an audit trail during any subsequent investigation. </w:t>
      </w:r>
    </w:p>
    <w:p w14:paraId="553E7221" w14:textId="77777777" w:rsidR="00344C2C" w:rsidRDefault="00EB4639">
      <w:pPr>
        <w:spacing w:after="0" w:line="259" w:lineRule="auto"/>
        <w:ind w:left="0" w:right="0" w:firstLine="0"/>
        <w:jc w:val="left"/>
      </w:pPr>
      <w:r>
        <w:t xml:space="preserve"> </w:t>
      </w:r>
    </w:p>
    <w:p w14:paraId="57AD2CAF" w14:textId="77777777" w:rsidR="00344C2C" w:rsidRDefault="00EB4639">
      <w:pPr>
        <w:pStyle w:val="Heading1"/>
        <w:tabs>
          <w:tab w:val="center" w:pos="2019"/>
        </w:tabs>
        <w:ind w:left="-15" w:firstLine="0"/>
      </w:pPr>
      <w:r>
        <w:t xml:space="preserve">8.  </w:t>
      </w:r>
      <w:r>
        <w:tab/>
        <w:t xml:space="preserve">Guidance and Training </w:t>
      </w:r>
    </w:p>
    <w:p w14:paraId="29982778" w14:textId="77777777" w:rsidR="00344C2C" w:rsidRDefault="00EB4639">
      <w:pPr>
        <w:spacing w:after="0" w:line="259" w:lineRule="auto"/>
        <w:ind w:left="0" w:right="0" w:firstLine="0"/>
        <w:jc w:val="left"/>
      </w:pPr>
      <w:r>
        <w:rPr>
          <w:color w:val="006600"/>
        </w:rPr>
        <w:t xml:space="preserve"> </w:t>
      </w:r>
    </w:p>
    <w:p w14:paraId="4D2EDDAA" w14:textId="46C8A68E" w:rsidR="00344C2C" w:rsidRDefault="00EB4639">
      <w:pPr>
        <w:tabs>
          <w:tab w:val="center" w:pos="2848"/>
        </w:tabs>
        <w:ind w:left="-15" w:right="0" w:firstLine="0"/>
        <w:jc w:val="left"/>
      </w:pPr>
      <w:r>
        <w:t xml:space="preserve">8.1 </w:t>
      </w:r>
      <w:r w:rsidR="00193793">
        <w:tab/>
      </w:r>
      <w:r>
        <w:t xml:space="preserve">In support of this policy, the Council will: </w:t>
      </w:r>
    </w:p>
    <w:p w14:paraId="19FAB002" w14:textId="77777777" w:rsidR="00344C2C" w:rsidRDefault="00EB4639" w:rsidP="00193793">
      <w:pPr>
        <w:numPr>
          <w:ilvl w:val="0"/>
          <w:numId w:val="3"/>
        </w:numPr>
        <w:ind w:left="1134" w:right="0" w:hanging="360"/>
      </w:pPr>
      <w:r>
        <w:t xml:space="preserve">make all staff aware of the requirements and obligations placed on the Council and on themselves as individuals by the anti-money laundering legislation; and </w:t>
      </w:r>
    </w:p>
    <w:p w14:paraId="413EE9C2" w14:textId="77777777" w:rsidR="00344C2C" w:rsidRDefault="00EB4639" w:rsidP="00193793">
      <w:pPr>
        <w:numPr>
          <w:ilvl w:val="0"/>
          <w:numId w:val="3"/>
        </w:numPr>
        <w:ind w:left="1134" w:right="0" w:hanging="360"/>
      </w:pPr>
      <w:r>
        <w:t xml:space="preserve">give targeted training to those most likely to encounter money laundering. </w:t>
      </w:r>
    </w:p>
    <w:p w14:paraId="259A97B0" w14:textId="77777777" w:rsidR="00344C2C" w:rsidRDefault="00EB4639">
      <w:pPr>
        <w:spacing w:after="0" w:line="259" w:lineRule="auto"/>
        <w:ind w:left="0" w:right="0" w:firstLine="0"/>
        <w:jc w:val="left"/>
      </w:pPr>
      <w:r>
        <w:t xml:space="preserve"> </w:t>
      </w:r>
    </w:p>
    <w:p w14:paraId="36B9F71B" w14:textId="77777777" w:rsidR="00344C2C" w:rsidRDefault="00EB4639">
      <w:pPr>
        <w:pStyle w:val="Heading1"/>
        <w:tabs>
          <w:tab w:val="center" w:pos="1867"/>
        </w:tabs>
        <w:ind w:left="-15" w:firstLine="0"/>
      </w:pPr>
      <w:r>
        <w:t xml:space="preserve">9. </w:t>
      </w:r>
      <w:r>
        <w:tab/>
        <w:t xml:space="preserve"> Further Information </w:t>
      </w:r>
    </w:p>
    <w:p w14:paraId="17499B2E" w14:textId="77777777" w:rsidR="00344C2C" w:rsidRDefault="00EB4639">
      <w:pPr>
        <w:spacing w:after="0" w:line="259" w:lineRule="auto"/>
        <w:ind w:left="0" w:right="0" w:firstLine="0"/>
        <w:jc w:val="left"/>
      </w:pPr>
      <w:r>
        <w:rPr>
          <w:color w:val="006600"/>
        </w:rPr>
        <w:t xml:space="preserve"> </w:t>
      </w:r>
    </w:p>
    <w:p w14:paraId="7DD2FB6A" w14:textId="10407A5B" w:rsidR="00344C2C" w:rsidRDefault="00EB4639">
      <w:pPr>
        <w:ind w:left="-15" w:right="0" w:firstLine="0"/>
      </w:pPr>
      <w:r>
        <w:t xml:space="preserve">9.1 </w:t>
      </w:r>
      <w:r w:rsidR="00193793">
        <w:tab/>
      </w:r>
      <w:r>
        <w:t xml:space="preserve">Further information can be obtained from the MLRO and the following sources: </w:t>
      </w:r>
    </w:p>
    <w:p w14:paraId="22040B32" w14:textId="77777777" w:rsidR="00344C2C" w:rsidRDefault="00EB4639">
      <w:pPr>
        <w:numPr>
          <w:ilvl w:val="0"/>
          <w:numId w:val="4"/>
        </w:numPr>
        <w:spacing w:after="7" w:line="251" w:lineRule="auto"/>
        <w:ind w:right="0" w:hanging="360"/>
        <w:jc w:val="left"/>
      </w:pPr>
      <w:r>
        <w:t xml:space="preserve">National </w:t>
      </w:r>
      <w:r>
        <w:tab/>
        <w:t xml:space="preserve">Crime </w:t>
      </w:r>
      <w:r>
        <w:tab/>
        <w:t xml:space="preserve">Agency </w:t>
      </w:r>
      <w:r>
        <w:tab/>
        <w:t xml:space="preserve">(NCA) </w:t>
      </w:r>
      <w:r>
        <w:tab/>
        <w:t xml:space="preserve">– </w:t>
      </w:r>
      <w:hyperlink r:id="rId10">
        <w:r>
          <w:rPr>
            <w:color w:val="0563C1"/>
            <w:u w:val="single" w:color="0563C1"/>
          </w:rPr>
          <w:t>http://www.nationalcrimeagency.gov.uk</w:t>
        </w:r>
      </w:hyperlink>
      <w:hyperlink r:id="rId11">
        <w:r>
          <w:rPr>
            <w:color w:val="0000FF"/>
          </w:rPr>
          <w:t xml:space="preserve"> </w:t>
        </w:r>
      </w:hyperlink>
    </w:p>
    <w:p w14:paraId="102E300B" w14:textId="2126110C" w:rsidR="00344C2C" w:rsidRDefault="00EB4639">
      <w:pPr>
        <w:numPr>
          <w:ilvl w:val="0"/>
          <w:numId w:val="4"/>
        </w:numPr>
        <w:spacing w:after="7" w:line="251" w:lineRule="auto"/>
        <w:ind w:right="0" w:hanging="360"/>
        <w:jc w:val="left"/>
      </w:pPr>
      <w:r>
        <w:t xml:space="preserve">CIPFA - </w:t>
      </w:r>
      <w:hyperlink r:id="rId12" w:history="1">
        <w:r w:rsidR="000547A7" w:rsidRPr="000547A7">
          <w:rPr>
            <w:rStyle w:val="Hyperlink"/>
          </w:rPr>
          <w:t>Anti-Money Laundering | CIPFA</w:t>
        </w:r>
      </w:hyperlink>
      <w:hyperlink r:id="rId13">
        <w:r>
          <w:rPr>
            <w:color w:val="0000FF"/>
          </w:rPr>
          <w:t xml:space="preserve"> </w:t>
        </w:r>
      </w:hyperlink>
    </w:p>
    <w:p w14:paraId="3687D862" w14:textId="71FB6569" w:rsidR="000547A7" w:rsidRDefault="00EB4639" w:rsidP="000547A7">
      <w:pPr>
        <w:numPr>
          <w:ilvl w:val="0"/>
          <w:numId w:val="4"/>
        </w:numPr>
        <w:ind w:right="0" w:hanging="360"/>
        <w:jc w:val="left"/>
      </w:pPr>
      <w:r>
        <w:t xml:space="preserve">CCAB - Anti-Money Laundering </w:t>
      </w:r>
      <w:r w:rsidR="000547A7">
        <w:t>and Counter-Terrorist Financing Guidance for the Accountancy sector 2023</w:t>
      </w:r>
      <w:r>
        <w:t xml:space="preserve"> </w:t>
      </w:r>
      <w:hyperlink r:id="rId14" w:history="1">
        <w:r w:rsidR="000547A7">
          <w:rPr>
            <w:rStyle w:val="Hyperlink"/>
          </w:rPr>
          <w:t>www.ccab.org.uk</w:t>
        </w:r>
      </w:hyperlink>
    </w:p>
    <w:p w14:paraId="302A8284" w14:textId="315C21C2" w:rsidR="00344C2C" w:rsidRDefault="00EB4639" w:rsidP="000547A7">
      <w:pPr>
        <w:numPr>
          <w:ilvl w:val="0"/>
          <w:numId w:val="4"/>
        </w:numPr>
        <w:ind w:right="0" w:hanging="360"/>
        <w:jc w:val="left"/>
      </w:pPr>
      <w:r>
        <w:t xml:space="preserve">The Law Society - Anti-Money Laundering Guidance and Advice </w:t>
      </w:r>
      <w:hyperlink r:id="rId15">
        <w:r w:rsidRPr="000547A7">
          <w:rPr>
            <w:color w:val="0563C1"/>
            <w:u w:val="single" w:color="0563C1"/>
          </w:rPr>
          <w:t>http://www.lawsociety.org.uk/advice/anti</w:t>
        </w:r>
      </w:hyperlink>
      <w:hyperlink r:id="rId16">
        <w:r w:rsidRPr="000547A7">
          <w:rPr>
            <w:color w:val="0563C1"/>
            <w:u w:val="single" w:color="0563C1"/>
          </w:rPr>
          <w:t>-</w:t>
        </w:r>
      </w:hyperlink>
      <w:hyperlink r:id="rId17">
        <w:r w:rsidRPr="000547A7">
          <w:rPr>
            <w:color w:val="0563C1"/>
            <w:u w:val="single" w:color="0563C1"/>
          </w:rPr>
          <w:t>money</w:t>
        </w:r>
      </w:hyperlink>
      <w:hyperlink r:id="rId18">
        <w:r w:rsidRPr="000547A7">
          <w:rPr>
            <w:color w:val="0563C1"/>
            <w:u w:val="single" w:color="0563C1"/>
          </w:rPr>
          <w:t>-</w:t>
        </w:r>
      </w:hyperlink>
      <w:hyperlink r:id="rId19">
        <w:r w:rsidRPr="000547A7">
          <w:rPr>
            <w:color w:val="0563C1"/>
            <w:u w:val="single" w:color="0563C1"/>
          </w:rPr>
          <w:t>laundering/</w:t>
        </w:r>
      </w:hyperlink>
      <w:hyperlink r:id="rId20">
        <w:r>
          <w:t xml:space="preserve"> </w:t>
        </w:r>
      </w:hyperlink>
    </w:p>
    <w:p w14:paraId="69DDCD2E" w14:textId="77777777" w:rsidR="00344C2C" w:rsidRDefault="00EB4639">
      <w:pPr>
        <w:spacing w:after="0" w:line="259" w:lineRule="auto"/>
        <w:ind w:left="0" w:right="0" w:firstLine="0"/>
        <w:jc w:val="left"/>
      </w:pPr>
      <w:r>
        <w:rPr>
          <w:color w:val="006600"/>
        </w:rPr>
        <w:t xml:space="preserve"> </w:t>
      </w:r>
    </w:p>
    <w:p w14:paraId="7D1545A2" w14:textId="77777777" w:rsidR="00344C2C" w:rsidRDefault="00EB4639">
      <w:pPr>
        <w:spacing w:after="0" w:line="259" w:lineRule="auto"/>
        <w:ind w:left="0" w:right="0" w:firstLine="0"/>
        <w:jc w:val="left"/>
      </w:pPr>
      <w:r>
        <w:rPr>
          <w:b/>
          <w:color w:val="538135"/>
        </w:rPr>
        <w:t xml:space="preserve"> </w:t>
      </w:r>
    </w:p>
    <w:p w14:paraId="341D5595" w14:textId="6AB6E3F6" w:rsidR="00344C2C" w:rsidRDefault="00EB4639">
      <w:pPr>
        <w:pStyle w:val="Heading1"/>
        <w:tabs>
          <w:tab w:val="center" w:pos="2888"/>
        </w:tabs>
        <w:ind w:left="-15" w:firstLine="0"/>
      </w:pPr>
      <w:r>
        <w:lastRenderedPageBreak/>
        <w:t xml:space="preserve">10. </w:t>
      </w:r>
      <w:r w:rsidR="00193793">
        <w:tab/>
      </w:r>
      <w:r>
        <w:t xml:space="preserve">Links to other NCC policies/strategies </w:t>
      </w:r>
    </w:p>
    <w:p w14:paraId="6469072C" w14:textId="05544C08" w:rsidR="00344C2C" w:rsidRDefault="00EB4639">
      <w:pPr>
        <w:ind w:left="703" w:right="0"/>
      </w:pPr>
      <w:r>
        <w:t xml:space="preserve">10.1 </w:t>
      </w:r>
      <w:r w:rsidR="00193793">
        <w:tab/>
      </w:r>
      <w:r>
        <w:t xml:space="preserve">The anti-money laundering policy has links to a number of other council policies and strategies: </w:t>
      </w:r>
    </w:p>
    <w:p w14:paraId="2C451F38" w14:textId="7F33221D" w:rsidR="00344C2C" w:rsidRDefault="00EB4639">
      <w:pPr>
        <w:numPr>
          <w:ilvl w:val="0"/>
          <w:numId w:val="5"/>
        </w:numPr>
        <w:spacing w:after="7" w:line="251" w:lineRule="auto"/>
        <w:ind w:right="0" w:hanging="360"/>
        <w:jc w:val="left"/>
      </w:pPr>
      <w:hyperlink r:id="rId21">
        <w:r>
          <w:rPr>
            <w:color w:val="0563C1"/>
            <w:u w:val="single" w:color="0563C1"/>
          </w:rPr>
          <w:t xml:space="preserve">Counter Fraud </w:t>
        </w:r>
        <w:r>
          <w:rPr>
            <w:color w:val="0563C1"/>
            <w:u w:val="single" w:color="0563C1"/>
          </w:rPr>
          <w:t>a</w:t>
        </w:r>
        <w:r>
          <w:rPr>
            <w:color w:val="0563C1"/>
            <w:u w:val="single" w:color="0563C1"/>
          </w:rPr>
          <w:t>nd Counter Corruption Policy and Strategy</w:t>
        </w:r>
      </w:hyperlink>
      <w:hyperlink r:id="rId22">
        <w:r>
          <w:t xml:space="preserve"> </w:t>
        </w:r>
      </w:hyperlink>
    </w:p>
    <w:p w14:paraId="72CB60F6" w14:textId="77777777" w:rsidR="00344C2C" w:rsidRDefault="00EB4639">
      <w:pPr>
        <w:numPr>
          <w:ilvl w:val="0"/>
          <w:numId w:val="5"/>
        </w:numPr>
        <w:spacing w:after="7" w:line="251" w:lineRule="auto"/>
        <w:ind w:right="0" w:hanging="360"/>
        <w:jc w:val="left"/>
      </w:pPr>
      <w:hyperlink r:id="rId23">
        <w:r>
          <w:rPr>
            <w:color w:val="0563C1"/>
            <w:u w:val="single" w:color="0563C1"/>
          </w:rPr>
          <w:t>Fraud Response Plan</w:t>
        </w:r>
      </w:hyperlink>
      <w:hyperlink r:id="rId24">
        <w:r>
          <w:t xml:space="preserve"> </w:t>
        </w:r>
      </w:hyperlink>
    </w:p>
    <w:p w14:paraId="7F53B15A" w14:textId="6DC900E0" w:rsidR="00344C2C" w:rsidRDefault="00EB4639">
      <w:pPr>
        <w:numPr>
          <w:ilvl w:val="0"/>
          <w:numId w:val="5"/>
        </w:numPr>
        <w:spacing w:after="7" w:line="251" w:lineRule="auto"/>
        <w:ind w:right="0" w:hanging="360"/>
        <w:jc w:val="left"/>
      </w:pPr>
      <w:hyperlink r:id="rId25">
        <w:r>
          <w:rPr>
            <w:color w:val="0563C1"/>
            <w:u w:val="single" w:color="0563C1"/>
          </w:rPr>
          <w:t>Whistleblowing Policy</w:t>
        </w:r>
      </w:hyperlink>
      <w:hyperlink r:id="rId26">
        <w:r>
          <w:t xml:space="preserve"> </w:t>
        </w:r>
      </w:hyperlink>
    </w:p>
    <w:p w14:paraId="48C7D0CA" w14:textId="330A7A91" w:rsidR="00344C2C" w:rsidRDefault="00EB4639">
      <w:pPr>
        <w:numPr>
          <w:ilvl w:val="0"/>
          <w:numId w:val="5"/>
        </w:numPr>
        <w:ind w:right="0" w:hanging="360"/>
        <w:jc w:val="left"/>
      </w:pPr>
      <w:hyperlink r:id="rId27">
        <w:r>
          <w:rPr>
            <w:color w:val="0563C1"/>
            <w:u w:val="single" w:color="0563C1"/>
          </w:rPr>
          <w:t>Codes of conduct</w:t>
        </w:r>
      </w:hyperlink>
      <w:hyperlink r:id="rId28">
        <w:r>
          <w:t xml:space="preserve"> </w:t>
        </w:r>
      </w:hyperlink>
      <w:r>
        <w:t xml:space="preserve">for staff and members </w:t>
      </w:r>
    </w:p>
    <w:p w14:paraId="34A1C268" w14:textId="1CFF7481" w:rsidR="00344C2C" w:rsidRDefault="00EB4639">
      <w:pPr>
        <w:numPr>
          <w:ilvl w:val="0"/>
          <w:numId w:val="5"/>
        </w:numPr>
        <w:spacing w:after="7" w:line="251" w:lineRule="auto"/>
        <w:ind w:right="0" w:hanging="360"/>
        <w:jc w:val="left"/>
      </w:pPr>
      <w:hyperlink r:id="rId29">
        <w:r>
          <w:rPr>
            <w:color w:val="0563C1"/>
            <w:u w:val="single" w:color="0563C1"/>
          </w:rPr>
          <w:t>Financial Regulations</w:t>
        </w:r>
      </w:hyperlink>
      <w:hyperlink r:id="rId30">
        <w:r>
          <w:t xml:space="preserve"> </w:t>
        </w:r>
      </w:hyperlink>
    </w:p>
    <w:p w14:paraId="3CABCE46" w14:textId="77777777" w:rsidR="00344C2C" w:rsidRDefault="00EB4639">
      <w:pPr>
        <w:spacing w:after="0" w:line="259" w:lineRule="auto"/>
        <w:ind w:left="0" w:right="0" w:firstLine="0"/>
        <w:jc w:val="left"/>
      </w:pPr>
      <w:r>
        <w:t xml:space="preserve"> </w:t>
      </w:r>
    </w:p>
    <w:p w14:paraId="261519A4" w14:textId="77777777" w:rsidR="00344C2C" w:rsidRDefault="00EB4639">
      <w:pPr>
        <w:spacing w:after="0" w:line="259" w:lineRule="auto"/>
        <w:ind w:left="0" w:right="0" w:firstLine="0"/>
        <w:jc w:val="left"/>
      </w:pPr>
      <w:r>
        <w:t xml:space="preserve"> </w:t>
      </w:r>
    </w:p>
    <w:p w14:paraId="128563A0" w14:textId="77777777" w:rsidR="00344C2C" w:rsidRDefault="00EB4639">
      <w:pPr>
        <w:pStyle w:val="Heading1"/>
        <w:tabs>
          <w:tab w:val="center" w:pos="1479"/>
        </w:tabs>
        <w:ind w:left="-15" w:firstLine="0"/>
      </w:pPr>
      <w:r>
        <w:t xml:space="preserve">11.  </w:t>
      </w:r>
      <w:r>
        <w:tab/>
        <w:t xml:space="preserve">Policy review </w:t>
      </w:r>
    </w:p>
    <w:p w14:paraId="224BA9B3" w14:textId="77777777" w:rsidR="00344C2C" w:rsidRDefault="00EB4639">
      <w:pPr>
        <w:spacing w:after="0" w:line="259" w:lineRule="auto"/>
        <w:ind w:left="0" w:right="0" w:firstLine="0"/>
        <w:jc w:val="left"/>
      </w:pPr>
      <w:r>
        <w:rPr>
          <w:color w:val="006600"/>
        </w:rPr>
        <w:t xml:space="preserve"> </w:t>
      </w:r>
    </w:p>
    <w:p w14:paraId="4BB9F0D3" w14:textId="0DF58575" w:rsidR="00344C2C" w:rsidRDefault="00EB4639">
      <w:pPr>
        <w:ind w:left="703" w:right="0"/>
      </w:pPr>
      <w:r>
        <w:t xml:space="preserve">11.1 </w:t>
      </w:r>
      <w:r w:rsidR="00193793">
        <w:tab/>
      </w:r>
      <w:r>
        <w:t xml:space="preserve">The strategy will be subject to regular review as part of the Annual Fraud Report, which will make recommendations for any required changes to it. </w:t>
      </w:r>
    </w:p>
    <w:p w14:paraId="37589C5B" w14:textId="77777777" w:rsidR="00344C2C" w:rsidRDefault="00EB4639">
      <w:pPr>
        <w:spacing w:after="0" w:line="259" w:lineRule="auto"/>
        <w:ind w:left="0" w:right="0" w:firstLine="0"/>
        <w:jc w:val="left"/>
      </w:pPr>
      <w:r>
        <w:t xml:space="preserve"> </w:t>
      </w:r>
    </w:p>
    <w:p w14:paraId="5D731065" w14:textId="77777777" w:rsidR="00344C2C" w:rsidRDefault="00EB4639">
      <w:pPr>
        <w:pStyle w:val="Heading1"/>
        <w:tabs>
          <w:tab w:val="center" w:pos="1399"/>
        </w:tabs>
        <w:ind w:left="-15" w:firstLine="0"/>
      </w:pPr>
      <w:r>
        <w:t xml:space="preserve">12.  </w:t>
      </w:r>
      <w:r>
        <w:tab/>
        <w:t xml:space="preserve">Appendices </w:t>
      </w:r>
    </w:p>
    <w:p w14:paraId="2248DB85" w14:textId="77777777" w:rsidR="00344C2C" w:rsidRDefault="00EB4639">
      <w:pPr>
        <w:spacing w:after="0" w:line="259" w:lineRule="auto"/>
        <w:ind w:left="0" w:right="0" w:firstLine="0"/>
        <w:jc w:val="left"/>
      </w:pPr>
      <w:r>
        <w:rPr>
          <w:color w:val="006600"/>
        </w:rPr>
        <w:t xml:space="preserve"> </w:t>
      </w:r>
    </w:p>
    <w:p w14:paraId="601A3536" w14:textId="77777777" w:rsidR="00344C2C" w:rsidRDefault="00EB4639" w:rsidP="00193793">
      <w:pPr>
        <w:spacing w:after="0" w:line="259" w:lineRule="auto"/>
        <w:ind w:left="0" w:right="10" w:firstLine="0"/>
        <w:jc w:val="center"/>
      </w:pPr>
      <w:r>
        <w:rPr>
          <w:color w:val="0000FF"/>
        </w:rPr>
        <w:t xml:space="preserve">Appendix 1 </w:t>
      </w:r>
      <w:r>
        <w:t xml:space="preserve">– Money Laundering Disclosure Form (proforma for use by </w:t>
      </w:r>
    </w:p>
    <w:p w14:paraId="687845C9" w14:textId="77777777" w:rsidR="00344C2C" w:rsidRDefault="00EB4639">
      <w:pPr>
        <w:ind w:left="-15" w:right="0" w:firstLine="0"/>
      </w:pPr>
      <w:r>
        <w:t xml:space="preserve">MLRO) </w:t>
      </w:r>
    </w:p>
    <w:p w14:paraId="691A22CF" w14:textId="77777777" w:rsidR="00344C2C" w:rsidRDefault="00EB4639">
      <w:pPr>
        <w:spacing w:after="0" w:line="259" w:lineRule="auto"/>
        <w:ind w:left="0" w:right="0" w:firstLine="0"/>
        <w:jc w:val="left"/>
      </w:pPr>
      <w:r>
        <w:t xml:space="preserve"> </w:t>
      </w:r>
      <w:r>
        <w:tab/>
        <w:t xml:space="preserve"> </w:t>
      </w:r>
      <w:r>
        <w:br w:type="page"/>
      </w:r>
    </w:p>
    <w:p w14:paraId="2AB64388" w14:textId="77777777" w:rsidR="00344C2C" w:rsidRDefault="00EB4639">
      <w:pPr>
        <w:spacing w:after="170"/>
        <w:ind w:left="-15" w:right="0" w:firstLine="0"/>
      </w:pPr>
      <w:r>
        <w:lastRenderedPageBreak/>
        <w:t xml:space="preserve">Appendix 1 </w:t>
      </w:r>
    </w:p>
    <w:p w14:paraId="2D497433" w14:textId="77777777" w:rsidR="00344C2C" w:rsidRDefault="00EB4639">
      <w:pPr>
        <w:spacing w:after="160" w:line="259" w:lineRule="auto"/>
        <w:ind w:left="0" w:right="6" w:firstLine="0"/>
        <w:jc w:val="center"/>
      </w:pPr>
      <w:r>
        <w:rPr>
          <w:b/>
          <w:color w:val="538135"/>
        </w:rPr>
        <w:t>Money Laundering Disclosure Form</w:t>
      </w:r>
      <w:r>
        <w:rPr>
          <w:b/>
        </w:rPr>
        <w:t xml:space="preserve"> </w:t>
      </w:r>
    </w:p>
    <w:p w14:paraId="75FBA06A" w14:textId="77777777" w:rsidR="00344C2C" w:rsidRDefault="00EB4639">
      <w:pPr>
        <w:spacing w:after="169"/>
        <w:ind w:left="-5" w:right="0" w:hanging="10"/>
      </w:pPr>
      <w:r>
        <w:rPr>
          <w:b/>
        </w:rPr>
        <w:t xml:space="preserve">This form is for completion by the Money Laundering Reporting Officer </w:t>
      </w:r>
    </w:p>
    <w:p w14:paraId="5146052F" w14:textId="77777777" w:rsidR="00344C2C" w:rsidRDefault="00EB4639">
      <w:pPr>
        <w:spacing w:after="0" w:line="259" w:lineRule="auto"/>
        <w:ind w:left="0" w:right="0" w:firstLine="0"/>
        <w:jc w:val="left"/>
      </w:pPr>
      <w:r>
        <w:rPr>
          <w:b/>
        </w:rPr>
        <w:t xml:space="preserve"> </w:t>
      </w:r>
    </w:p>
    <w:tbl>
      <w:tblPr>
        <w:tblStyle w:val="TableGrid"/>
        <w:tblW w:w="9018" w:type="dxa"/>
        <w:tblInd w:w="-108" w:type="dxa"/>
        <w:tblCellMar>
          <w:top w:w="8" w:type="dxa"/>
          <w:left w:w="108" w:type="dxa"/>
          <w:right w:w="115" w:type="dxa"/>
        </w:tblCellMar>
        <w:tblLook w:val="04A0" w:firstRow="1" w:lastRow="0" w:firstColumn="1" w:lastColumn="0" w:noHBand="0" w:noVBand="1"/>
      </w:tblPr>
      <w:tblGrid>
        <w:gridCol w:w="2972"/>
        <w:gridCol w:w="6046"/>
      </w:tblGrid>
      <w:tr w:rsidR="00344C2C" w14:paraId="4F81CFD8" w14:textId="77777777">
        <w:trPr>
          <w:trHeight w:val="526"/>
        </w:trPr>
        <w:tc>
          <w:tcPr>
            <w:tcW w:w="2972" w:type="dxa"/>
            <w:tcBorders>
              <w:top w:val="single" w:sz="4" w:space="0" w:color="000000"/>
              <w:left w:val="single" w:sz="4" w:space="0" w:color="000000"/>
              <w:bottom w:val="single" w:sz="4" w:space="0" w:color="000000"/>
              <w:right w:val="single" w:sz="4" w:space="0" w:color="000000"/>
            </w:tcBorders>
            <w:vAlign w:val="center"/>
          </w:tcPr>
          <w:p w14:paraId="0641AD86" w14:textId="77777777" w:rsidR="00344C2C" w:rsidRDefault="00EB4639">
            <w:pPr>
              <w:spacing w:after="0" w:line="259" w:lineRule="auto"/>
              <w:ind w:left="0" w:right="0" w:firstLine="0"/>
              <w:jc w:val="left"/>
            </w:pPr>
            <w:r>
              <w:rPr>
                <w:b/>
              </w:rPr>
              <w:t xml:space="preserve">Date Report Received: </w:t>
            </w:r>
          </w:p>
        </w:tc>
        <w:tc>
          <w:tcPr>
            <w:tcW w:w="6047" w:type="dxa"/>
            <w:tcBorders>
              <w:top w:val="single" w:sz="4" w:space="0" w:color="000000"/>
              <w:left w:val="single" w:sz="4" w:space="0" w:color="000000"/>
              <w:bottom w:val="single" w:sz="4" w:space="0" w:color="000000"/>
              <w:right w:val="single" w:sz="4" w:space="0" w:color="000000"/>
            </w:tcBorders>
          </w:tcPr>
          <w:p w14:paraId="20AAB22B" w14:textId="77777777" w:rsidR="00344C2C" w:rsidRDefault="00EB4639">
            <w:pPr>
              <w:spacing w:after="0" w:line="259" w:lineRule="auto"/>
              <w:ind w:left="0" w:right="0" w:firstLine="0"/>
              <w:jc w:val="left"/>
            </w:pPr>
            <w:r>
              <w:rPr>
                <w:b/>
              </w:rPr>
              <w:t xml:space="preserve"> </w:t>
            </w:r>
          </w:p>
        </w:tc>
      </w:tr>
    </w:tbl>
    <w:p w14:paraId="420F8276" w14:textId="77777777" w:rsidR="00344C2C" w:rsidRDefault="00EB4639">
      <w:pPr>
        <w:spacing w:after="160" w:line="259" w:lineRule="auto"/>
        <w:ind w:left="0" w:right="0" w:firstLine="0"/>
        <w:jc w:val="left"/>
      </w:pPr>
      <w:r>
        <w:rPr>
          <w:b/>
        </w:rPr>
        <w:t xml:space="preserve">  </w:t>
      </w:r>
    </w:p>
    <w:p w14:paraId="680CBF68" w14:textId="77777777" w:rsidR="00344C2C" w:rsidRDefault="00EB4639">
      <w:pPr>
        <w:spacing w:after="170" w:line="259" w:lineRule="auto"/>
        <w:ind w:left="0" w:right="0" w:firstLine="0"/>
        <w:jc w:val="left"/>
      </w:pPr>
      <w:r>
        <w:rPr>
          <w:b/>
          <w:u w:val="single" w:color="000000"/>
        </w:rPr>
        <w:t>Consideration of Disclosure:</w:t>
      </w:r>
      <w:r>
        <w:rPr>
          <w:b/>
        </w:rPr>
        <w:t xml:space="preserve"> </w:t>
      </w:r>
    </w:p>
    <w:p w14:paraId="4C17F11E"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10" w:right="0" w:hanging="10"/>
        <w:jc w:val="left"/>
      </w:pPr>
      <w:r>
        <w:rPr>
          <w:b/>
        </w:rPr>
        <w:t xml:space="preserve">Details of Disclosure: </w:t>
      </w:r>
    </w:p>
    <w:p w14:paraId="4D89DACC"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C9BA837"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A91133B"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A9BA2AF"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FBD151F"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43E048A3"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0E4F712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8B4BA24"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855A9CD"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9601C8D"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734297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7275E5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C5B44EF" w14:textId="77777777" w:rsidR="00344C2C" w:rsidRDefault="00EB4639">
      <w:pPr>
        <w:spacing w:after="170" w:line="259" w:lineRule="auto"/>
        <w:ind w:left="0" w:right="0" w:firstLine="0"/>
        <w:jc w:val="left"/>
      </w:pPr>
      <w:r>
        <w:rPr>
          <w:b/>
        </w:rPr>
        <w:t xml:space="preserve"> </w:t>
      </w:r>
    </w:p>
    <w:p w14:paraId="0470856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10" w:right="0" w:hanging="10"/>
        <w:jc w:val="left"/>
      </w:pPr>
      <w:r>
        <w:rPr>
          <w:b/>
        </w:rPr>
        <w:t xml:space="preserve">Are there reasonable grounds for suspecting money laundering activity: </w:t>
      </w:r>
    </w:p>
    <w:p w14:paraId="6BBA8E91"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EFC3BD2"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5D8FDDE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7340AF12"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38942AC"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3CF8127"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A9A5F4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2F4603C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2C0BD31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5CAE057A"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B14F74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0E5F5675"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7A847D0C" w14:textId="77777777" w:rsidR="00344C2C" w:rsidRDefault="00EB4639">
      <w:pPr>
        <w:spacing w:after="163" w:line="259" w:lineRule="auto"/>
        <w:ind w:left="0" w:right="0" w:firstLine="0"/>
        <w:jc w:val="left"/>
      </w:pPr>
      <w:r>
        <w:rPr>
          <w:b/>
        </w:rPr>
        <w:t xml:space="preserve"> </w:t>
      </w:r>
    </w:p>
    <w:p w14:paraId="47BE3E8E" w14:textId="77777777" w:rsidR="00344C2C" w:rsidRDefault="00EB4639">
      <w:pPr>
        <w:spacing w:after="169"/>
        <w:ind w:left="-5" w:right="0" w:hanging="10"/>
      </w:pPr>
      <w:r>
        <w:rPr>
          <w:b/>
        </w:rPr>
        <w:t xml:space="preserve">If there are reasonable grounds for suspicion, will a report be made to the NCA? </w:t>
      </w:r>
    </w:p>
    <w:p w14:paraId="6872978A" w14:textId="77777777" w:rsidR="00344C2C" w:rsidRDefault="00EB4639">
      <w:pPr>
        <w:ind w:left="-15" w:right="0" w:firstLine="0"/>
      </w:pPr>
      <w:r>
        <w:t xml:space="preserve">Yes/No: </w:t>
      </w:r>
    </w:p>
    <w:tbl>
      <w:tblPr>
        <w:tblStyle w:val="TableGrid"/>
        <w:tblW w:w="9018" w:type="dxa"/>
        <w:tblInd w:w="-108" w:type="dxa"/>
        <w:tblCellMar>
          <w:left w:w="108" w:type="dxa"/>
          <w:right w:w="115" w:type="dxa"/>
        </w:tblCellMar>
        <w:tblLook w:val="04A0" w:firstRow="1" w:lastRow="0" w:firstColumn="1" w:lastColumn="0" w:noHBand="0" w:noVBand="1"/>
      </w:tblPr>
      <w:tblGrid>
        <w:gridCol w:w="6233"/>
        <w:gridCol w:w="2785"/>
      </w:tblGrid>
      <w:tr w:rsidR="00344C2C" w14:paraId="52DC3DBE" w14:textId="77777777">
        <w:trPr>
          <w:trHeight w:val="528"/>
        </w:trPr>
        <w:tc>
          <w:tcPr>
            <w:tcW w:w="6234" w:type="dxa"/>
            <w:tcBorders>
              <w:top w:val="single" w:sz="4" w:space="0" w:color="000000"/>
              <w:left w:val="single" w:sz="4" w:space="0" w:color="000000"/>
              <w:bottom w:val="single" w:sz="4" w:space="0" w:color="000000"/>
              <w:right w:val="single" w:sz="4" w:space="0" w:color="000000"/>
            </w:tcBorders>
            <w:vAlign w:val="center"/>
          </w:tcPr>
          <w:p w14:paraId="0F2C6DB1" w14:textId="77777777" w:rsidR="00344C2C" w:rsidRDefault="00EB4639">
            <w:pPr>
              <w:spacing w:after="0" w:line="259" w:lineRule="auto"/>
              <w:ind w:left="0" w:right="0" w:firstLine="0"/>
              <w:jc w:val="left"/>
            </w:pPr>
            <w:r>
              <w:rPr>
                <w:b/>
              </w:rPr>
              <w:t xml:space="preserve">If yes, please record the date of report to the NCA: </w:t>
            </w:r>
          </w:p>
        </w:tc>
        <w:tc>
          <w:tcPr>
            <w:tcW w:w="2785" w:type="dxa"/>
            <w:tcBorders>
              <w:top w:val="single" w:sz="4" w:space="0" w:color="000000"/>
              <w:left w:val="single" w:sz="4" w:space="0" w:color="000000"/>
              <w:bottom w:val="single" w:sz="4" w:space="0" w:color="000000"/>
              <w:right w:val="single" w:sz="4" w:space="0" w:color="000000"/>
            </w:tcBorders>
            <w:vAlign w:val="center"/>
          </w:tcPr>
          <w:p w14:paraId="3678C9A3" w14:textId="77777777" w:rsidR="00344C2C" w:rsidRDefault="00EB4639">
            <w:pPr>
              <w:spacing w:after="0" w:line="259" w:lineRule="auto"/>
              <w:ind w:left="0" w:right="0" w:firstLine="0"/>
              <w:jc w:val="left"/>
            </w:pPr>
            <w:r>
              <w:rPr>
                <w:b/>
              </w:rPr>
              <w:t xml:space="preserve"> </w:t>
            </w:r>
          </w:p>
        </w:tc>
      </w:tr>
    </w:tbl>
    <w:p w14:paraId="66397F75" w14:textId="77777777" w:rsidR="00344C2C" w:rsidRDefault="00EB4639">
      <w:pPr>
        <w:spacing w:after="160" w:line="259" w:lineRule="auto"/>
        <w:ind w:left="0" w:right="0" w:firstLine="0"/>
        <w:jc w:val="left"/>
      </w:pPr>
      <w:r>
        <w:rPr>
          <w:b/>
        </w:rPr>
        <w:t xml:space="preserve"> </w:t>
      </w:r>
    </w:p>
    <w:p w14:paraId="46DB98C0" w14:textId="77777777" w:rsidR="00344C2C" w:rsidRDefault="00EB4639">
      <w:pPr>
        <w:spacing w:after="0" w:line="259" w:lineRule="auto"/>
        <w:ind w:left="0" w:right="0" w:firstLine="0"/>
        <w:jc w:val="left"/>
      </w:pPr>
      <w:r>
        <w:rPr>
          <w:b/>
        </w:rPr>
        <w:t xml:space="preserve"> </w:t>
      </w:r>
    </w:p>
    <w:p w14:paraId="717FD124"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10" w:right="0" w:hanging="10"/>
        <w:jc w:val="left"/>
      </w:pPr>
      <w:r>
        <w:rPr>
          <w:b/>
        </w:rPr>
        <w:lastRenderedPageBreak/>
        <w:t xml:space="preserve">Details of liaison with NCA: </w:t>
      </w:r>
    </w:p>
    <w:p w14:paraId="4F8758A6"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10" w:right="0" w:hanging="10"/>
        <w:jc w:val="left"/>
      </w:pPr>
      <w:r>
        <w:rPr>
          <w:b/>
        </w:rPr>
        <w:t xml:space="preserve">Notice Period: </w:t>
      </w:r>
    </w:p>
    <w:p w14:paraId="1660BAD7"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10" w:right="0" w:hanging="10"/>
        <w:jc w:val="left"/>
      </w:pPr>
      <w:r>
        <w:rPr>
          <w:b/>
        </w:rPr>
        <w:t xml:space="preserve">Moratorium Period: </w:t>
      </w:r>
    </w:p>
    <w:p w14:paraId="17EC781D"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0" w:right="0" w:firstLine="0"/>
        <w:jc w:val="left"/>
      </w:pPr>
      <w:r>
        <w:rPr>
          <w:b/>
        </w:rPr>
        <w:t xml:space="preserve"> </w:t>
      </w:r>
    </w:p>
    <w:p w14:paraId="65C8B83D"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0" w:right="0" w:firstLine="0"/>
        <w:jc w:val="left"/>
      </w:pPr>
      <w:r>
        <w:rPr>
          <w:b/>
        </w:rPr>
        <w:t xml:space="preserve"> </w:t>
      </w:r>
    </w:p>
    <w:p w14:paraId="6050F5D8"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0" w:right="0" w:firstLine="0"/>
        <w:jc w:val="left"/>
      </w:pPr>
      <w:r>
        <w:rPr>
          <w:b/>
        </w:rPr>
        <w:t xml:space="preserve"> </w:t>
      </w:r>
    </w:p>
    <w:p w14:paraId="1CF438B6"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0" w:right="0" w:firstLine="0"/>
        <w:jc w:val="left"/>
      </w:pPr>
      <w:r>
        <w:rPr>
          <w:b/>
        </w:rPr>
        <w:t xml:space="preserve"> </w:t>
      </w:r>
    </w:p>
    <w:p w14:paraId="60305E67"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0" w:right="0" w:firstLine="0"/>
        <w:jc w:val="left"/>
      </w:pPr>
      <w:r>
        <w:rPr>
          <w:b/>
        </w:rPr>
        <w:t xml:space="preserve"> </w:t>
      </w:r>
    </w:p>
    <w:p w14:paraId="3AA28FC7" w14:textId="77777777" w:rsidR="00344C2C" w:rsidRDefault="00EB4639">
      <w:pPr>
        <w:pBdr>
          <w:top w:val="single" w:sz="4" w:space="0" w:color="000000"/>
          <w:left w:val="single" w:sz="4" w:space="0" w:color="000000"/>
          <w:bottom w:val="single" w:sz="4" w:space="0" w:color="000000"/>
          <w:right w:val="single" w:sz="4" w:space="0" w:color="000000"/>
        </w:pBdr>
        <w:spacing w:after="98" w:line="259" w:lineRule="auto"/>
        <w:ind w:left="0" w:right="0" w:firstLine="0"/>
        <w:jc w:val="left"/>
      </w:pPr>
      <w:r>
        <w:rPr>
          <w:b/>
        </w:rPr>
        <w:t xml:space="preserve"> </w:t>
      </w:r>
    </w:p>
    <w:p w14:paraId="09729086" w14:textId="77777777" w:rsidR="00344C2C" w:rsidRDefault="00EB4639">
      <w:pPr>
        <w:pBdr>
          <w:top w:val="single" w:sz="4" w:space="0" w:color="000000"/>
          <w:left w:val="single" w:sz="4" w:space="0" w:color="000000"/>
          <w:bottom w:val="single" w:sz="4" w:space="0" w:color="000000"/>
          <w:right w:val="single" w:sz="4" w:space="0" w:color="000000"/>
        </w:pBdr>
        <w:spacing w:after="108" w:line="259" w:lineRule="auto"/>
        <w:ind w:left="0" w:right="0" w:firstLine="0"/>
        <w:jc w:val="left"/>
      </w:pPr>
      <w:r>
        <w:rPr>
          <w:b/>
        </w:rPr>
        <w:t xml:space="preserve"> </w:t>
      </w:r>
    </w:p>
    <w:p w14:paraId="0B1F263F" w14:textId="77777777" w:rsidR="00344C2C" w:rsidRDefault="00EB4639">
      <w:pPr>
        <w:spacing w:after="163" w:line="259" w:lineRule="auto"/>
        <w:ind w:left="0" w:right="0" w:firstLine="0"/>
        <w:jc w:val="left"/>
      </w:pPr>
      <w:r>
        <w:rPr>
          <w:b/>
        </w:rPr>
        <w:t xml:space="preserve"> </w:t>
      </w:r>
    </w:p>
    <w:p w14:paraId="450AEFE4" w14:textId="77777777" w:rsidR="00344C2C" w:rsidRDefault="00EB4639">
      <w:pPr>
        <w:spacing w:after="169"/>
        <w:ind w:left="-5" w:right="0" w:hanging="10"/>
      </w:pPr>
      <w:r>
        <w:rPr>
          <w:b/>
        </w:rPr>
        <w:t xml:space="preserve">Is consent required from the NCA to any ongoing or imminent transactions which would otherwise be prohibited acts? </w:t>
      </w:r>
    </w:p>
    <w:p w14:paraId="4FA1CFB9" w14:textId="77777777" w:rsidR="00344C2C" w:rsidRDefault="00EB4639">
      <w:pPr>
        <w:spacing w:after="180"/>
        <w:ind w:left="-15" w:right="0" w:firstLine="0"/>
      </w:pPr>
      <w:r>
        <w:t xml:space="preserve">Yes/No: </w:t>
      </w:r>
    </w:p>
    <w:p w14:paraId="0DAADA81"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10" w:right="0" w:hanging="10"/>
        <w:jc w:val="left"/>
      </w:pPr>
      <w:r>
        <w:rPr>
          <w:b/>
        </w:rPr>
        <w:t xml:space="preserve">If yes please record the details here: </w:t>
      </w:r>
    </w:p>
    <w:p w14:paraId="6E8D48B9"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D2BD472"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55820157"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777A3DF8"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27A84B5B"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7E5FAA10"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70C1702"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5DB707B"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2E7706D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274E05A7"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773B9D33"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450A9CF2"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4333CDA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5653C10" w14:textId="77777777" w:rsidR="00344C2C" w:rsidRDefault="00EB4639">
      <w:pPr>
        <w:spacing w:after="0" w:line="259" w:lineRule="auto"/>
        <w:ind w:left="0" w:right="0" w:firstLine="0"/>
        <w:jc w:val="left"/>
      </w:pPr>
      <w:r>
        <w:rPr>
          <w:b/>
        </w:rPr>
        <w:t xml:space="preserve"> </w:t>
      </w:r>
    </w:p>
    <w:tbl>
      <w:tblPr>
        <w:tblStyle w:val="TableGrid"/>
        <w:tblW w:w="9018" w:type="dxa"/>
        <w:tblInd w:w="-108" w:type="dxa"/>
        <w:tblCellMar>
          <w:left w:w="108" w:type="dxa"/>
          <w:right w:w="115" w:type="dxa"/>
        </w:tblCellMar>
        <w:tblLook w:val="04A0" w:firstRow="1" w:lastRow="0" w:firstColumn="1" w:lastColumn="0" w:noHBand="0" w:noVBand="1"/>
      </w:tblPr>
      <w:tblGrid>
        <w:gridCol w:w="4249"/>
        <w:gridCol w:w="4769"/>
      </w:tblGrid>
      <w:tr w:rsidR="00344C2C" w14:paraId="5D146B73" w14:textId="77777777">
        <w:trPr>
          <w:trHeight w:val="526"/>
        </w:trPr>
        <w:tc>
          <w:tcPr>
            <w:tcW w:w="4249" w:type="dxa"/>
            <w:tcBorders>
              <w:top w:val="single" w:sz="4" w:space="0" w:color="000000"/>
              <w:left w:val="single" w:sz="4" w:space="0" w:color="000000"/>
              <w:bottom w:val="single" w:sz="4" w:space="0" w:color="000000"/>
              <w:right w:val="single" w:sz="4" w:space="0" w:color="000000"/>
            </w:tcBorders>
            <w:vAlign w:val="center"/>
          </w:tcPr>
          <w:p w14:paraId="07BDF4BA" w14:textId="77777777" w:rsidR="00344C2C" w:rsidRDefault="00EB4639">
            <w:pPr>
              <w:spacing w:after="0" w:line="259" w:lineRule="auto"/>
              <w:ind w:left="0" w:right="0" w:firstLine="0"/>
              <w:jc w:val="left"/>
            </w:pPr>
            <w:r>
              <w:rPr>
                <w:b/>
              </w:rPr>
              <w:t xml:space="preserve">Date consent received from NCA: </w:t>
            </w:r>
          </w:p>
        </w:tc>
        <w:tc>
          <w:tcPr>
            <w:tcW w:w="4770" w:type="dxa"/>
            <w:tcBorders>
              <w:top w:val="single" w:sz="4" w:space="0" w:color="000000"/>
              <w:left w:val="single" w:sz="4" w:space="0" w:color="000000"/>
              <w:bottom w:val="single" w:sz="4" w:space="0" w:color="000000"/>
              <w:right w:val="single" w:sz="4" w:space="0" w:color="000000"/>
            </w:tcBorders>
            <w:vAlign w:val="center"/>
          </w:tcPr>
          <w:p w14:paraId="1D623EEA" w14:textId="77777777" w:rsidR="00344C2C" w:rsidRDefault="00EB4639">
            <w:pPr>
              <w:spacing w:after="0" w:line="259" w:lineRule="auto"/>
              <w:ind w:left="0" w:right="0" w:firstLine="0"/>
              <w:jc w:val="left"/>
            </w:pPr>
            <w:r>
              <w:rPr>
                <w:b/>
              </w:rPr>
              <w:t xml:space="preserve"> </w:t>
            </w:r>
          </w:p>
        </w:tc>
      </w:tr>
    </w:tbl>
    <w:p w14:paraId="736B0FD0" w14:textId="77777777" w:rsidR="00344C2C" w:rsidRDefault="00EB4639">
      <w:pPr>
        <w:spacing w:after="0" w:line="259" w:lineRule="auto"/>
        <w:ind w:left="0" w:right="0" w:firstLine="0"/>
        <w:jc w:val="left"/>
      </w:pPr>
      <w:r>
        <w:rPr>
          <w:b/>
        </w:rPr>
        <w:t xml:space="preserve"> </w:t>
      </w:r>
    </w:p>
    <w:tbl>
      <w:tblPr>
        <w:tblStyle w:val="TableGrid"/>
        <w:tblW w:w="9018" w:type="dxa"/>
        <w:tblInd w:w="-108" w:type="dxa"/>
        <w:tblCellMar>
          <w:left w:w="108" w:type="dxa"/>
          <w:right w:w="115" w:type="dxa"/>
        </w:tblCellMar>
        <w:tblLook w:val="04A0" w:firstRow="1" w:lastRow="0" w:firstColumn="1" w:lastColumn="0" w:noHBand="0" w:noVBand="1"/>
      </w:tblPr>
      <w:tblGrid>
        <w:gridCol w:w="4249"/>
        <w:gridCol w:w="4769"/>
      </w:tblGrid>
      <w:tr w:rsidR="00344C2C" w14:paraId="59D20C3C" w14:textId="77777777">
        <w:trPr>
          <w:trHeight w:val="526"/>
        </w:trPr>
        <w:tc>
          <w:tcPr>
            <w:tcW w:w="4249" w:type="dxa"/>
            <w:tcBorders>
              <w:top w:val="single" w:sz="4" w:space="0" w:color="000000"/>
              <w:left w:val="single" w:sz="4" w:space="0" w:color="000000"/>
              <w:bottom w:val="single" w:sz="4" w:space="0" w:color="000000"/>
              <w:right w:val="single" w:sz="4" w:space="0" w:color="000000"/>
            </w:tcBorders>
            <w:vAlign w:val="center"/>
          </w:tcPr>
          <w:p w14:paraId="6D4A941F" w14:textId="77777777" w:rsidR="00344C2C" w:rsidRDefault="00EB4639">
            <w:pPr>
              <w:spacing w:after="0" w:line="259" w:lineRule="auto"/>
              <w:ind w:left="0" w:right="0" w:firstLine="0"/>
              <w:jc w:val="left"/>
            </w:pPr>
            <w:r>
              <w:rPr>
                <w:b/>
              </w:rPr>
              <w:t xml:space="preserve">Date consent passed to employee: </w:t>
            </w:r>
          </w:p>
        </w:tc>
        <w:tc>
          <w:tcPr>
            <w:tcW w:w="4770" w:type="dxa"/>
            <w:tcBorders>
              <w:top w:val="single" w:sz="4" w:space="0" w:color="000000"/>
              <w:left w:val="single" w:sz="4" w:space="0" w:color="000000"/>
              <w:bottom w:val="single" w:sz="4" w:space="0" w:color="000000"/>
              <w:right w:val="single" w:sz="4" w:space="0" w:color="000000"/>
            </w:tcBorders>
            <w:vAlign w:val="center"/>
          </w:tcPr>
          <w:p w14:paraId="61216950" w14:textId="77777777" w:rsidR="00344C2C" w:rsidRDefault="00EB4639">
            <w:pPr>
              <w:spacing w:after="0" w:line="259" w:lineRule="auto"/>
              <w:ind w:left="0" w:right="0" w:firstLine="0"/>
              <w:jc w:val="left"/>
            </w:pPr>
            <w:r>
              <w:rPr>
                <w:b/>
              </w:rPr>
              <w:t xml:space="preserve"> </w:t>
            </w:r>
          </w:p>
        </w:tc>
      </w:tr>
    </w:tbl>
    <w:p w14:paraId="6A2C4265" w14:textId="77777777" w:rsidR="00344C2C" w:rsidRDefault="00EB4639">
      <w:pPr>
        <w:spacing w:after="170" w:line="259" w:lineRule="auto"/>
        <w:ind w:left="0" w:right="0" w:firstLine="0"/>
        <w:jc w:val="left"/>
      </w:pPr>
      <w:r>
        <w:rPr>
          <w:b/>
        </w:rPr>
        <w:t xml:space="preserve"> </w:t>
      </w:r>
    </w:p>
    <w:p w14:paraId="3EFC0C69" w14:textId="77777777" w:rsidR="00344C2C" w:rsidRDefault="00EB4639">
      <w:pPr>
        <w:pBdr>
          <w:top w:val="single" w:sz="4" w:space="0" w:color="000000"/>
          <w:left w:val="single" w:sz="4" w:space="0" w:color="000000"/>
          <w:bottom w:val="single" w:sz="4" w:space="0" w:color="000000"/>
          <w:right w:val="single" w:sz="4" w:space="0" w:color="000000"/>
        </w:pBdr>
        <w:spacing w:after="0" w:line="240" w:lineRule="auto"/>
        <w:ind w:left="0" w:right="0" w:firstLine="0"/>
        <w:jc w:val="left"/>
      </w:pPr>
      <w:r>
        <w:rPr>
          <w:b/>
          <w:i/>
        </w:rPr>
        <w:t>If there are reasonable grounds to suspect money laundering but you do not intend to report the matter to NCA, please record the reasons for nondisclosure:</w:t>
      </w:r>
      <w:r>
        <w:t xml:space="preserve"> </w:t>
      </w:r>
    </w:p>
    <w:p w14:paraId="6674EB50"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2E744DBB"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3ED6C777"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t xml:space="preserve"> </w:t>
      </w:r>
    </w:p>
    <w:p w14:paraId="50AEF37A" w14:textId="77777777" w:rsidR="00344C2C" w:rsidRDefault="00EB4639">
      <w:pPr>
        <w:spacing w:after="0" w:line="259" w:lineRule="auto"/>
        <w:ind w:left="0" w:right="0" w:firstLine="0"/>
        <w:jc w:val="left"/>
      </w:pPr>
      <w:r>
        <w:rPr>
          <w:b/>
          <w:i/>
        </w:rPr>
        <w:lastRenderedPageBreak/>
        <w:t xml:space="preserve"> </w:t>
      </w:r>
    </w:p>
    <w:p w14:paraId="62BF6197"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10" w:right="0" w:hanging="10"/>
        <w:jc w:val="left"/>
      </w:pPr>
      <w:r>
        <w:rPr>
          <w:b/>
        </w:rPr>
        <w:t xml:space="preserve">Please record any other relevant information here: </w:t>
      </w:r>
    </w:p>
    <w:p w14:paraId="630FC8A0"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6F909C1B"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9C1ACED"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613AFFA"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2C52E649"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0359378B"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0B48BBE"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7961ACFF"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33369C9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5121FA5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F8D98E6" w14:textId="77777777" w:rsidR="00344C2C" w:rsidRDefault="00EB4639">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rPr>
        <w:t xml:space="preserve"> </w:t>
      </w:r>
    </w:p>
    <w:p w14:paraId="162F795D" w14:textId="77777777" w:rsidR="00344C2C" w:rsidRDefault="00EB4639">
      <w:pPr>
        <w:spacing w:after="161" w:line="259" w:lineRule="auto"/>
        <w:ind w:left="0" w:right="0" w:firstLine="0"/>
        <w:jc w:val="left"/>
      </w:pPr>
      <w:r>
        <w:rPr>
          <w:b/>
          <w:i/>
        </w:rPr>
        <w:t xml:space="preserve"> </w:t>
      </w:r>
    </w:p>
    <w:p w14:paraId="364F950A" w14:textId="77777777" w:rsidR="00344C2C" w:rsidRDefault="00EB4639">
      <w:pPr>
        <w:spacing w:after="0" w:line="259" w:lineRule="auto"/>
        <w:ind w:left="0" w:right="0" w:firstLine="0"/>
        <w:jc w:val="left"/>
      </w:pPr>
      <w:r>
        <w:rPr>
          <w:b/>
        </w:rPr>
        <w:t xml:space="preserve"> </w:t>
      </w:r>
    </w:p>
    <w:tbl>
      <w:tblPr>
        <w:tblStyle w:val="TableGrid"/>
        <w:tblW w:w="9018" w:type="dxa"/>
        <w:tblInd w:w="-108" w:type="dxa"/>
        <w:tblCellMar>
          <w:left w:w="108" w:type="dxa"/>
          <w:right w:w="115" w:type="dxa"/>
        </w:tblCellMar>
        <w:tblLook w:val="04A0" w:firstRow="1" w:lastRow="0" w:firstColumn="1" w:lastColumn="0" w:noHBand="0" w:noVBand="1"/>
      </w:tblPr>
      <w:tblGrid>
        <w:gridCol w:w="1555"/>
        <w:gridCol w:w="7463"/>
      </w:tblGrid>
      <w:tr w:rsidR="00344C2C" w14:paraId="2A171431" w14:textId="77777777">
        <w:trPr>
          <w:trHeight w:val="526"/>
        </w:trPr>
        <w:tc>
          <w:tcPr>
            <w:tcW w:w="1555" w:type="dxa"/>
            <w:tcBorders>
              <w:top w:val="single" w:sz="4" w:space="0" w:color="000000"/>
              <w:left w:val="single" w:sz="4" w:space="0" w:color="000000"/>
              <w:bottom w:val="single" w:sz="4" w:space="0" w:color="000000"/>
              <w:right w:val="single" w:sz="4" w:space="0" w:color="000000"/>
            </w:tcBorders>
            <w:vAlign w:val="center"/>
          </w:tcPr>
          <w:p w14:paraId="26157993" w14:textId="77777777" w:rsidR="00344C2C" w:rsidRDefault="00EB4639">
            <w:pPr>
              <w:spacing w:after="0" w:line="259" w:lineRule="auto"/>
              <w:ind w:left="0" w:right="0" w:firstLine="0"/>
              <w:jc w:val="left"/>
            </w:pPr>
            <w:r>
              <w:rPr>
                <w:b/>
              </w:rPr>
              <w:t xml:space="preserve">Signed: </w:t>
            </w:r>
          </w:p>
        </w:tc>
        <w:tc>
          <w:tcPr>
            <w:tcW w:w="7463" w:type="dxa"/>
            <w:tcBorders>
              <w:top w:val="single" w:sz="4" w:space="0" w:color="000000"/>
              <w:left w:val="single" w:sz="4" w:space="0" w:color="000000"/>
              <w:bottom w:val="single" w:sz="4" w:space="0" w:color="000000"/>
              <w:right w:val="single" w:sz="4" w:space="0" w:color="000000"/>
            </w:tcBorders>
            <w:vAlign w:val="center"/>
          </w:tcPr>
          <w:p w14:paraId="20E5C72F" w14:textId="77777777" w:rsidR="00344C2C" w:rsidRDefault="00EB4639">
            <w:pPr>
              <w:spacing w:after="0" w:line="259" w:lineRule="auto"/>
              <w:ind w:left="0" w:right="0" w:firstLine="0"/>
              <w:jc w:val="left"/>
            </w:pPr>
            <w:r>
              <w:rPr>
                <w:b/>
              </w:rPr>
              <w:t xml:space="preserve"> </w:t>
            </w:r>
          </w:p>
        </w:tc>
      </w:tr>
    </w:tbl>
    <w:p w14:paraId="526E6588" w14:textId="77777777" w:rsidR="00344C2C" w:rsidRDefault="00EB4639">
      <w:pPr>
        <w:spacing w:after="0" w:line="259" w:lineRule="auto"/>
        <w:ind w:left="0" w:right="0" w:firstLine="0"/>
        <w:jc w:val="left"/>
      </w:pPr>
      <w:r>
        <w:rPr>
          <w:b/>
        </w:rPr>
        <w:t xml:space="preserve"> </w:t>
      </w:r>
    </w:p>
    <w:tbl>
      <w:tblPr>
        <w:tblStyle w:val="TableGrid"/>
        <w:tblW w:w="9018" w:type="dxa"/>
        <w:tblInd w:w="-108" w:type="dxa"/>
        <w:tblCellMar>
          <w:left w:w="108" w:type="dxa"/>
          <w:right w:w="115" w:type="dxa"/>
        </w:tblCellMar>
        <w:tblLook w:val="04A0" w:firstRow="1" w:lastRow="0" w:firstColumn="1" w:lastColumn="0" w:noHBand="0" w:noVBand="1"/>
      </w:tblPr>
      <w:tblGrid>
        <w:gridCol w:w="1555"/>
        <w:gridCol w:w="7463"/>
      </w:tblGrid>
      <w:tr w:rsidR="00344C2C" w14:paraId="1F524C5C" w14:textId="77777777">
        <w:trPr>
          <w:trHeight w:val="526"/>
        </w:trPr>
        <w:tc>
          <w:tcPr>
            <w:tcW w:w="1555" w:type="dxa"/>
            <w:tcBorders>
              <w:top w:val="single" w:sz="4" w:space="0" w:color="000000"/>
              <w:left w:val="single" w:sz="4" w:space="0" w:color="000000"/>
              <w:bottom w:val="single" w:sz="4" w:space="0" w:color="000000"/>
              <w:right w:val="single" w:sz="4" w:space="0" w:color="000000"/>
            </w:tcBorders>
            <w:vAlign w:val="center"/>
          </w:tcPr>
          <w:p w14:paraId="7039E20D" w14:textId="77777777" w:rsidR="00344C2C" w:rsidRDefault="00EB4639">
            <w:pPr>
              <w:spacing w:after="0" w:line="259" w:lineRule="auto"/>
              <w:ind w:left="0" w:right="0" w:firstLine="0"/>
              <w:jc w:val="left"/>
            </w:pPr>
            <w:r>
              <w:rPr>
                <w:b/>
              </w:rPr>
              <w:t xml:space="preserve">Date: </w:t>
            </w:r>
          </w:p>
        </w:tc>
        <w:tc>
          <w:tcPr>
            <w:tcW w:w="7463" w:type="dxa"/>
            <w:tcBorders>
              <w:top w:val="single" w:sz="4" w:space="0" w:color="000000"/>
              <w:left w:val="single" w:sz="4" w:space="0" w:color="000000"/>
              <w:bottom w:val="single" w:sz="4" w:space="0" w:color="000000"/>
              <w:right w:val="single" w:sz="4" w:space="0" w:color="000000"/>
            </w:tcBorders>
            <w:vAlign w:val="center"/>
          </w:tcPr>
          <w:p w14:paraId="77A21025" w14:textId="77777777" w:rsidR="00344C2C" w:rsidRDefault="00EB4639">
            <w:pPr>
              <w:spacing w:after="0" w:line="259" w:lineRule="auto"/>
              <w:ind w:left="0" w:right="0" w:firstLine="0"/>
              <w:jc w:val="left"/>
            </w:pPr>
            <w:r>
              <w:rPr>
                <w:b/>
              </w:rPr>
              <w:t xml:space="preserve"> </w:t>
            </w:r>
          </w:p>
        </w:tc>
      </w:tr>
    </w:tbl>
    <w:p w14:paraId="33483512" w14:textId="77777777" w:rsidR="00344C2C" w:rsidRDefault="00EB4639">
      <w:pPr>
        <w:spacing w:after="328" w:line="259" w:lineRule="auto"/>
        <w:ind w:left="0" w:right="0" w:firstLine="0"/>
        <w:jc w:val="left"/>
      </w:pPr>
      <w:r>
        <w:rPr>
          <w:b/>
        </w:rPr>
        <w:t xml:space="preserve"> </w:t>
      </w:r>
    </w:p>
    <w:p w14:paraId="7428D099" w14:textId="77777777" w:rsidR="00344C2C" w:rsidRDefault="00EB4639">
      <w:pPr>
        <w:pStyle w:val="Heading1"/>
        <w:pBdr>
          <w:top w:val="single" w:sz="4" w:space="0" w:color="000000"/>
          <w:left w:val="single" w:sz="4" w:space="0" w:color="000000"/>
          <w:bottom w:val="single" w:sz="4" w:space="0" w:color="000000"/>
          <w:right w:val="single" w:sz="4" w:space="0" w:color="000000"/>
        </w:pBdr>
        <w:spacing w:after="64" w:line="259" w:lineRule="auto"/>
        <w:ind w:left="0" w:right="1360" w:firstLine="0"/>
        <w:jc w:val="right"/>
      </w:pPr>
      <w:r>
        <w:rPr>
          <w:color w:val="000000"/>
          <w:sz w:val="28"/>
        </w:rPr>
        <w:t xml:space="preserve">This report is to be retained for at least five years </w:t>
      </w:r>
    </w:p>
    <w:p w14:paraId="5CD76E59" w14:textId="77777777" w:rsidR="00344C2C" w:rsidRDefault="00EB4639">
      <w:pPr>
        <w:spacing w:after="0" w:line="259" w:lineRule="auto"/>
        <w:ind w:left="0" w:right="0" w:firstLine="0"/>
        <w:jc w:val="left"/>
      </w:pPr>
      <w:r>
        <w:rPr>
          <w:b/>
        </w:rPr>
        <w:t xml:space="preserve"> </w:t>
      </w:r>
    </w:p>
    <w:sectPr w:rsidR="00344C2C">
      <w:footerReference w:type="even" r:id="rId31"/>
      <w:footerReference w:type="default" r:id="rId32"/>
      <w:footerReference w:type="first" r:id="rId33"/>
      <w:pgSz w:w="11906" w:h="16838"/>
      <w:pgMar w:top="1438" w:right="1435" w:bottom="1469"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3A67" w14:textId="77777777" w:rsidR="00EB4639" w:rsidRDefault="00EB4639">
      <w:pPr>
        <w:spacing w:after="0" w:line="240" w:lineRule="auto"/>
      </w:pPr>
      <w:r>
        <w:separator/>
      </w:r>
    </w:p>
  </w:endnote>
  <w:endnote w:type="continuationSeparator" w:id="0">
    <w:p w14:paraId="744DDA7C" w14:textId="77777777" w:rsidR="00EB4639" w:rsidRDefault="00EB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B612" w14:textId="77777777" w:rsidR="00344C2C" w:rsidRDefault="00EB4639">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027FBE" w14:textId="77777777" w:rsidR="00344C2C" w:rsidRDefault="00EB463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F3FE" w14:textId="6ECF55F2" w:rsidR="00344C2C" w:rsidRDefault="0061422F">
    <w:pPr>
      <w:spacing w:after="0" w:line="259" w:lineRule="auto"/>
      <w:ind w:left="0" w:right="0" w:firstLine="0"/>
      <w:jc w:val="left"/>
    </w:pPr>
    <w:r w:rsidRPr="0061422F">
      <w:rPr>
        <w:rFonts w:asciiTheme="minorHAnsi" w:eastAsiaTheme="minorEastAsia" w:hAnsiTheme="minorHAnsi" w:cs="Times New Roman"/>
        <w:color w:val="auto"/>
        <w:kern w:val="0"/>
        <w:sz w:val="22"/>
        <w:szCs w:val="22"/>
        <w:lang w:val="en-US" w:eastAsia="en-US"/>
        <w14:ligatures w14:val="none"/>
      </w:rPr>
      <w:ptab w:relativeTo="margin" w:alignment="center" w:leader="none"/>
    </w:r>
    <w:r w:rsidRPr="0061422F">
      <w:rPr>
        <w:rFonts w:asciiTheme="minorHAnsi" w:eastAsiaTheme="minorEastAsia" w:hAnsiTheme="minorHAnsi" w:cs="Times New Roman"/>
        <w:color w:val="auto"/>
        <w:kern w:val="0"/>
        <w:sz w:val="22"/>
        <w:szCs w:val="22"/>
        <w:lang w:val="en-US" w:eastAsia="en-US"/>
        <w14:ligatures w14:val="none"/>
      </w:rPr>
      <w:fldChar w:fldCharType="begin"/>
    </w:r>
    <w:r w:rsidRPr="0061422F">
      <w:rPr>
        <w:rFonts w:asciiTheme="minorHAnsi" w:eastAsiaTheme="minorEastAsia" w:hAnsiTheme="minorHAnsi" w:cs="Times New Roman"/>
        <w:color w:val="auto"/>
        <w:kern w:val="0"/>
        <w:sz w:val="22"/>
        <w:szCs w:val="22"/>
        <w:lang w:val="en-US" w:eastAsia="en-US"/>
        <w14:ligatures w14:val="none"/>
      </w:rPr>
      <w:instrText xml:space="preserve"> PAGE   \* MERGEFORMAT </w:instrText>
    </w:r>
    <w:r w:rsidRPr="0061422F">
      <w:rPr>
        <w:rFonts w:asciiTheme="minorHAnsi" w:eastAsiaTheme="minorEastAsia" w:hAnsiTheme="minorHAnsi" w:cs="Times New Roman"/>
        <w:color w:val="auto"/>
        <w:kern w:val="0"/>
        <w:sz w:val="22"/>
        <w:szCs w:val="22"/>
        <w:lang w:val="en-US" w:eastAsia="en-US"/>
        <w14:ligatures w14:val="none"/>
      </w:rPr>
      <w:fldChar w:fldCharType="separate"/>
    </w:r>
    <w:r w:rsidRPr="0061422F">
      <w:rPr>
        <w:rFonts w:asciiTheme="minorHAnsi" w:eastAsiaTheme="minorEastAsia" w:hAnsiTheme="minorHAnsi" w:cs="Times New Roman"/>
        <w:noProof/>
        <w:color w:val="auto"/>
        <w:kern w:val="0"/>
        <w:sz w:val="22"/>
        <w:szCs w:val="22"/>
        <w:lang w:val="en-US" w:eastAsia="en-US"/>
        <w14:ligatures w14:val="none"/>
      </w:rPr>
      <w:t>1</w:t>
    </w:r>
    <w:r w:rsidRPr="0061422F">
      <w:rPr>
        <w:rFonts w:asciiTheme="minorHAnsi" w:eastAsiaTheme="minorEastAsia" w:hAnsiTheme="minorHAnsi" w:cs="Times New Roman"/>
        <w:noProof/>
        <w:color w:val="auto"/>
        <w:kern w:val="0"/>
        <w:sz w:val="22"/>
        <w:szCs w:val="22"/>
        <w:lang w:val="en-US" w:eastAsia="en-US"/>
        <w14:ligatures w14:val="none"/>
      </w:rPr>
      <w:fldChar w:fldCharType="end"/>
    </w:r>
    <w:r w:rsidRPr="0061422F">
      <w:rPr>
        <w:rFonts w:asciiTheme="minorHAnsi" w:eastAsiaTheme="minorEastAsia" w:hAnsiTheme="minorHAnsi" w:cs="Times New Roman"/>
        <w:color w:val="auto"/>
        <w:kern w:val="0"/>
        <w:sz w:val="22"/>
        <w:szCs w:val="22"/>
        <w:lang w:val="en-US" w:eastAsia="en-US"/>
        <w14:ligatures w14:val="none"/>
      </w:rPr>
      <w:ptab w:relativeTo="margin" w:alignment="right" w:leader="none"/>
    </w:r>
    <w:r>
      <w:rPr>
        <w:rFonts w:asciiTheme="minorHAnsi" w:eastAsiaTheme="minorEastAsia" w:hAnsiTheme="minorHAnsi" w:cs="Times New Roman"/>
        <w:color w:val="auto"/>
        <w:kern w:val="0"/>
        <w:sz w:val="22"/>
        <w:szCs w:val="22"/>
        <w:lang w:val="en-US" w:eastAsia="en-US"/>
        <w14:ligatures w14:val="none"/>
      </w:rPr>
      <w:t xml:space="preserve">Reviewed </w:t>
    </w:r>
    <w:r>
      <w:rPr>
        <w:rFonts w:asciiTheme="minorHAnsi" w:eastAsiaTheme="minorEastAsia" w:hAnsiTheme="minorHAnsi" w:cs="Times New Roman"/>
        <w:color w:val="auto"/>
        <w:kern w:val="0"/>
        <w:sz w:val="22"/>
        <w:szCs w:val="22"/>
        <w:lang w:eastAsia="en-US"/>
        <w14:ligatures w14:val="none"/>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873F" w14:textId="77777777" w:rsidR="00344C2C" w:rsidRDefault="00EB4639">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36B3B33" w14:textId="77777777" w:rsidR="00344C2C" w:rsidRDefault="00EB4639">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E0FC" w14:textId="77777777" w:rsidR="00EB4639" w:rsidRDefault="00EB4639">
      <w:pPr>
        <w:spacing w:after="0" w:line="240" w:lineRule="auto"/>
      </w:pPr>
      <w:r>
        <w:separator/>
      </w:r>
    </w:p>
  </w:footnote>
  <w:footnote w:type="continuationSeparator" w:id="0">
    <w:p w14:paraId="163243F7" w14:textId="77777777" w:rsidR="00EB4639" w:rsidRDefault="00EB4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5E09"/>
    <w:multiLevelType w:val="multilevel"/>
    <w:tmpl w:val="DE90C938"/>
    <w:lvl w:ilvl="0">
      <w:start w:val="1"/>
      <w:numFmt w:val="bullet"/>
      <w:lvlText w:val="•"/>
      <w:lvlJc w:val="left"/>
      <w:pPr>
        <w:ind w:left="1068"/>
      </w:pPr>
      <w:rPr>
        <w:rFonts w:ascii="Arial" w:eastAsia="Arial" w:hAnsi="Arial" w:cs="Arial"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336C1F"/>
    <w:multiLevelType w:val="hybridMultilevel"/>
    <w:tmpl w:val="60A06496"/>
    <w:lvl w:ilvl="0" w:tplc="52840662">
      <w:start w:val="1"/>
      <w:numFmt w:val="bullet"/>
      <w:lvlText w:val="•"/>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01C9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F802B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49D8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ED9D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7C3C7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66BCC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AEAD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A7DF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E23D6F"/>
    <w:multiLevelType w:val="multilevel"/>
    <w:tmpl w:val="A0B8592C"/>
    <w:lvl w:ilvl="0">
      <w:start w:val="2"/>
      <w:numFmt w:val="decimal"/>
      <w:lvlText w:val="%1."/>
      <w:lvlJc w:val="left"/>
      <w:pPr>
        <w:ind w:left="720"/>
      </w:pPr>
      <w:rPr>
        <w:rFonts w:ascii="Arial" w:eastAsia="Arial" w:hAnsi="Arial" w:cs="Arial"/>
        <w:b/>
        <w:bCs/>
        <w:i w:val="0"/>
        <w:strike w:val="0"/>
        <w:dstrike w:val="0"/>
        <w:color w:val="538135"/>
        <w:sz w:val="24"/>
        <w:szCs w:val="24"/>
        <w:u w:val="none" w:color="000000"/>
        <w:bdr w:val="none" w:sz="0" w:space="0" w:color="auto"/>
        <w:shd w:val="clear" w:color="auto" w:fill="auto"/>
        <w:vertAlign w:val="baseline"/>
      </w:rPr>
    </w:lvl>
    <w:lvl w:ilvl="1">
      <w:start w:val="1"/>
      <w:numFmt w:val="decimal"/>
      <w:lvlText w:val="%1.%2"/>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994BD4"/>
    <w:multiLevelType w:val="hybridMultilevel"/>
    <w:tmpl w:val="B464D3D2"/>
    <w:lvl w:ilvl="0" w:tplc="C5D4D5E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C2A3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643CB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A8EB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A74B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763C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16948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A046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8605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496C05"/>
    <w:multiLevelType w:val="hybridMultilevel"/>
    <w:tmpl w:val="74AAFFEA"/>
    <w:lvl w:ilvl="0" w:tplc="3B78F88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F6B7A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C6A28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0E63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88CE5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E45B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CE8B5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2C51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2A7B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8F69A2"/>
    <w:multiLevelType w:val="multilevel"/>
    <w:tmpl w:val="5A24A468"/>
    <w:lvl w:ilvl="0">
      <w:start w:val="4"/>
      <w:numFmt w:val="decimal"/>
      <w:lvlText w:val="%1."/>
      <w:lvlJc w:val="left"/>
      <w:pPr>
        <w:ind w:left="720"/>
      </w:pPr>
      <w:rPr>
        <w:rFonts w:ascii="Arial" w:eastAsia="Arial" w:hAnsi="Arial" w:cs="Arial"/>
        <w:b/>
        <w:bCs/>
        <w:i w:val="0"/>
        <w:strike w:val="0"/>
        <w:dstrike w:val="0"/>
        <w:color w:val="538135"/>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29110878">
    <w:abstractNumId w:val="2"/>
  </w:num>
  <w:num w:numId="2" w16cid:durableId="1538808069">
    <w:abstractNumId w:val="5"/>
  </w:num>
  <w:num w:numId="3" w16cid:durableId="197939224">
    <w:abstractNumId w:val="4"/>
  </w:num>
  <w:num w:numId="4" w16cid:durableId="1940486625">
    <w:abstractNumId w:val="1"/>
  </w:num>
  <w:num w:numId="5" w16cid:durableId="708839317">
    <w:abstractNumId w:val="3"/>
  </w:num>
  <w:num w:numId="6" w16cid:durableId="10353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2C"/>
    <w:rsid w:val="000547A7"/>
    <w:rsid w:val="00193793"/>
    <w:rsid w:val="00286A31"/>
    <w:rsid w:val="003161FA"/>
    <w:rsid w:val="00344C2C"/>
    <w:rsid w:val="0061422F"/>
    <w:rsid w:val="009A2A35"/>
    <w:rsid w:val="00B6687B"/>
    <w:rsid w:val="00B7436B"/>
    <w:rsid w:val="00CA0647"/>
    <w:rsid w:val="00EB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C30CB"/>
  <w15:docId w15:val="{57F9AC1B-726C-4580-AF4D-B91D9AF0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18" w:right="1" w:hanging="718"/>
      <w:jc w:val="both"/>
    </w:pPr>
    <w:rPr>
      <w:rFonts w:ascii="Arial" w:eastAsia="Arial" w:hAnsi="Arial" w:cs="Arial"/>
      <w:color w:val="000000"/>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538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3813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3793"/>
    <w:pPr>
      <w:ind w:left="720"/>
      <w:contextualSpacing/>
    </w:pPr>
  </w:style>
  <w:style w:type="paragraph" w:styleId="Header">
    <w:name w:val="header"/>
    <w:basedOn w:val="Normal"/>
    <w:link w:val="HeaderChar"/>
    <w:uiPriority w:val="99"/>
    <w:unhideWhenUsed/>
    <w:rsid w:val="00193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793"/>
    <w:rPr>
      <w:rFonts w:ascii="Arial" w:eastAsia="Arial" w:hAnsi="Arial" w:cs="Arial"/>
      <w:color w:val="000000"/>
    </w:rPr>
  </w:style>
  <w:style w:type="paragraph" w:styleId="Footer">
    <w:name w:val="footer"/>
    <w:basedOn w:val="Normal"/>
    <w:link w:val="FooterChar"/>
    <w:uiPriority w:val="99"/>
    <w:unhideWhenUsed/>
    <w:rsid w:val="00193793"/>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193793"/>
    <w:rPr>
      <w:rFonts w:cs="Times New Roman"/>
      <w:kern w:val="0"/>
      <w:sz w:val="22"/>
      <w:szCs w:val="22"/>
      <w:lang w:val="en-US" w:eastAsia="en-US"/>
      <w14:ligatures w14:val="none"/>
    </w:rPr>
  </w:style>
  <w:style w:type="character" w:styleId="Hyperlink">
    <w:name w:val="Hyperlink"/>
    <w:basedOn w:val="DefaultParagraphFont"/>
    <w:uiPriority w:val="99"/>
    <w:unhideWhenUsed/>
    <w:rsid w:val="000547A7"/>
    <w:rPr>
      <w:color w:val="467886" w:themeColor="hyperlink"/>
      <w:u w:val="single"/>
    </w:rPr>
  </w:style>
  <w:style w:type="character" w:styleId="UnresolvedMention">
    <w:name w:val="Unresolved Mention"/>
    <w:basedOn w:val="DefaultParagraphFont"/>
    <w:uiPriority w:val="99"/>
    <w:semiHidden/>
    <w:unhideWhenUsed/>
    <w:rsid w:val="000547A7"/>
    <w:rPr>
      <w:color w:val="605E5C"/>
      <w:shd w:val="clear" w:color="auto" w:fill="E1DFDD"/>
    </w:rPr>
  </w:style>
  <w:style w:type="character" w:styleId="FollowedHyperlink">
    <w:name w:val="FollowedHyperlink"/>
    <w:basedOn w:val="DefaultParagraphFont"/>
    <w:uiPriority w:val="99"/>
    <w:semiHidden/>
    <w:unhideWhenUsed/>
    <w:rsid w:val="000547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ipfa.org/membership/practice-assurance-scheme/anti-" TargetMode="External"/><Relationship Id="rId18" Type="http://schemas.openxmlformats.org/officeDocument/2006/relationships/hyperlink" Target="http://www.lawsociety.org.uk/advice/anti-money-laundering/" TargetMode="External"/><Relationship Id="rId26" Type="http://schemas.openxmlformats.org/officeDocument/2006/relationships/hyperlink" Target="http://intranet.nottscc.gov.uk/workingforncc/wfncc-supportforstaff/whistleblowing/" TargetMode="External"/><Relationship Id="rId3" Type="http://schemas.openxmlformats.org/officeDocument/2006/relationships/settings" Target="settings.xml"/><Relationship Id="rId21" Type="http://schemas.openxmlformats.org/officeDocument/2006/relationships/hyperlink" Target="https://home.nottscc.gov.uk/working/departments/chief-executives/audit?_gl=1*16ly5mk*_ga*MTMyNTk5OTYxMC4xNjQyNDIwODI5*_ga_2W78ZJC2TJ*MTc0NTgzNjc5Ni45NTkuMS4xNzQ1ODQwMjk3LjAuMC4w"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ipfa.org/members/members-in-practice/anti-money-laundering" TargetMode="External"/><Relationship Id="rId17" Type="http://schemas.openxmlformats.org/officeDocument/2006/relationships/hyperlink" Target="http://www.lawsociety.org.uk/advice/anti-money-laundering/" TargetMode="External"/><Relationship Id="rId25" Type="http://schemas.openxmlformats.org/officeDocument/2006/relationships/hyperlink" Target="https://www.nottinghamshire.gov.uk/jobs-and-working/working-for-us/whistleblowing-policy"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lawsociety.org.uk/advice/anti-money-laundering/" TargetMode="External"/><Relationship Id="rId20" Type="http://schemas.openxmlformats.org/officeDocument/2006/relationships/hyperlink" Target="http://www.lawsociety.org.uk/advice/anti-money-laundering/" TargetMode="External"/><Relationship Id="rId29" Type="http://schemas.openxmlformats.org/officeDocument/2006/relationships/hyperlink" Target="https://websearch.nottinghamshire.gov.uk/?query=financial+regulations&amp;_gl=1*epoic5*_gcl_au*MTI5NTQ3MTQ1Ni4xNzQyOTE3Mzkz*_ga*MTA2MjgwODg4OC4xNjQyNDM2NTM0*_ga_QHE3HKNBEC*MTc0NTgzNzQxNy44OC4xLjE3NDU4Mzc4NjguMTIuMC4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crimeagency.gov.uk/" TargetMode="External"/><Relationship Id="rId24" Type="http://schemas.openxmlformats.org/officeDocument/2006/relationships/hyperlink" Target="http://www.nottinghamshire.gov.uk/council-and-democracy/finance-and-budget/preventing-fraud"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awsociety.org.uk/advice/anti-money-laundering/" TargetMode="External"/><Relationship Id="rId23" Type="http://schemas.openxmlformats.org/officeDocument/2006/relationships/hyperlink" Target="http://www.nottinghamshire.gov.uk/council-and-democracy/finance-and-budget/preventing-fraud" TargetMode="External"/><Relationship Id="rId28" Type="http://schemas.openxmlformats.org/officeDocument/2006/relationships/hyperlink" Target="http://intranet.nottscc.gov.uk/workingforncc/wfncc-termsandconditions/personnelhandbook-contents/personnelhandbook-sectiond35/" TargetMode="External"/><Relationship Id="rId10" Type="http://schemas.openxmlformats.org/officeDocument/2006/relationships/hyperlink" Target="http://www.nationalcrimeagency.gov.uk/" TargetMode="External"/><Relationship Id="rId19" Type="http://schemas.openxmlformats.org/officeDocument/2006/relationships/hyperlink" Target="http://www.lawsociety.org.uk/advice/anti-money-launderi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ionalcrimeagency.gov.uk/" TargetMode="External"/><Relationship Id="rId14" Type="http://schemas.openxmlformats.org/officeDocument/2006/relationships/hyperlink" Target="https://www.ccab.org.uk/anti-money-laundering-and-counter-terrorist-financing-guidance-for-the-accountancy-sector-2023/" TargetMode="External"/><Relationship Id="rId22" Type="http://schemas.openxmlformats.org/officeDocument/2006/relationships/hyperlink" Target="http://www.nottinghamshire.gov.uk/council-and-democracy/finance-and-budget/preventing-fraud" TargetMode="External"/><Relationship Id="rId27" Type="http://schemas.openxmlformats.org/officeDocument/2006/relationships/hyperlink" Target="https://websearch.nottinghamshire.gov.uk/?query=codes+of+conduct+&amp;_gl=1*16tt2yb*_gcl_au*MTI5NTQ3MTQ1Ni4xNzQyOTE3Mzkz*_ga*MTA2MjgwODg4OC4xNjQyNDM2NTM0*_ga_QHE3HKNBEC*MTc0NTgzNzQxNy44OC4xLjE3NDU4Mzc4MjAuNjAuMC4w" TargetMode="External"/><Relationship Id="rId30" Type="http://schemas.openxmlformats.org/officeDocument/2006/relationships/hyperlink" Target="http://intranet.nottscc.gov.uk/financeadmin/financeadmin-financemanagement/financialregulations/" TargetMode="External"/><Relationship Id="rId35" Type="http://schemas.openxmlformats.org/officeDocument/2006/relationships/theme" Target="theme/theme1.xml"/><Relationship Id="rId8" Type="http://schemas.openxmlformats.org/officeDocument/2006/relationships/hyperlink" Target="http://www.nationalcrime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9</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Willimsky</dc:creator>
  <cp:keywords/>
  <cp:lastModifiedBy>Angela Wendels</cp:lastModifiedBy>
  <cp:revision>5</cp:revision>
  <dcterms:created xsi:type="dcterms:W3CDTF">2025-04-28T09:57:00Z</dcterms:created>
  <dcterms:modified xsi:type="dcterms:W3CDTF">2025-04-28T12:20:00Z</dcterms:modified>
</cp:coreProperties>
</file>