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B8676" w14:textId="77777777" w:rsidR="00AA46AE" w:rsidRDefault="00AA46AE" w:rsidP="00AA46AE">
      <w:pPr>
        <w:jc w:val="center"/>
        <w:rPr>
          <w:b/>
          <w:bCs/>
          <w:sz w:val="28"/>
          <w:szCs w:val="28"/>
          <w:u w:val="single"/>
        </w:rPr>
      </w:pPr>
      <w:r w:rsidRPr="00AA46AE">
        <w:rPr>
          <w:b/>
          <w:bCs/>
          <w:sz w:val="28"/>
          <w:szCs w:val="28"/>
          <w:u w:val="single"/>
        </w:rPr>
        <w:t>The DoLS Acid Test</w:t>
      </w:r>
    </w:p>
    <w:p w14:paraId="4C7AC310" w14:textId="77777777" w:rsidR="00AA46AE" w:rsidRPr="00AA46AE" w:rsidRDefault="00AA46AE" w:rsidP="00AA46AE">
      <w:pPr>
        <w:jc w:val="center"/>
        <w:rPr>
          <w:b/>
          <w:bCs/>
          <w:sz w:val="28"/>
          <w:szCs w:val="28"/>
          <w:u w:val="single"/>
        </w:rPr>
      </w:pPr>
    </w:p>
    <w:p w14:paraId="0FD23403" w14:textId="77777777" w:rsidR="00AA46AE" w:rsidRPr="00AA46AE" w:rsidRDefault="00AA46AE" w:rsidP="00AA46AE">
      <w:r w:rsidRPr="00AA46AE">
        <w:t xml:space="preserve">The </w:t>
      </w:r>
      <w:r w:rsidRPr="00AA46AE">
        <w:rPr>
          <w:b/>
          <w:bCs/>
        </w:rPr>
        <w:t>Deprivation of Liberty Safeguards (DoLS)</w:t>
      </w:r>
      <w:r w:rsidRPr="00AA46AE">
        <w:t xml:space="preserve"> are part of the Mental Capacity Act 2005. They provide legal protection for individuals aged 18 or over who lack the capacity to consent to their care or treatment arrangements in a hospital or care home.</w:t>
      </w:r>
    </w:p>
    <w:p w14:paraId="0E221416" w14:textId="77777777" w:rsidR="00AA46AE" w:rsidRPr="00AA46AE" w:rsidRDefault="00AA46AE" w:rsidP="00AA46AE">
      <w:r w:rsidRPr="00AA46AE">
        <w:t xml:space="preserve">The </w:t>
      </w:r>
      <w:r w:rsidRPr="00AA46AE">
        <w:rPr>
          <w:b/>
          <w:bCs/>
        </w:rPr>
        <w:t>acid test</w:t>
      </w:r>
      <w:r w:rsidRPr="00AA46AE">
        <w:t xml:space="preserve"> is a legal standard established by the Supreme Court in the case of </w:t>
      </w:r>
      <w:r w:rsidRPr="00AA46AE">
        <w:rPr>
          <w:i/>
          <w:iCs/>
        </w:rPr>
        <w:t>Cheshire West and Chester Council v P (2014)</w:t>
      </w:r>
      <w:r w:rsidRPr="00AA46AE">
        <w:t>. It is used to determine whether a person is being deprived of their liberty under Article 5 of the European Convention on Human Rights.</w:t>
      </w:r>
    </w:p>
    <w:p w14:paraId="4C693DEC" w14:textId="77777777" w:rsidR="00AA46AE" w:rsidRPr="00AA46AE" w:rsidRDefault="00AA46AE" w:rsidP="00AA46AE">
      <w:pPr>
        <w:rPr>
          <w:b/>
          <w:bCs/>
        </w:rPr>
      </w:pPr>
      <w:r w:rsidRPr="00AA46AE">
        <w:rPr>
          <w:b/>
          <w:bCs/>
        </w:rPr>
        <w:t>The Acid Test Criteria</w:t>
      </w:r>
    </w:p>
    <w:p w14:paraId="7C796DD5" w14:textId="77777777" w:rsidR="00AA46AE" w:rsidRPr="00AA46AE" w:rsidRDefault="00AA46AE" w:rsidP="00AA46AE">
      <w:r w:rsidRPr="00AA46AE">
        <w:t xml:space="preserve">A person is considered to be deprived of their liberty if </w:t>
      </w:r>
      <w:r w:rsidRPr="00AA46AE">
        <w:rPr>
          <w:b/>
          <w:bCs/>
        </w:rPr>
        <w:t>both</w:t>
      </w:r>
      <w:r w:rsidRPr="00AA46AE">
        <w:t xml:space="preserve"> of the following conditions are met:</w:t>
      </w:r>
    </w:p>
    <w:p w14:paraId="5977822F" w14:textId="77777777" w:rsidR="00AA46AE" w:rsidRPr="00AA46AE" w:rsidRDefault="00AA46AE" w:rsidP="00AA46AE">
      <w:pPr>
        <w:numPr>
          <w:ilvl w:val="0"/>
          <w:numId w:val="1"/>
        </w:numPr>
      </w:pPr>
      <w:r w:rsidRPr="00AA46AE">
        <w:rPr>
          <w:b/>
          <w:bCs/>
        </w:rPr>
        <w:t>Continuous Supervision and Control</w:t>
      </w:r>
      <w:r w:rsidRPr="00AA46AE">
        <w:br/>
        <w:t xml:space="preserve">The person </w:t>
      </w:r>
      <w:proofErr w:type="gramStart"/>
      <w:r w:rsidRPr="00AA46AE">
        <w:t>is</w:t>
      </w:r>
      <w:proofErr w:type="gramEnd"/>
      <w:r w:rsidRPr="00AA46AE">
        <w:t xml:space="preserve"> under ongoing supervision by staff or carers. This includes regular monitoring and decision-making about their daily activities, movements, and care.</w:t>
      </w:r>
    </w:p>
    <w:p w14:paraId="58CA1E03" w14:textId="77777777" w:rsidR="00AA46AE" w:rsidRPr="00AA46AE" w:rsidRDefault="00AA46AE" w:rsidP="00AA46AE">
      <w:pPr>
        <w:numPr>
          <w:ilvl w:val="0"/>
          <w:numId w:val="1"/>
        </w:numPr>
      </w:pPr>
      <w:r w:rsidRPr="00AA46AE">
        <w:rPr>
          <w:b/>
          <w:bCs/>
        </w:rPr>
        <w:t>Not Free to Leave</w:t>
      </w:r>
      <w:r w:rsidRPr="00AA46AE">
        <w:br/>
        <w:t>The person is not permitted to leave the care home or hospital permanently. This applies even if they are not attempting to leave or do not express a wish to do so.</w:t>
      </w:r>
    </w:p>
    <w:p w14:paraId="5CEE4A3B" w14:textId="77777777" w:rsidR="00AA46AE" w:rsidRPr="00AA46AE" w:rsidRDefault="00AA46AE" w:rsidP="00AA46AE">
      <w:r w:rsidRPr="00AA46AE">
        <w:t>It is important to note that:</w:t>
      </w:r>
    </w:p>
    <w:p w14:paraId="3CA29DEA" w14:textId="77777777" w:rsidR="00AA46AE" w:rsidRPr="00AA46AE" w:rsidRDefault="00AA46AE" w:rsidP="00AA46AE">
      <w:pPr>
        <w:numPr>
          <w:ilvl w:val="0"/>
          <w:numId w:val="2"/>
        </w:numPr>
      </w:pPr>
      <w:r w:rsidRPr="00AA46AE">
        <w:t>The person may be allowed to leave the care setting temporarily (e.g. for community visits or outings), but they are not free to leave permanently or decide to live elsewhere without formal arrangements.</w:t>
      </w:r>
    </w:p>
    <w:p w14:paraId="4590E3BD" w14:textId="77777777" w:rsidR="00AA46AE" w:rsidRPr="00AA46AE" w:rsidRDefault="00AA46AE" w:rsidP="00AA46AE">
      <w:pPr>
        <w:numPr>
          <w:ilvl w:val="0"/>
          <w:numId w:val="2"/>
        </w:numPr>
      </w:pPr>
      <w:r w:rsidRPr="00AA46AE">
        <w:t>The acid test applies regardless of whether the person is compliant with or appears content in their current placement.</w:t>
      </w:r>
    </w:p>
    <w:p w14:paraId="627D994F" w14:textId="77777777" w:rsidR="00AA46AE" w:rsidRPr="00AA46AE" w:rsidRDefault="00AA46AE" w:rsidP="00AA46AE">
      <w:pPr>
        <w:numPr>
          <w:ilvl w:val="0"/>
          <w:numId w:val="2"/>
        </w:numPr>
      </w:pPr>
      <w:r w:rsidRPr="00AA46AE">
        <w:t>The presence or absence of physical restraint is not relevant to the test.</w:t>
      </w:r>
    </w:p>
    <w:p w14:paraId="076F48C4" w14:textId="77777777" w:rsidR="00AA46AE" w:rsidRPr="00AA46AE" w:rsidRDefault="00AA46AE" w:rsidP="00AA46AE">
      <w:pPr>
        <w:rPr>
          <w:b/>
          <w:bCs/>
        </w:rPr>
      </w:pPr>
      <w:r w:rsidRPr="00AA46AE">
        <w:rPr>
          <w:b/>
          <w:bCs/>
        </w:rPr>
        <w:t>Legal Implications</w:t>
      </w:r>
    </w:p>
    <w:p w14:paraId="53472B3E" w14:textId="777ACDAA" w:rsidR="00AA46AE" w:rsidRPr="00AA46AE" w:rsidRDefault="00AA46AE" w:rsidP="00AA46AE">
      <w:r w:rsidRPr="00AA46AE">
        <w:t xml:space="preserve">If the acid test is met, the care provider must apply for a </w:t>
      </w:r>
      <w:r w:rsidRPr="00AA46AE">
        <w:rPr>
          <w:b/>
          <w:bCs/>
        </w:rPr>
        <w:t>Standard Authorisation</w:t>
      </w:r>
      <w:r w:rsidRPr="00AA46AE">
        <w:t xml:space="preserve"> under DoLS. This ensures that the deprivation of liberty is lawful, necessary, and in the person’s best interests. </w:t>
      </w:r>
    </w:p>
    <w:p w14:paraId="7BCF073E" w14:textId="77777777" w:rsidR="008318DA" w:rsidRDefault="008318DA"/>
    <w:sectPr w:rsidR="008318D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BC0784"/>
    <w:multiLevelType w:val="multilevel"/>
    <w:tmpl w:val="ED98A2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CD2F8C"/>
    <w:multiLevelType w:val="multilevel"/>
    <w:tmpl w:val="925A31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4752724">
    <w:abstractNumId w:val="1"/>
  </w:num>
  <w:num w:numId="2" w16cid:durableId="8943121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46AE"/>
    <w:rsid w:val="00205E6C"/>
    <w:rsid w:val="00250789"/>
    <w:rsid w:val="00450332"/>
    <w:rsid w:val="005F2DC3"/>
    <w:rsid w:val="00755FFD"/>
    <w:rsid w:val="007B3677"/>
    <w:rsid w:val="008318DA"/>
    <w:rsid w:val="008A36EA"/>
    <w:rsid w:val="00A224A6"/>
    <w:rsid w:val="00AA46AE"/>
    <w:rsid w:val="00C12ECF"/>
    <w:rsid w:val="00F52A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E04FF"/>
  <w15:chartTrackingRefBased/>
  <w15:docId w15:val="{CDA830B4-7181-4E28-B99D-42292402E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A46A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A46A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A46A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A46A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A46A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A46A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A46A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A46A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A46A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A46A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A46A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A46A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A46A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A46A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A46A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A46A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A46A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A46AE"/>
    <w:rPr>
      <w:rFonts w:eastAsiaTheme="majorEastAsia" w:cstheme="majorBidi"/>
      <w:color w:val="272727" w:themeColor="text1" w:themeTint="D8"/>
    </w:rPr>
  </w:style>
  <w:style w:type="paragraph" w:styleId="Title">
    <w:name w:val="Title"/>
    <w:basedOn w:val="Normal"/>
    <w:next w:val="Normal"/>
    <w:link w:val="TitleChar"/>
    <w:uiPriority w:val="10"/>
    <w:qFormat/>
    <w:rsid w:val="00AA46A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A46A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A46A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A46A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A46AE"/>
    <w:pPr>
      <w:spacing w:before="160"/>
      <w:jc w:val="center"/>
    </w:pPr>
    <w:rPr>
      <w:i/>
      <w:iCs/>
      <w:color w:val="404040" w:themeColor="text1" w:themeTint="BF"/>
    </w:rPr>
  </w:style>
  <w:style w:type="character" w:customStyle="1" w:styleId="QuoteChar">
    <w:name w:val="Quote Char"/>
    <w:basedOn w:val="DefaultParagraphFont"/>
    <w:link w:val="Quote"/>
    <w:uiPriority w:val="29"/>
    <w:rsid w:val="00AA46AE"/>
    <w:rPr>
      <w:i/>
      <w:iCs/>
      <w:color w:val="404040" w:themeColor="text1" w:themeTint="BF"/>
    </w:rPr>
  </w:style>
  <w:style w:type="paragraph" w:styleId="ListParagraph">
    <w:name w:val="List Paragraph"/>
    <w:basedOn w:val="Normal"/>
    <w:uiPriority w:val="34"/>
    <w:qFormat/>
    <w:rsid w:val="00AA46AE"/>
    <w:pPr>
      <w:ind w:left="720"/>
      <w:contextualSpacing/>
    </w:pPr>
  </w:style>
  <w:style w:type="character" w:styleId="IntenseEmphasis">
    <w:name w:val="Intense Emphasis"/>
    <w:basedOn w:val="DefaultParagraphFont"/>
    <w:uiPriority w:val="21"/>
    <w:qFormat/>
    <w:rsid w:val="00AA46AE"/>
    <w:rPr>
      <w:i/>
      <w:iCs/>
      <w:color w:val="0F4761" w:themeColor="accent1" w:themeShade="BF"/>
    </w:rPr>
  </w:style>
  <w:style w:type="paragraph" w:styleId="IntenseQuote">
    <w:name w:val="Intense Quote"/>
    <w:basedOn w:val="Normal"/>
    <w:next w:val="Normal"/>
    <w:link w:val="IntenseQuoteChar"/>
    <w:uiPriority w:val="30"/>
    <w:qFormat/>
    <w:rsid w:val="00AA46A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A46AE"/>
    <w:rPr>
      <w:i/>
      <w:iCs/>
      <w:color w:val="0F4761" w:themeColor="accent1" w:themeShade="BF"/>
    </w:rPr>
  </w:style>
  <w:style w:type="character" w:styleId="IntenseReference">
    <w:name w:val="Intense Reference"/>
    <w:basedOn w:val="DefaultParagraphFont"/>
    <w:uiPriority w:val="32"/>
    <w:qFormat/>
    <w:rsid w:val="00AA46A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030043">
      <w:bodyDiv w:val="1"/>
      <w:marLeft w:val="0"/>
      <w:marRight w:val="0"/>
      <w:marTop w:val="0"/>
      <w:marBottom w:val="0"/>
      <w:divBdr>
        <w:top w:val="none" w:sz="0" w:space="0" w:color="auto"/>
        <w:left w:val="none" w:sz="0" w:space="0" w:color="auto"/>
        <w:bottom w:val="none" w:sz="0" w:space="0" w:color="auto"/>
        <w:right w:val="none" w:sz="0" w:space="0" w:color="auto"/>
      </w:divBdr>
    </w:div>
    <w:div w:id="110508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91D39C41C0794394ABAA7DBE2D98F4" ma:contentTypeVersion="3" ma:contentTypeDescription="Create a new document." ma:contentTypeScope="" ma:versionID="ca46d6472065a9d86c93fd27ae0944d0">
  <xsd:schema xmlns:xsd="http://www.w3.org/2001/XMLSchema" xmlns:xs="http://www.w3.org/2001/XMLSchema" xmlns:p="http://schemas.microsoft.com/office/2006/metadata/properties" xmlns:ns2="c246cf58-e6ac-4896-9b7a-fa90d4bec659" targetNamespace="http://schemas.microsoft.com/office/2006/metadata/properties" ma:root="true" ma:fieldsID="1caca2ed84e075449a302027cf47cb78" ns2:_="">
    <xsd:import namespace="c246cf58-e6ac-4896-9b7a-fa90d4bec659"/>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46cf58-e6ac-4896-9b7a-fa90d4bec65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78F7552-BF30-418E-A8EC-2AEA9553E4F6}"/>
</file>

<file path=customXml/itemProps2.xml><?xml version="1.0" encoding="utf-8"?>
<ds:datastoreItem xmlns:ds="http://schemas.openxmlformats.org/officeDocument/2006/customXml" ds:itemID="{FFB1508D-1E80-41ED-8893-8560282C5F43}"/>
</file>

<file path=customXml/itemProps3.xml><?xml version="1.0" encoding="utf-8"?>
<ds:datastoreItem xmlns:ds="http://schemas.openxmlformats.org/officeDocument/2006/customXml" ds:itemID="{4A632E1B-8ACC-4379-B0A6-5D3CE724DF3F}"/>
</file>

<file path=docMetadata/LabelInfo.xml><?xml version="1.0" encoding="utf-8"?>
<clbl:labelList xmlns:clbl="http://schemas.microsoft.com/office/2020/mipLabelMetadata">
  <clbl:label id="{8fd7c08e-9c24-436d-a6ad-a8ecb8394d49}" enabled="1" method="Standard" siteId="{6e5a37bb-a961-4e4f-baae-2798a2245f3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1406</Characters>
  <Application>Microsoft Office Word</Application>
  <DocSecurity>0</DocSecurity>
  <Lines>26</Lines>
  <Paragraphs>13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Breakell</dc:creator>
  <cp:keywords/>
  <dc:description/>
  <cp:lastModifiedBy>Jackie Carey2</cp:lastModifiedBy>
  <cp:revision>3</cp:revision>
  <dcterms:created xsi:type="dcterms:W3CDTF">2025-11-11T10:46:00Z</dcterms:created>
  <dcterms:modified xsi:type="dcterms:W3CDTF">2025-11-11T10:46:00Z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0x010100DE91D39C41C0794394ABAA7DBE2D98F4</vt:lpwstr>
  </property>
</Properties>
</file>