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3E998" w14:textId="77777777" w:rsidR="00D41F5E" w:rsidRPr="00BD08FB" w:rsidRDefault="00D41F5E" w:rsidP="00396DA7">
      <w:pPr>
        <w:ind w:left="284"/>
      </w:pPr>
    </w:p>
    <w:p w14:paraId="22A52983" w14:textId="77777777" w:rsidR="00D41F5E" w:rsidRPr="00BD08FB" w:rsidRDefault="002E4798" w:rsidP="00E51E67">
      <w:r w:rsidRPr="00BD08FB">
        <w:rPr>
          <w:noProof/>
          <w:lang w:eastAsia="en-GB"/>
        </w:rPr>
        <w:drawing>
          <wp:anchor distT="0" distB="0" distL="114300" distR="114300" simplePos="0" relativeHeight="251657728" behindDoc="1" locked="0" layoutInCell="1" allowOverlap="1" wp14:anchorId="49A2C6D0" wp14:editId="04B20730">
            <wp:simplePos x="0" y="0"/>
            <wp:positionH relativeFrom="column">
              <wp:posOffset>3348990</wp:posOffset>
            </wp:positionH>
            <wp:positionV relativeFrom="paragraph">
              <wp:posOffset>-9525</wp:posOffset>
            </wp:positionV>
            <wp:extent cx="2952750" cy="495300"/>
            <wp:effectExtent l="0" t="0" r="0" b="0"/>
            <wp:wrapNone/>
            <wp:docPr id="2"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1E8A4" w14:textId="77777777" w:rsidR="00471FE8" w:rsidRDefault="00471FE8" w:rsidP="00396DA7">
      <w:pPr>
        <w:ind w:left="284"/>
        <w:jc w:val="center"/>
        <w:rPr>
          <w:b/>
          <w:bCs/>
          <w:sz w:val="96"/>
          <w:szCs w:val="96"/>
          <w:u w:val="none"/>
        </w:rPr>
      </w:pPr>
    </w:p>
    <w:p w14:paraId="7FB7094E" w14:textId="393F02F9" w:rsidR="00185902" w:rsidRPr="00BD08FB" w:rsidRDefault="00185902" w:rsidP="00396DA7">
      <w:pPr>
        <w:ind w:left="284"/>
        <w:jc w:val="center"/>
        <w:rPr>
          <w:b/>
          <w:bCs/>
          <w:sz w:val="96"/>
          <w:szCs w:val="96"/>
          <w:u w:val="none"/>
          <w:lang w:eastAsia="en-GB"/>
        </w:rPr>
      </w:pPr>
      <w:r w:rsidRPr="00BD08FB">
        <w:rPr>
          <w:b/>
          <w:bCs/>
          <w:sz w:val="96"/>
          <w:szCs w:val="96"/>
          <w:u w:val="none"/>
        </w:rPr>
        <w:t>Nottinghamshire School Pay Policy</w:t>
      </w:r>
    </w:p>
    <w:p w14:paraId="3C72026F" w14:textId="77777777" w:rsidR="00185902" w:rsidRPr="00BD08FB" w:rsidRDefault="00185902" w:rsidP="00396DA7">
      <w:pPr>
        <w:ind w:left="284"/>
        <w:jc w:val="center"/>
        <w:rPr>
          <w:b/>
          <w:bCs/>
          <w:sz w:val="56"/>
          <w:szCs w:val="56"/>
          <w:u w:val="none"/>
          <w:lang w:eastAsia="en-GB"/>
        </w:rPr>
      </w:pPr>
      <w:r w:rsidRPr="00BD08FB">
        <w:rPr>
          <w:b/>
          <w:bCs/>
          <w:sz w:val="56"/>
          <w:szCs w:val="56"/>
          <w:u w:val="none"/>
          <w:lang w:eastAsia="en-GB"/>
        </w:rPr>
        <w:t>GUIDANCE FOR HEADTEACHERS AND GOVERNING BODIES</w:t>
      </w:r>
    </w:p>
    <w:p w14:paraId="7CD42168" w14:textId="160B6433" w:rsidR="00185902" w:rsidRPr="00F406FB" w:rsidRDefault="00185902" w:rsidP="00396DA7">
      <w:pPr>
        <w:ind w:left="284"/>
        <w:jc w:val="center"/>
        <w:rPr>
          <w:b/>
          <w:bCs/>
          <w:sz w:val="56"/>
          <w:szCs w:val="56"/>
          <w:u w:val="none"/>
          <w:lang w:eastAsia="en-GB"/>
        </w:rPr>
      </w:pPr>
      <w:r w:rsidRPr="00BD2703">
        <w:rPr>
          <w:b/>
          <w:bCs/>
          <w:sz w:val="56"/>
          <w:szCs w:val="56"/>
          <w:u w:val="none"/>
          <w:lang w:eastAsia="en-GB"/>
        </w:rPr>
        <w:t xml:space="preserve">September </w:t>
      </w:r>
      <w:r w:rsidRPr="000C577E">
        <w:rPr>
          <w:b/>
          <w:bCs/>
          <w:sz w:val="56"/>
          <w:szCs w:val="56"/>
          <w:u w:val="none"/>
          <w:lang w:eastAsia="en-GB"/>
        </w:rPr>
        <w:t>20</w:t>
      </w:r>
      <w:r w:rsidR="00F2592F" w:rsidRPr="002663D2">
        <w:rPr>
          <w:b/>
          <w:bCs/>
          <w:sz w:val="56"/>
          <w:szCs w:val="56"/>
          <w:u w:val="none"/>
          <w:lang w:eastAsia="en-GB"/>
        </w:rPr>
        <w:t>2</w:t>
      </w:r>
      <w:r w:rsidR="009F47A9" w:rsidRPr="002663D2">
        <w:rPr>
          <w:b/>
          <w:bCs/>
          <w:sz w:val="56"/>
          <w:szCs w:val="56"/>
          <w:u w:val="none"/>
          <w:lang w:eastAsia="en-GB"/>
        </w:rPr>
        <w:t>5</w:t>
      </w:r>
    </w:p>
    <w:tbl>
      <w:tblPr>
        <w:tblStyle w:val="TableGrid21"/>
        <w:tblpPr w:leftFromText="180" w:rightFromText="180" w:vertAnchor="text" w:horzAnchor="margin" w:tblpY="255"/>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953"/>
      </w:tblGrid>
      <w:tr w:rsidR="00077373" w:rsidRPr="00077373" w14:paraId="555E4BF3" w14:textId="77777777" w:rsidTr="0027669C">
        <w:tc>
          <w:tcPr>
            <w:tcW w:w="3964" w:type="dxa"/>
            <w:tcBorders>
              <w:top w:val="single" w:sz="4" w:space="0" w:color="auto"/>
              <w:left w:val="single" w:sz="4" w:space="0" w:color="auto"/>
              <w:bottom w:val="single" w:sz="4" w:space="0" w:color="auto"/>
              <w:right w:val="single" w:sz="4" w:space="0" w:color="auto"/>
            </w:tcBorders>
          </w:tcPr>
          <w:p w14:paraId="5FD92367" w14:textId="77777777" w:rsidR="00077373" w:rsidRPr="006B761A" w:rsidRDefault="00077373" w:rsidP="00077373">
            <w:pPr>
              <w:spacing w:after="0"/>
              <w:jc w:val="both"/>
              <w:rPr>
                <w:rFonts w:cs="Times New Roman"/>
                <w:bCs/>
                <w:i/>
                <w:sz w:val="22"/>
                <w:szCs w:val="22"/>
                <w:u w:val="none"/>
              </w:rPr>
            </w:pPr>
            <w:r w:rsidRPr="006B761A">
              <w:rPr>
                <w:rFonts w:cs="Times New Roman"/>
                <w:bCs/>
                <w:sz w:val="22"/>
                <w:szCs w:val="22"/>
                <w:u w:val="none"/>
              </w:rPr>
              <w:t>Name of school:</w:t>
            </w:r>
          </w:p>
        </w:tc>
        <w:tc>
          <w:tcPr>
            <w:tcW w:w="5953" w:type="dxa"/>
            <w:tcBorders>
              <w:top w:val="single" w:sz="4" w:space="0" w:color="auto"/>
              <w:left w:val="single" w:sz="4" w:space="0" w:color="auto"/>
              <w:bottom w:val="single" w:sz="4" w:space="0" w:color="auto"/>
              <w:right w:val="single" w:sz="4" w:space="0" w:color="auto"/>
            </w:tcBorders>
          </w:tcPr>
          <w:p w14:paraId="283005E1" w14:textId="77777777" w:rsidR="00077373" w:rsidRPr="00077373" w:rsidRDefault="00077373" w:rsidP="00077373">
            <w:pPr>
              <w:spacing w:after="0"/>
              <w:jc w:val="both"/>
              <w:rPr>
                <w:rFonts w:cs="Times New Roman"/>
                <w:bCs/>
                <w:szCs w:val="22"/>
                <w:u w:val="none"/>
              </w:rPr>
            </w:pPr>
            <w:r w:rsidRPr="00077373">
              <w:rPr>
                <w:rFonts w:cs="Times New Roman"/>
                <w:bCs/>
                <w:szCs w:val="22"/>
                <w:highlight w:val="yellow"/>
                <w:u w:val="none"/>
              </w:rPr>
              <w:t>[INSERT NAME OF SCHOOL]</w:t>
            </w:r>
          </w:p>
        </w:tc>
      </w:tr>
      <w:tr w:rsidR="00077373" w:rsidRPr="00077373" w14:paraId="09FE2B42" w14:textId="77777777" w:rsidTr="0027669C">
        <w:tc>
          <w:tcPr>
            <w:tcW w:w="3964" w:type="dxa"/>
            <w:tcBorders>
              <w:top w:val="single" w:sz="4" w:space="0" w:color="auto"/>
              <w:left w:val="single" w:sz="4" w:space="0" w:color="auto"/>
              <w:bottom w:val="single" w:sz="4" w:space="0" w:color="auto"/>
              <w:right w:val="single" w:sz="4" w:space="0" w:color="auto"/>
            </w:tcBorders>
          </w:tcPr>
          <w:p w14:paraId="1D94807F" w14:textId="77777777" w:rsidR="00077373" w:rsidRPr="006B761A" w:rsidRDefault="00077373" w:rsidP="00077373">
            <w:pPr>
              <w:spacing w:after="0"/>
              <w:jc w:val="both"/>
              <w:rPr>
                <w:rFonts w:cs="Times New Roman"/>
                <w:bCs/>
                <w:sz w:val="22"/>
                <w:szCs w:val="22"/>
                <w:u w:val="none"/>
              </w:rPr>
            </w:pPr>
            <w:r w:rsidRPr="006B761A">
              <w:rPr>
                <w:rFonts w:cs="Times New Roman"/>
                <w:bCs/>
                <w:sz w:val="22"/>
                <w:szCs w:val="22"/>
                <w:u w:val="none"/>
              </w:rPr>
              <w:t>Policy adopted on:</w:t>
            </w:r>
          </w:p>
        </w:tc>
        <w:tc>
          <w:tcPr>
            <w:tcW w:w="5953" w:type="dxa"/>
            <w:tcBorders>
              <w:top w:val="single" w:sz="4" w:space="0" w:color="auto"/>
              <w:left w:val="single" w:sz="4" w:space="0" w:color="auto"/>
              <w:bottom w:val="single" w:sz="4" w:space="0" w:color="auto"/>
              <w:right w:val="single" w:sz="4" w:space="0" w:color="auto"/>
            </w:tcBorders>
          </w:tcPr>
          <w:p w14:paraId="65124C18" w14:textId="77777777" w:rsidR="00077373" w:rsidRPr="00077373" w:rsidRDefault="00077373" w:rsidP="00077373">
            <w:pPr>
              <w:spacing w:after="0"/>
              <w:jc w:val="both"/>
              <w:rPr>
                <w:rFonts w:cs="Times New Roman"/>
                <w:bCs/>
                <w:szCs w:val="22"/>
                <w:highlight w:val="yellow"/>
                <w:u w:val="none"/>
              </w:rPr>
            </w:pPr>
            <w:r w:rsidRPr="00077373">
              <w:rPr>
                <w:rFonts w:cs="Times New Roman"/>
                <w:bCs/>
                <w:szCs w:val="22"/>
                <w:highlight w:val="yellow"/>
                <w:u w:val="none"/>
              </w:rPr>
              <w:t>[INSERT DATE]</w:t>
            </w:r>
          </w:p>
        </w:tc>
      </w:tr>
      <w:tr w:rsidR="00077373" w:rsidRPr="00077373" w14:paraId="268C3A0E" w14:textId="77777777" w:rsidTr="0027669C">
        <w:tc>
          <w:tcPr>
            <w:tcW w:w="3964" w:type="dxa"/>
            <w:tcBorders>
              <w:top w:val="single" w:sz="4" w:space="0" w:color="auto"/>
              <w:left w:val="single" w:sz="4" w:space="0" w:color="auto"/>
              <w:bottom w:val="single" w:sz="4" w:space="0" w:color="auto"/>
              <w:right w:val="single" w:sz="4" w:space="0" w:color="auto"/>
            </w:tcBorders>
          </w:tcPr>
          <w:p w14:paraId="76CE4416" w14:textId="77777777" w:rsidR="00077373" w:rsidRPr="006B761A" w:rsidRDefault="00077373" w:rsidP="00077373">
            <w:pPr>
              <w:spacing w:after="0"/>
              <w:jc w:val="both"/>
              <w:rPr>
                <w:rFonts w:cs="Times New Roman"/>
                <w:bCs/>
                <w:sz w:val="22"/>
                <w:szCs w:val="22"/>
                <w:u w:val="none"/>
              </w:rPr>
            </w:pPr>
            <w:r w:rsidRPr="006B761A">
              <w:rPr>
                <w:rFonts w:cs="Times New Roman"/>
                <w:bCs/>
                <w:sz w:val="22"/>
                <w:szCs w:val="22"/>
                <w:u w:val="none"/>
              </w:rPr>
              <w:t>Date of next review:</w:t>
            </w:r>
          </w:p>
        </w:tc>
        <w:tc>
          <w:tcPr>
            <w:tcW w:w="5953" w:type="dxa"/>
            <w:tcBorders>
              <w:top w:val="single" w:sz="4" w:space="0" w:color="auto"/>
              <w:left w:val="single" w:sz="4" w:space="0" w:color="auto"/>
              <w:bottom w:val="single" w:sz="4" w:space="0" w:color="auto"/>
              <w:right w:val="single" w:sz="4" w:space="0" w:color="auto"/>
            </w:tcBorders>
          </w:tcPr>
          <w:p w14:paraId="6216FA46" w14:textId="77777777" w:rsidR="00077373" w:rsidRPr="00077373" w:rsidRDefault="00077373" w:rsidP="00077373">
            <w:pPr>
              <w:spacing w:after="0"/>
              <w:jc w:val="both"/>
              <w:rPr>
                <w:rFonts w:cs="Times New Roman"/>
                <w:bCs/>
                <w:szCs w:val="22"/>
                <w:highlight w:val="yellow"/>
                <w:u w:val="none"/>
              </w:rPr>
            </w:pPr>
            <w:r w:rsidRPr="00077373">
              <w:rPr>
                <w:rFonts w:cs="Times New Roman"/>
                <w:bCs/>
                <w:szCs w:val="22"/>
                <w:highlight w:val="yellow"/>
                <w:u w:val="none"/>
              </w:rPr>
              <w:t>[INSERT DATE]</w:t>
            </w:r>
          </w:p>
        </w:tc>
      </w:tr>
      <w:tr w:rsidR="00077373" w:rsidRPr="00077373" w14:paraId="0D3C158F" w14:textId="77777777" w:rsidTr="0027669C">
        <w:tc>
          <w:tcPr>
            <w:tcW w:w="3964" w:type="dxa"/>
            <w:tcBorders>
              <w:top w:val="single" w:sz="4" w:space="0" w:color="auto"/>
              <w:left w:val="single" w:sz="4" w:space="0" w:color="auto"/>
              <w:bottom w:val="single" w:sz="4" w:space="0" w:color="auto"/>
              <w:right w:val="single" w:sz="4" w:space="0" w:color="auto"/>
            </w:tcBorders>
          </w:tcPr>
          <w:p w14:paraId="6C9BF0C4" w14:textId="77777777" w:rsidR="00077373" w:rsidRPr="006B761A" w:rsidRDefault="00077373" w:rsidP="00077373">
            <w:pPr>
              <w:spacing w:after="0"/>
              <w:jc w:val="both"/>
              <w:rPr>
                <w:rFonts w:cs="Times New Roman"/>
                <w:bCs/>
                <w:sz w:val="22"/>
                <w:szCs w:val="22"/>
                <w:u w:val="none"/>
              </w:rPr>
            </w:pPr>
            <w:r w:rsidRPr="006B761A">
              <w:rPr>
                <w:rFonts w:cs="Times New Roman"/>
                <w:bCs/>
                <w:sz w:val="22"/>
                <w:szCs w:val="22"/>
                <w:u w:val="none"/>
              </w:rPr>
              <w:t>Governing body committee that will review and monitor the impact of the Policy/Guidance/Toolkit and content annually with the head teacher:</w:t>
            </w:r>
          </w:p>
          <w:p w14:paraId="35708C8F" w14:textId="77777777" w:rsidR="00077373" w:rsidRPr="006B761A" w:rsidRDefault="00077373" w:rsidP="00077373">
            <w:pPr>
              <w:spacing w:after="0"/>
              <w:jc w:val="both"/>
              <w:rPr>
                <w:rFonts w:cs="Times New Roman"/>
                <w:bCs/>
                <w:sz w:val="22"/>
                <w:szCs w:val="22"/>
                <w:u w:val="none"/>
              </w:rPr>
            </w:pPr>
          </w:p>
        </w:tc>
        <w:tc>
          <w:tcPr>
            <w:tcW w:w="5953" w:type="dxa"/>
            <w:tcBorders>
              <w:top w:val="single" w:sz="4" w:space="0" w:color="auto"/>
              <w:left w:val="single" w:sz="4" w:space="0" w:color="auto"/>
              <w:bottom w:val="single" w:sz="4" w:space="0" w:color="auto"/>
              <w:right w:val="single" w:sz="4" w:space="0" w:color="auto"/>
            </w:tcBorders>
          </w:tcPr>
          <w:p w14:paraId="39CD1F71" w14:textId="77777777" w:rsidR="00077373" w:rsidRPr="00077373" w:rsidRDefault="00077373" w:rsidP="00077373">
            <w:pPr>
              <w:spacing w:after="0"/>
              <w:jc w:val="both"/>
              <w:rPr>
                <w:rFonts w:cs="Times New Roman"/>
                <w:bCs/>
                <w:szCs w:val="22"/>
                <w:u w:val="none"/>
              </w:rPr>
            </w:pPr>
            <w:r w:rsidRPr="00077373">
              <w:rPr>
                <w:rFonts w:cs="Times New Roman"/>
                <w:bCs/>
                <w:szCs w:val="22"/>
                <w:highlight w:val="yellow"/>
                <w:u w:val="none"/>
              </w:rPr>
              <w:t>[INSERT NAME OF COMMITTEE]</w:t>
            </w:r>
          </w:p>
        </w:tc>
      </w:tr>
      <w:tr w:rsidR="00077373" w:rsidRPr="00077373" w14:paraId="3CAF4684" w14:textId="77777777" w:rsidTr="0027669C">
        <w:tc>
          <w:tcPr>
            <w:tcW w:w="3964" w:type="dxa"/>
            <w:tcBorders>
              <w:top w:val="single" w:sz="4" w:space="0" w:color="auto"/>
              <w:left w:val="single" w:sz="4" w:space="0" w:color="auto"/>
              <w:bottom w:val="single" w:sz="4" w:space="0" w:color="auto"/>
              <w:right w:val="single" w:sz="4" w:space="0" w:color="auto"/>
            </w:tcBorders>
          </w:tcPr>
          <w:p w14:paraId="5513CAD1" w14:textId="77777777" w:rsidR="00077373" w:rsidRPr="006B761A" w:rsidRDefault="00077373" w:rsidP="00077373">
            <w:pPr>
              <w:spacing w:after="0"/>
              <w:jc w:val="both"/>
              <w:rPr>
                <w:rFonts w:cs="Times New Roman"/>
                <w:bCs/>
                <w:sz w:val="22"/>
                <w:szCs w:val="22"/>
                <w:u w:val="none"/>
              </w:rPr>
            </w:pPr>
            <w:r w:rsidRPr="006B761A">
              <w:rPr>
                <w:rFonts w:cs="Times New Roman"/>
                <w:bCs/>
                <w:sz w:val="22"/>
                <w:szCs w:val="22"/>
                <w:u w:val="none"/>
              </w:rPr>
              <w:t>Locations this policy can be accessed:</w:t>
            </w:r>
          </w:p>
          <w:p w14:paraId="735892C8" w14:textId="77777777" w:rsidR="00077373" w:rsidRPr="006B761A" w:rsidRDefault="00077373" w:rsidP="00077373">
            <w:pPr>
              <w:spacing w:after="0"/>
              <w:jc w:val="both"/>
              <w:rPr>
                <w:rFonts w:cs="Times New Roman"/>
                <w:bCs/>
                <w:sz w:val="22"/>
                <w:szCs w:val="22"/>
                <w:u w:val="none"/>
              </w:rPr>
            </w:pPr>
          </w:p>
        </w:tc>
        <w:tc>
          <w:tcPr>
            <w:tcW w:w="5953" w:type="dxa"/>
            <w:tcBorders>
              <w:top w:val="single" w:sz="4" w:space="0" w:color="auto"/>
              <w:left w:val="single" w:sz="4" w:space="0" w:color="auto"/>
              <w:bottom w:val="single" w:sz="4" w:space="0" w:color="auto"/>
              <w:right w:val="single" w:sz="4" w:space="0" w:color="auto"/>
            </w:tcBorders>
          </w:tcPr>
          <w:p w14:paraId="28040136" w14:textId="77777777" w:rsidR="00077373" w:rsidRPr="00077373" w:rsidRDefault="00077373" w:rsidP="00077373">
            <w:pPr>
              <w:spacing w:after="0"/>
              <w:jc w:val="both"/>
              <w:rPr>
                <w:rFonts w:cs="Times New Roman"/>
                <w:bCs/>
                <w:szCs w:val="22"/>
                <w:u w:val="none"/>
              </w:rPr>
            </w:pPr>
            <w:r w:rsidRPr="00077373">
              <w:rPr>
                <w:rFonts w:cs="Times New Roman"/>
                <w:bCs/>
                <w:szCs w:val="22"/>
                <w:highlight w:val="yellow"/>
                <w:u w:val="none"/>
              </w:rPr>
              <w:t>[INSERT LOCATIONS OF POLICY]</w:t>
            </w:r>
          </w:p>
        </w:tc>
      </w:tr>
    </w:tbl>
    <w:p w14:paraId="2B30FDE3" w14:textId="77777777" w:rsidR="00077373" w:rsidRPr="00077373" w:rsidRDefault="00077373" w:rsidP="00077373">
      <w:pPr>
        <w:spacing w:after="0" w:line="240" w:lineRule="auto"/>
        <w:rPr>
          <w:rFonts w:ascii="Times New Roman" w:eastAsia="Times New Roman" w:hAnsi="Times New Roman" w:cs="Times New Roman"/>
          <w:sz w:val="32"/>
          <w:szCs w:val="32"/>
          <w:u w:val="none"/>
        </w:rPr>
      </w:pPr>
    </w:p>
    <w:p w14:paraId="77DFAD9C" w14:textId="77777777" w:rsidR="00C54D01" w:rsidRPr="00705394" w:rsidRDefault="00C54D01" w:rsidP="00396DA7">
      <w:pPr>
        <w:ind w:left="284"/>
        <w:jc w:val="center"/>
        <w:rPr>
          <w:b/>
          <w:bCs/>
          <w:sz w:val="40"/>
          <w:szCs w:val="40"/>
          <w:u w:val="none"/>
          <w:lang w:eastAsia="en-GB"/>
        </w:rPr>
      </w:pPr>
      <w:r w:rsidRPr="00705394">
        <w:rPr>
          <w:b/>
          <w:bCs/>
          <w:sz w:val="40"/>
          <w:szCs w:val="40"/>
          <w:u w:val="none"/>
          <w:lang w:eastAsia="en-GB"/>
        </w:rPr>
        <w:t xml:space="preserve">HR Advice, Support and Training Service </w:t>
      </w:r>
    </w:p>
    <w:p w14:paraId="1AD261B0" w14:textId="77777777" w:rsidR="00F20E87" w:rsidRDefault="00077373" w:rsidP="00425E2D">
      <w:pPr>
        <w:ind w:left="284"/>
        <w:rPr>
          <w:sz w:val="18"/>
          <w:szCs w:val="18"/>
          <w:u w:val="none"/>
        </w:rPr>
      </w:pPr>
      <w:r w:rsidRPr="00705394">
        <w:rPr>
          <w:sz w:val="18"/>
          <w:szCs w:val="18"/>
          <w:u w:val="none"/>
        </w:rPr>
        <w:t>C</w:t>
      </w:r>
      <w:r w:rsidR="00425E2D" w:rsidRPr="00705394">
        <w:rPr>
          <w:sz w:val="18"/>
          <w:szCs w:val="18"/>
          <w:u w:val="none"/>
        </w:rPr>
        <w:t>opyright © 202</w:t>
      </w:r>
      <w:r w:rsidRPr="00705394">
        <w:rPr>
          <w:sz w:val="18"/>
          <w:szCs w:val="18"/>
          <w:u w:val="none"/>
        </w:rPr>
        <w:t>4</w:t>
      </w:r>
      <w:r w:rsidR="00425E2D" w:rsidRPr="00705394">
        <w:rPr>
          <w:sz w:val="18"/>
          <w:szCs w:val="18"/>
          <w:u w:val="none"/>
        </w:rPr>
        <w:br/>
      </w:r>
    </w:p>
    <w:p w14:paraId="2F201907" w14:textId="02C00026" w:rsidR="00425E2D" w:rsidRPr="00705394" w:rsidRDefault="00425E2D" w:rsidP="00425E2D">
      <w:pPr>
        <w:ind w:left="284"/>
        <w:rPr>
          <w:sz w:val="18"/>
          <w:szCs w:val="18"/>
          <w:u w:val="none"/>
        </w:rPr>
      </w:pPr>
      <w:r w:rsidRPr="00705394">
        <w:rPr>
          <w:sz w:val="18"/>
          <w:szCs w:val="18"/>
          <w:u w:val="none"/>
        </w:rPr>
        <w:t xml:space="preserve">Nottinghamshire County Council - All rights reserved </w:t>
      </w:r>
    </w:p>
    <w:p w14:paraId="71B5CE4E" w14:textId="75BD85B9" w:rsidR="00394FD6" w:rsidRPr="002663D2" w:rsidRDefault="00674CE2" w:rsidP="00E51E67">
      <w:pPr>
        <w:ind w:left="284"/>
        <w:rPr>
          <w:b/>
          <w:bCs/>
          <w:sz w:val="18"/>
          <w:szCs w:val="18"/>
          <w:u w:val="none"/>
          <w:lang w:eastAsia="en-GB"/>
        </w:rPr>
      </w:pPr>
      <w:r w:rsidRPr="00705394">
        <w:rPr>
          <w:b/>
          <w:bCs/>
          <w:sz w:val="18"/>
          <w:szCs w:val="18"/>
          <w:u w:val="none"/>
          <w:lang w:eastAsia="en-GB"/>
        </w:rPr>
        <w:t xml:space="preserve">Published Schools </w:t>
      </w:r>
      <w:r w:rsidRPr="002663D2">
        <w:rPr>
          <w:b/>
          <w:bCs/>
          <w:sz w:val="18"/>
          <w:szCs w:val="18"/>
          <w:u w:val="none"/>
          <w:lang w:eastAsia="en-GB"/>
        </w:rPr>
        <w:t xml:space="preserve">Portal </w:t>
      </w:r>
      <w:r w:rsidR="00F20E87" w:rsidRPr="002663D2">
        <w:rPr>
          <w:b/>
          <w:bCs/>
          <w:sz w:val="18"/>
          <w:szCs w:val="18"/>
          <w:u w:val="none"/>
          <w:lang w:eastAsia="en-GB"/>
        </w:rPr>
        <w:t>25 July 2025</w:t>
      </w:r>
      <w:r w:rsidR="00082335" w:rsidRPr="002663D2">
        <w:rPr>
          <w:b/>
          <w:bCs/>
          <w:sz w:val="18"/>
          <w:szCs w:val="18"/>
          <w:u w:val="none"/>
          <w:lang w:eastAsia="en-GB"/>
        </w:rPr>
        <w:t xml:space="preserve"> </w:t>
      </w:r>
    </w:p>
    <w:p w14:paraId="03858E60" w14:textId="31BB77C0" w:rsidR="00215CBB" w:rsidRPr="002663D2" w:rsidRDefault="001E4DB1" w:rsidP="00E51E67">
      <w:pPr>
        <w:ind w:left="284"/>
        <w:rPr>
          <w:b/>
          <w:sz w:val="18"/>
          <w:szCs w:val="18"/>
          <w:u w:val="none"/>
          <w:lang w:eastAsia="en-GB"/>
        </w:rPr>
      </w:pPr>
      <w:r w:rsidRPr="002663D2">
        <w:rPr>
          <w:b/>
          <w:sz w:val="18"/>
          <w:szCs w:val="18"/>
          <w:u w:val="none"/>
        </w:rPr>
        <w:t>(amendments to the 202</w:t>
      </w:r>
      <w:r w:rsidR="006706E1" w:rsidRPr="002663D2">
        <w:rPr>
          <w:b/>
          <w:sz w:val="18"/>
          <w:szCs w:val="18"/>
          <w:u w:val="none"/>
        </w:rPr>
        <w:t>4</w:t>
      </w:r>
      <w:r w:rsidRPr="002663D2">
        <w:rPr>
          <w:b/>
          <w:sz w:val="18"/>
          <w:szCs w:val="18"/>
          <w:u w:val="none"/>
        </w:rPr>
        <w:t xml:space="preserve"> version are shown in red text</w:t>
      </w:r>
      <w:r w:rsidRPr="002663D2">
        <w:rPr>
          <w:b/>
          <w:sz w:val="18"/>
          <w:szCs w:val="18"/>
          <w:u w:val="none"/>
          <w:lang w:eastAsia="en-GB"/>
        </w:rPr>
        <w:t>)</w:t>
      </w:r>
    </w:p>
    <w:p w14:paraId="49E94698" w14:textId="77777777" w:rsidR="006B761A" w:rsidRPr="002663D2" w:rsidRDefault="006B761A">
      <w:pPr>
        <w:spacing w:after="0" w:line="240" w:lineRule="auto"/>
        <w:rPr>
          <w:b/>
          <w:bCs/>
          <w:sz w:val="22"/>
          <w:szCs w:val="22"/>
          <w:u w:val="none"/>
        </w:rPr>
      </w:pPr>
      <w:r w:rsidRPr="002663D2">
        <w:rPr>
          <w:b/>
          <w:bCs/>
          <w:sz w:val="22"/>
          <w:szCs w:val="22"/>
          <w:u w:val="none"/>
        </w:rPr>
        <w:br w:type="page"/>
      </w:r>
    </w:p>
    <w:p w14:paraId="1F241D98" w14:textId="74F3124C" w:rsidR="00185902" w:rsidRPr="004149A8" w:rsidRDefault="00185902" w:rsidP="00774D3A">
      <w:pPr>
        <w:ind w:left="-142"/>
        <w:rPr>
          <w:b/>
          <w:bCs/>
          <w:sz w:val="22"/>
          <w:szCs w:val="22"/>
          <w:u w:val="none"/>
        </w:rPr>
      </w:pPr>
      <w:r w:rsidRPr="008D5ADC">
        <w:rPr>
          <w:b/>
          <w:bCs/>
          <w:sz w:val="22"/>
          <w:szCs w:val="22"/>
          <w:u w:val="none"/>
        </w:rPr>
        <w:lastRenderedPageBreak/>
        <w:t>SCHOOL PAY POLICY</w:t>
      </w:r>
      <w:r w:rsidR="007719AF" w:rsidRPr="008D5ADC">
        <w:rPr>
          <w:b/>
          <w:bCs/>
          <w:sz w:val="22"/>
          <w:szCs w:val="22"/>
          <w:u w:val="none"/>
        </w:rPr>
        <w:t xml:space="preserve"> GUIDANCE</w:t>
      </w:r>
      <w:r w:rsidRPr="008D5ADC">
        <w:rPr>
          <w:b/>
          <w:bCs/>
          <w:sz w:val="22"/>
          <w:szCs w:val="22"/>
          <w:u w:val="none"/>
        </w:rPr>
        <w:t xml:space="preserve"> – Table of Contents</w:t>
      </w:r>
      <w:r w:rsidR="00CB1A15">
        <w:rPr>
          <w:b/>
          <w:bCs/>
          <w:sz w:val="22"/>
          <w:szCs w:val="22"/>
          <w:u w:val="none"/>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7"/>
        <w:gridCol w:w="1418"/>
      </w:tblGrid>
      <w:tr w:rsidR="00F406FB" w:rsidRPr="004149A8" w14:paraId="56CDBF4C" w14:textId="77777777" w:rsidTr="00677D94">
        <w:tc>
          <w:tcPr>
            <w:tcW w:w="7727" w:type="dxa"/>
          </w:tcPr>
          <w:p w14:paraId="47901B39" w14:textId="7F28BEE2" w:rsidR="00677D94" w:rsidRPr="004149A8" w:rsidRDefault="00677D94" w:rsidP="00396DA7">
            <w:pPr>
              <w:ind w:left="284"/>
              <w:rPr>
                <w:b/>
                <w:sz w:val="22"/>
                <w:szCs w:val="22"/>
                <w:u w:val="none"/>
              </w:rPr>
            </w:pPr>
            <w:r w:rsidRPr="004149A8">
              <w:rPr>
                <w:b/>
                <w:sz w:val="22"/>
                <w:szCs w:val="22"/>
                <w:u w:val="none"/>
              </w:rPr>
              <w:t>Heading</w:t>
            </w:r>
            <w:r w:rsidR="00AC5AA4" w:rsidRPr="004149A8">
              <w:rPr>
                <w:b/>
                <w:sz w:val="22"/>
                <w:szCs w:val="22"/>
                <w:u w:val="none"/>
              </w:rPr>
              <w:t xml:space="preserve">  </w:t>
            </w:r>
          </w:p>
        </w:tc>
        <w:tc>
          <w:tcPr>
            <w:tcW w:w="1418" w:type="dxa"/>
          </w:tcPr>
          <w:p w14:paraId="7E712CB9" w14:textId="77777777" w:rsidR="00677D94" w:rsidRPr="004149A8" w:rsidRDefault="00677D94" w:rsidP="00774D3A">
            <w:pPr>
              <w:ind w:left="284"/>
              <w:jc w:val="center"/>
              <w:rPr>
                <w:b/>
                <w:sz w:val="22"/>
                <w:szCs w:val="22"/>
                <w:u w:val="none"/>
              </w:rPr>
            </w:pPr>
            <w:r w:rsidRPr="004149A8">
              <w:rPr>
                <w:b/>
                <w:sz w:val="22"/>
                <w:szCs w:val="22"/>
                <w:u w:val="none"/>
              </w:rPr>
              <w:t>Page</w:t>
            </w:r>
          </w:p>
        </w:tc>
      </w:tr>
      <w:tr w:rsidR="00F406FB" w:rsidRPr="004149A8" w14:paraId="5116934E" w14:textId="77777777" w:rsidTr="00677D94">
        <w:tc>
          <w:tcPr>
            <w:tcW w:w="7727" w:type="dxa"/>
          </w:tcPr>
          <w:p w14:paraId="2E30BDD2" w14:textId="77777777" w:rsidR="005032C9" w:rsidRPr="004149A8" w:rsidRDefault="005032C9" w:rsidP="005032C9">
            <w:pPr>
              <w:ind w:left="284"/>
              <w:rPr>
                <w:sz w:val="22"/>
                <w:szCs w:val="22"/>
                <w:u w:val="none"/>
              </w:rPr>
            </w:pPr>
            <w:r w:rsidRPr="004149A8">
              <w:rPr>
                <w:sz w:val="22"/>
                <w:szCs w:val="22"/>
                <w:u w:val="none"/>
              </w:rPr>
              <w:t>Introduction</w:t>
            </w:r>
          </w:p>
        </w:tc>
        <w:tc>
          <w:tcPr>
            <w:tcW w:w="1418" w:type="dxa"/>
          </w:tcPr>
          <w:p w14:paraId="1EEEFAC1" w14:textId="641DF197" w:rsidR="005032C9" w:rsidRPr="004149A8" w:rsidRDefault="00E059ED" w:rsidP="005032C9">
            <w:pPr>
              <w:ind w:left="284"/>
              <w:jc w:val="center"/>
              <w:rPr>
                <w:sz w:val="22"/>
                <w:szCs w:val="22"/>
                <w:u w:val="none"/>
              </w:rPr>
            </w:pPr>
            <w:r>
              <w:rPr>
                <w:sz w:val="22"/>
                <w:szCs w:val="22"/>
                <w:u w:val="none"/>
              </w:rPr>
              <w:t>3</w:t>
            </w:r>
          </w:p>
        </w:tc>
      </w:tr>
      <w:tr w:rsidR="00F406FB" w:rsidRPr="004149A8" w14:paraId="73F566CB" w14:textId="77777777" w:rsidTr="00677D94">
        <w:tc>
          <w:tcPr>
            <w:tcW w:w="7727" w:type="dxa"/>
          </w:tcPr>
          <w:p w14:paraId="6A1E0554" w14:textId="77777777" w:rsidR="005032C9" w:rsidRPr="004149A8" w:rsidRDefault="005032C9" w:rsidP="005032C9">
            <w:pPr>
              <w:ind w:left="284"/>
              <w:rPr>
                <w:sz w:val="22"/>
                <w:szCs w:val="22"/>
                <w:u w:val="none"/>
              </w:rPr>
            </w:pPr>
            <w:r w:rsidRPr="004149A8">
              <w:rPr>
                <w:sz w:val="22"/>
                <w:szCs w:val="22"/>
                <w:u w:val="none"/>
              </w:rPr>
              <w:t xml:space="preserve">School Teachers’ Pay and Conditions </w:t>
            </w:r>
            <w:r w:rsidR="006174FC" w:rsidRPr="004149A8">
              <w:rPr>
                <w:sz w:val="22"/>
                <w:szCs w:val="22"/>
                <w:u w:val="none"/>
              </w:rPr>
              <w:t>Document</w:t>
            </w:r>
          </w:p>
        </w:tc>
        <w:tc>
          <w:tcPr>
            <w:tcW w:w="1418" w:type="dxa"/>
          </w:tcPr>
          <w:p w14:paraId="1CBF5A3C" w14:textId="40D2669F" w:rsidR="005032C9" w:rsidRPr="004149A8" w:rsidRDefault="00E059ED" w:rsidP="005032C9">
            <w:pPr>
              <w:ind w:left="284"/>
              <w:jc w:val="center"/>
              <w:rPr>
                <w:sz w:val="22"/>
                <w:szCs w:val="22"/>
                <w:u w:val="none"/>
              </w:rPr>
            </w:pPr>
            <w:r>
              <w:rPr>
                <w:sz w:val="22"/>
                <w:szCs w:val="22"/>
                <w:u w:val="none"/>
              </w:rPr>
              <w:t>3</w:t>
            </w:r>
          </w:p>
        </w:tc>
      </w:tr>
      <w:tr w:rsidR="00F406FB" w:rsidRPr="004149A8" w14:paraId="053E755F" w14:textId="77777777" w:rsidTr="00677D94">
        <w:tc>
          <w:tcPr>
            <w:tcW w:w="7727" w:type="dxa"/>
          </w:tcPr>
          <w:p w14:paraId="28756006" w14:textId="77777777" w:rsidR="005032C9" w:rsidRPr="004149A8" w:rsidRDefault="005032C9" w:rsidP="005032C9">
            <w:pPr>
              <w:ind w:left="284"/>
              <w:rPr>
                <w:sz w:val="22"/>
                <w:szCs w:val="22"/>
                <w:u w:val="none"/>
              </w:rPr>
            </w:pPr>
            <w:r w:rsidRPr="004149A8">
              <w:rPr>
                <w:sz w:val="22"/>
                <w:szCs w:val="22"/>
                <w:u w:val="none"/>
              </w:rPr>
              <w:t>Roles and responsibilities</w:t>
            </w:r>
          </w:p>
        </w:tc>
        <w:tc>
          <w:tcPr>
            <w:tcW w:w="1418" w:type="dxa"/>
          </w:tcPr>
          <w:p w14:paraId="39F19DC6" w14:textId="0D75264D" w:rsidR="005032C9" w:rsidRPr="004149A8" w:rsidRDefault="006E5807" w:rsidP="005032C9">
            <w:pPr>
              <w:ind w:left="284"/>
              <w:jc w:val="center"/>
              <w:rPr>
                <w:sz w:val="22"/>
                <w:szCs w:val="22"/>
                <w:u w:val="none"/>
              </w:rPr>
            </w:pPr>
            <w:r>
              <w:rPr>
                <w:sz w:val="22"/>
                <w:szCs w:val="22"/>
                <w:u w:val="none"/>
              </w:rPr>
              <w:t>6</w:t>
            </w:r>
          </w:p>
        </w:tc>
      </w:tr>
      <w:tr w:rsidR="00F406FB" w:rsidRPr="004149A8" w14:paraId="5A40B8B5" w14:textId="77777777" w:rsidTr="00677D94">
        <w:tc>
          <w:tcPr>
            <w:tcW w:w="7727" w:type="dxa"/>
          </w:tcPr>
          <w:p w14:paraId="48297914" w14:textId="77777777" w:rsidR="005032C9" w:rsidRPr="004149A8" w:rsidRDefault="005032C9" w:rsidP="005032C9">
            <w:pPr>
              <w:ind w:left="284"/>
              <w:rPr>
                <w:sz w:val="22"/>
                <w:szCs w:val="22"/>
                <w:u w:val="none"/>
              </w:rPr>
            </w:pPr>
            <w:r w:rsidRPr="004149A8">
              <w:rPr>
                <w:sz w:val="22"/>
                <w:szCs w:val="22"/>
                <w:u w:val="none"/>
              </w:rPr>
              <w:t>Equalities and Equal Opportunities</w:t>
            </w:r>
          </w:p>
        </w:tc>
        <w:tc>
          <w:tcPr>
            <w:tcW w:w="1418" w:type="dxa"/>
          </w:tcPr>
          <w:p w14:paraId="7A16DD9D" w14:textId="1C264908" w:rsidR="005032C9" w:rsidRPr="004149A8" w:rsidRDefault="006E5807" w:rsidP="005032C9">
            <w:pPr>
              <w:ind w:left="284"/>
              <w:jc w:val="center"/>
              <w:rPr>
                <w:sz w:val="22"/>
                <w:szCs w:val="22"/>
                <w:u w:val="none"/>
              </w:rPr>
            </w:pPr>
            <w:r>
              <w:rPr>
                <w:sz w:val="22"/>
                <w:szCs w:val="22"/>
                <w:u w:val="none"/>
              </w:rPr>
              <w:t>9</w:t>
            </w:r>
          </w:p>
        </w:tc>
      </w:tr>
      <w:tr w:rsidR="00F406FB" w:rsidRPr="004149A8" w14:paraId="1D13FF04" w14:textId="77777777" w:rsidTr="00677D94">
        <w:tc>
          <w:tcPr>
            <w:tcW w:w="7727" w:type="dxa"/>
          </w:tcPr>
          <w:p w14:paraId="7FFAEE83" w14:textId="77777777" w:rsidR="005032C9" w:rsidRPr="004149A8" w:rsidRDefault="005032C9" w:rsidP="005032C9">
            <w:pPr>
              <w:ind w:left="284"/>
              <w:rPr>
                <w:sz w:val="22"/>
                <w:szCs w:val="22"/>
                <w:u w:val="none"/>
              </w:rPr>
            </w:pPr>
            <w:r w:rsidRPr="004149A8">
              <w:rPr>
                <w:sz w:val="22"/>
                <w:szCs w:val="22"/>
                <w:u w:val="none"/>
              </w:rPr>
              <w:t>Impact of Absence During the Appraisal Cycle</w:t>
            </w:r>
          </w:p>
        </w:tc>
        <w:tc>
          <w:tcPr>
            <w:tcW w:w="1418" w:type="dxa"/>
          </w:tcPr>
          <w:p w14:paraId="589D13F8" w14:textId="56F2413C" w:rsidR="005032C9" w:rsidRPr="004149A8" w:rsidRDefault="006B54A4" w:rsidP="005032C9">
            <w:pPr>
              <w:ind w:left="284"/>
              <w:jc w:val="center"/>
              <w:rPr>
                <w:sz w:val="22"/>
                <w:szCs w:val="22"/>
                <w:u w:val="none"/>
              </w:rPr>
            </w:pPr>
            <w:r w:rsidRPr="004149A8">
              <w:rPr>
                <w:sz w:val="22"/>
                <w:szCs w:val="22"/>
                <w:u w:val="none"/>
              </w:rPr>
              <w:t>1</w:t>
            </w:r>
            <w:r w:rsidR="006E5807">
              <w:rPr>
                <w:sz w:val="22"/>
                <w:szCs w:val="22"/>
                <w:u w:val="none"/>
              </w:rPr>
              <w:t>0</w:t>
            </w:r>
          </w:p>
        </w:tc>
      </w:tr>
      <w:tr w:rsidR="006E5807" w:rsidRPr="004149A8" w14:paraId="12FE87C0" w14:textId="77777777" w:rsidTr="00677D94">
        <w:tc>
          <w:tcPr>
            <w:tcW w:w="7727" w:type="dxa"/>
          </w:tcPr>
          <w:p w14:paraId="32EB4052" w14:textId="68D93D66" w:rsidR="006E5807" w:rsidRPr="004149A8" w:rsidRDefault="006E5807" w:rsidP="006E5807">
            <w:pPr>
              <w:ind w:left="284"/>
              <w:rPr>
                <w:sz w:val="22"/>
                <w:szCs w:val="22"/>
                <w:u w:val="none"/>
              </w:rPr>
            </w:pPr>
            <w:r w:rsidRPr="004149A8">
              <w:rPr>
                <w:sz w:val="22"/>
                <w:szCs w:val="22"/>
                <w:u w:val="none"/>
              </w:rPr>
              <w:t xml:space="preserve">Support staff job descriptions and Job Evaluation </w:t>
            </w:r>
          </w:p>
        </w:tc>
        <w:tc>
          <w:tcPr>
            <w:tcW w:w="1418" w:type="dxa"/>
          </w:tcPr>
          <w:p w14:paraId="060F4609" w14:textId="65155D52" w:rsidR="006E5807" w:rsidRPr="004149A8" w:rsidRDefault="006E5807" w:rsidP="006E5807">
            <w:pPr>
              <w:ind w:left="284"/>
              <w:jc w:val="center"/>
              <w:rPr>
                <w:sz w:val="22"/>
                <w:szCs w:val="22"/>
                <w:u w:val="none"/>
              </w:rPr>
            </w:pPr>
            <w:r>
              <w:rPr>
                <w:sz w:val="22"/>
                <w:szCs w:val="22"/>
                <w:u w:val="none"/>
              </w:rPr>
              <w:t>11</w:t>
            </w:r>
          </w:p>
        </w:tc>
      </w:tr>
      <w:tr w:rsidR="006E5807" w:rsidRPr="004149A8" w14:paraId="1AD67354" w14:textId="77777777" w:rsidTr="00677D94">
        <w:tc>
          <w:tcPr>
            <w:tcW w:w="7727" w:type="dxa"/>
          </w:tcPr>
          <w:p w14:paraId="51DA6CFC" w14:textId="1241CE57" w:rsidR="006E5807" w:rsidRPr="004149A8" w:rsidRDefault="006E5807" w:rsidP="006E5807">
            <w:pPr>
              <w:ind w:left="284"/>
              <w:rPr>
                <w:sz w:val="22"/>
                <w:szCs w:val="22"/>
                <w:u w:val="none"/>
              </w:rPr>
            </w:pPr>
            <w:r w:rsidRPr="004149A8">
              <w:rPr>
                <w:sz w:val="22"/>
                <w:szCs w:val="22"/>
                <w:u w:val="none"/>
              </w:rPr>
              <w:t>Support Staff Pay Award</w:t>
            </w:r>
          </w:p>
        </w:tc>
        <w:tc>
          <w:tcPr>
            <w:tcW w:w="1418" w:type="dxa"/>
          </w:tcPr>
          <w:p w14:paraId="4393DEC8" w14:textId="3854722E" w:rsidR="006E5807" w:rsidRPr="004149A8" w:rsidRDefault="006E5807" w:rsidP="006E5807">
            <w:pPr>
              <w:ind w:left="284"/>
              <w:jc w:val="center"/>
              <w:rPr>
                <w:sz w:val="22"/>
                <w:szCs w:val="22"/>
                <w:u w:val="none"/>
              </w:rPr>
            </w:pPr>
            <w:r w:rsidRPr="004149A8">
              <w:rPr>
                <w:sz w:val="22"/>
                <w:szCs w:val="22"/>
                <w:u w:val="none"/>
              </w:rPr>
              <w:t>1</w:t>
            </w:r>
            <w:r>
              <w:rPr>
                <w:sz w:val="22"/>
                <w:szCs w:val="22"/>
                <w:u w:val="none"/>
              </w:rPr>
              <w:t>1</w:t>
            </w:r>
          </w:p>
        </w:tc>
      </w:tr>
      <w:tr w:rsidR="006E5807" w:rsidRPr="004149A8" w14:paraId="0D8B52FC" w14:textId="77777777" w:rsidTr="00677D94">
        <w:tc>
          <w:tcPr>
            <w:tcW w:w="7727" w:type="dxa"/>
          </w:tcPr>
          <w:p w14:paraId="5B8B775F" w14:textId="77777777" w:rsidR="006E5807" w:rsidRPr="004149A8" w:rsidRDefault="006E5807" w:rsidP="006E5807">
            <w:pPr>
              <w:ind w:left="284"/>
              <w:rPr>
                <w:sz w:val="22"/>
                <w:szCs w:val="22"/>
                <w:u w:val="none"/>
              </w:rPr>
            </w:pPr>
            <w:r w:rsidRPr="004149A8">
              <w:rPr>
                <w:sz w:val="22"/>
                <w:szCs w:val="22"/>
                <w:u w:val="none"/>
              </w:rPr>
              <w:t>Determining the Pay Range and Allowances</w:t>
            </w:r>
          </w:p>
          <w:p w14:paraId="5F7239AA" w14:textId="77777777" w:rsidR="006E5807" w:rsidRPr="004149A8" w:rsidRDefault="006E5807" w:rsidP="006E5807">
            <w:pPr>
              <w:ind w:left="284"/>
              <w:rPr>
                <w:sz w:val="22"/>
                <w:szCs w:val="22"/>
                <w:u w:val="none"/>
              </w:rPr>
            </w:pPr>
            <w:r w:rsidRPr="004149A8">
              <w:rPr>
                <w:sz w:val="22"/>
                <w:szCs w:val="22"/>
                <w:u w:val="none"/>
              </w:rPr>
              <w:t xml:space="preserve">Head Teachers </w:t>
            </w:r>
          </w:p>
          <w:p w14:paraId="424F2C9A" w14:textId="77777777" w:rsidR="006E5807" w:rsidRPr="004149A8" w:rsidRDefault="006E5807" w:rsidP="006E5807">
            <w:pPr>
              <w:ind w:left="284"/>
              <w:rPr>
                <w:sz w:val="22"/>
                <w:szCs w:val="22"/>
                <w:u w:val="none"/>
              </w:rPr>
            </w:pPr>
            <w:r w:rsidRPr="004149A8">
              <w:rPr>
                <w:sz w:val="22"/>
                <w:szCs w:val="22"/>
                <w:u w:val="none"/>
              </w:rPr>
              <w:t>Head teachers more than one school</w:t>
            </w:r>
          </w:p>
          <w:p w14:paraId="709E0246" w14:textId="77777777" w:rsidR="006E5807" w:rsidRPr="004149A8" w:rsidRDefault="006E5807" w:rsidP="006E5807">
            <w:pPr>
              <w:ind w:left="284"/>
              <w:rPr>
                <w:sz w:val="22"/>
                <w:szCs w:val="22"/>
                <w:u w:val="none"/>
              </w:rPr>
            </w:pPr>
            <w:r w:rsidRPr="004149A8">
              <w:rPr>
                <w:sz w:val="22"/>
                <w:szCs w:val="22"/>
                <w:u w:val="none"/>
              </w:rPr>
              <w:t xml:space="preserve">School collaborations </w:t>
            </w:r>
          </w:p>
          <w:p w14:paraId="5779BFCD" w14:textId="77777777" w:rsidR="006E5807" w:rsidRPr="004149A8" w:rsidRDefault="006E5807" w:rsidP="006E5807">
            <w:pPr>
              <w:ind w:left="284"/>
              <w:rPr>
                <w:sz w:val="22"/>
                <w:szCs w:val="22"/>
                <w:u w:val="none"/>
              </w:rPr>
            </w:pPr>
            <w:r w:rsidRPr="004149A8">
              <w:rPr>
                <w:sz w:val="22"/>
                <w:szCs w:val="22"/>
                <w:u w:val="none"/>
              </w:rPr>
              <w:t xml:space="preserve">Temporary head teacher appointments </w:t>
            </w:r>
          </w:p>
          <w:p w14:paraId="4FBA126A" w14:textId="77777777" w:rsidR="006E5807" w:rsidRPr="004149A8" w:rsidRDefault="006E5807" w:rsidP="006E5807">
            <w:pPr>
              <w:ind w:left="284"/>
              <w:rPr>
                <w:sz w:val="22"/>
                <w:szCs w:val="22"/>
                <w:u w:val="none"/>
              </w:rPr>
            </w:pPr>
            <w:r w:rsidRPr="004149A8">
              <w:rPr>
                <w:sz w:val="22"/>
                <w:szCs w:val="22"/>
                <w:u w:val="none"/>
              </w:rPr>
              <w:t xml:space="preserve">Deputy head teachers </w:t>
            </w:r>
          </w:p>
          <w:p w14:paraId="0EDEBBB7" w14:textId="48360882" w:rsidR="006E5807" w:rsidRPr="004149A8" w:rsidRDefault="006E5807" w:rsidP="006E5807">
            <w:pPr>
              <w:ind w:left="284"/>
              <w:rPr>
                <w:sz w:val="22"/>
                <w:szCs w:val="22"/>
                <w:u w:val="none"/>
              </w:rPr>
            </w:pPr>
            <w:r w:rsidRPr="004149A8">
              <w:rPr>
                <w:sz w:val="22"/>
                <w:szCs w:val="22"/>
                <w:u w:val="none"/>
              </w:rPr>
              <w:t>Leading practitioners</w:t>
            </w:r>
          </w:p>
        </w:tc>
        <w:tc>
          <w:tcPr>
            <w:tcW w:w="1418" w:type="dxa"/>
          </w:tcPr>
          <w:p w14:paraId="59DCA2C6" w14:textId="77777777" w:rsidR="006E5807" w:rsidRDefault="006E5807" w:rsidP="006E5807">
            <w:pPr>
              <w:ind w:left="284"/>
              <w:jc w:val="center"/>
              <w:rPr>
                <w:sz w:val="22"/>
                <w:szCs w:val="22"/>
                <w:u w:val="none"/>
              </w:rPr>
            </w:pPr>
            <w:r>
              <w:rPr>
                <w:sz w:val="22"/>
                <w:szCs w:val="22"/>
                <w:u w:val="none"/>
              </w:rPr>
              <w:t>13</w:t>
            </w:r>
          </w:p>
          <w:p w14:paraId="263E1B61" w14:textId="77777777" w:rsidR="006E5807" w:rsidRDefault="006E5807" w:rsidP="006E5807">
            <w:pPr>
              <w:ind w:left="284"/>
              <w:jc w:val="center"/>
              <w:rPr>
                <w:sz w:val="22"/>
                <w:szCs w:val="22"/>
                <w:u w:val="none"/>
              </w:rPr>
            </w:pPr>
            <w:r>
              <w:rPr>
                <w:sz w:val="22"/>
                <w:szCs w:val="22"/>
                <w:u w:val="none"/>
              </w:rPr>
              <w:t>13</w:t>
            </w:r>
          </w:p>
          <w:p w14:paraId="6278B58C" w14:textId="77777777" w:rsidR="006E5807" w:rsidRDefault="006E5807" w:rsidP="006E5807">
            <w:pPr>
              <w:ind w:left="284"/>
              <w:jc w:val="center"/>
              <w:rPr>
                <w:sz w:val="22"/>
                <w:szCs w:val="22"/>
                <w:u w:val="none"/>
              </w:rPr>
            </w:pPr>
            <w:r>
              <w:rPr>
                <w:sz w:val="22"/>
                <w:szCs w:val="22"/>
                <w:u w:val="none"/>
              </w:rPr>
              <w:t>14</w:t>
            </w:r>
          </w:p>
          <w:p w14:paraId="31CD616D" w14:textId="001079DD" w:rsidR="006E5807" w:rsidRDefault="006E5807" w:rsidP="006E5807">
            <w:pPr>
              <w:ind w:left="284"/>
              <w:jc w:val="center"/>
              <w:rPr>
                <w:sz w:val="22"/>
                <w:szCs w:val="22"/>
                <w:u w:val="none"/>
              </w:rPr>
            </w:pPr>
            <w:r>
              <w:rPr>
                <w:sz w:val="22"/>
                <w:szCs w:val="22"/>
                <w:u w:val="none"/>
              </w:rPr>
              <w:t>14</w:t>
            </w:r>
          </w:p>
          <w:p w14:paraId="592750D9" w14:textId="77777777" w:rsidR="006E5807" w:rsidRDefault="006E5807" w:rsidP="006E5807">
            <w:pPr>
              <w:ind w:left="284"/>
              <w:jc w:val="center"/>
              <w:rPr>
                <w:sz w:val="22"/>
                <w:szCs w:val="22"/>
                <w:u w:val="none"/>
              </w:rPr>
            </w:pPr>
            <w:r>
              <w:rPr>
                <w:sz w:val="22"/>
                <w:szCs w:val="22"/>
                <w:u w:val="none"/>
              </w:rPr>
              <w:t>15</w:t>
            </w:r>
          </w:p>
          <w:p w14:paraId="01728D35" w14:textId="77777777" w:rsidR="006E5807" w:rsidRDefault="006E5807" w:rsidP="006E5807">
            <w:pPr>
              <w:ind w:left="284"/>
              <w:jc w:val="center"/>
              <w:rPr>
                <w:sz w:val="22"/>
                <w:szCs w:val="22"/>
                <w:u w:val="none"/>
              </w:rPr>
            </w:pPr>
            <w:r>
              <w:rPr>
                <w:sz w:val="22"/>
                <w:szCs w:val="22"/>
                <w:u w:val="none"/>
              </w:rPr>
              <w:t>16</w:t>
            </w:r>
          </w:p>
          <w:p w14:paraId="11D40332" w14:textId="45D6AFFA" w:rsidR="006E5807" w:rsidRPr="004149A8" w:rsidRDefault="006E5807" w:rsidP="006E5807">
            <w:pPr>
              <w:ind w:left="284"/>
              <w:jc w:val="center"/>
              <w:rPr>
                <w:sz w:val="22"/>
                <w:szCs w:val="22"/>
                <w:u w:val="none"/>
              </w:rPr>
            </w:pPr>
            <w:r>
              <w:rPr>
                <w:sz w:val="22"/>
                <w:szCs w:val="22"/>
                <w:u w:val="none"/>
              </w:rPr>
              <w:t>16</w:t>
            </w:r>
          </w:p>
        </w:tc>
      </w:tr>
      <w:tr w:rsidR="006E5807" w:rsidRPr="004149A8" w14:paraId="4AAEFD91" w14:textId="77777777" w:rsidTr="00677D94">
        <w:tc>
          <w:tcPr>
            <w:tcW w:w="7727" w:type="dxa"/>
          </w:tcPr>
          <w:p w14:paraId="13F0F9FB" w14:textId="11F1FA65" w:rsidR="006E5807" w:rsidRPr="004149A8" w:rsidRDefault="006E5807" w:rsidP="006E5807">
            <w:pPr>
              <w:ind w:left="284"/>
              <w:rPr>
                <w:sz w:val="22"/>
                <w:szCs w:val="22"/>
                <w:u w:val="none"/>
              </w:rPr>
            </w:pPr>
            <w:r w:rsidRPr="004149A8">
              <w:rPr>
                <w:sz w:val="22"/>
                <w:szCs w:val="22"/>
                <w:u w:val="none"/>
              </w:rPr>
              <w:t xml:space="preserve">SENCO and SEN Allowances </w:t>
            </w:r>
          </w:p>
        </w:tc>
        <w:tc>
          <w:tcPr>
            <w:tcW w:w="1418" w:type="dxa"/>
          </w:tcPr>
          <w:p w14:paraId="1EB2C151" w14:textId="23B0E85E" w:rsidR="006E5807" w:rsidRPr="004149A8" w:rsidRDefault="006E5807" w:rsidP="006E5807">
            <w:pPr>
              <w:ind w:left="284"/>
              <w:jc w:val="center"/>
              <w:rPr>
                <w:sz w:val="22"/>
                <w:szCs w:val="22"/>
                <w:u w:val="none"/>
              </w:rPr>
            </w:pPr>
            <w:r w:rsidRPr="004149A8">
              <w:rPr>
                <w:sz w:val="22"/>
                <w:szCs w:val="22"/>
                <w:u w:val="none"/>
              </w:rPr>
              <w:t>1</w:t>
            </w:r>
            <w:r>
              <w:rPr>
                <w:sz w:val="22"/>
                <w:szCs w:val="22"/>
                <w:u w:val="none"/>
              </w:rPr>
              <w:t>8</w:t>
            </w:r>
          </w:p>
        </w:tc>
      </w:tr>
      <w:tr w:rsidR="006E5807" w:rsidRPr="004149A8" w14:paraId="5BB6B11F" w14:textId="77777777" w:rsidTr="00677D94">
        <w:tc>
          <w:tcPr>
            <w:tcW w:w="7727" w:type="dxa"/>
          </w:tcPr>
          <w:p w14:paraId="63CF33FA" w14:textId="3970EAD1" w:rsidR="006E5807" w:rsidRPr="004149A8" w:rsidRDefault="006E5807" w:rsidP="006E5807">
            <w:pPr>
              <w:ind w:left="284"/>
              <w:rPr>
                <w:sz w:val="22"/>
                <w:szCs w:val="22"/>
                <w:u w:val="none"/>
              </w:rPr>
            </w:pPr>
            <w:r w:rsidRPr="004149A8">
              <w:rPr>
                <w:sz w:val="22"/>
                <w:szCs w:val="22"/>
                <w:u w:val="none"/>
              </w:rPr>
              <w:t xml:space="preserve">Salary on appointment </w:t>
            </w:r>
          </w:p>
        </w:tc>
        <w:tc>
          <w:tcPr>
            <w:tcW w:w="1418" w:type="dxa"/>
          </w:tcPr>
          <w:p w14:paraId="1F09F2DC" w14:textId="1F5B3EB6" w:rsidR="006E5807" w:rsidRPr="004149A8" w:rsidRDefault="006E5807" w:rsidP="006E5807">
            <w:pPr>
              <w:ind w:left="284"/>
              <w:jc w:val="center"/>
              <w:rPr>
                <w:sz w:val="22"/>
                <w:szCs w:val="22"/>
                <w:u w:val="none"/>
              </w:rPr>
            </w:pPr>
            <w:r>
              <w:rPr>
                <w:sz w:val="22"/>
                <w:szCs w:val="22"/>
                <w:u w:val="none"/>
              </w:rPr>
              <w:t>18</w:t>
            </w:r>
          </w:p>
        </w:tc>
      </w:tr>
      <w:tr w:rsidR="006E5807" w:rsidRPr="004149A8" w14:paraId="6FD5F593" w14:textId="77777777" w:rsidTr="00677D94">
        <w:tc>
          <w:tcPr>
            <w:tcW w:w="7727" w:type="dxa"/>
          </w:tcPr>
          <w:p w14:paraId="1278B183" w14:textId="77777777" w:rsidR="006E5807" w:rsidRPr="004149A8" w:rsidRDefault="006E5807" w:rsidP="006E5807">
            <w:pPr>
              <w:ind w:left="284"/>
              <w:rPr>
                <w:sz w:val="22"/>
                <w:szCs w:val="22"/>
                <w:u w:val="none"/>
              </w:rPr>
            </w:pPr>
            <w:r w:rsidRPr="004149A8">
              <w:rPr>
                <w:sz w:val="22"/>
                <w:szCs w:val="22"/>
                <w:u w:val="none"/>
              </w:rPr>
              <w:t>Pay Reviews</w:t>
            </w:r>
          </w:p>
        </w:tc>
        <w:tc>
          <w:tcPr>
            <w:tcW w:w="1418" w:type="dxa"/>
          </w:tcPr>
          <w:p w14:paraId="3B3EB5EC" w14:textId="010654CC" w:rsidR="006E5807" w:rsidRPr="004149A8" w:rsidRDefault="006E5807" w:rsidP="006E5807">
            <w:pPr>
              <w:ind w:left="284"/>
              <w:jc w:val="center"/>
              <w:rPr>
                <w:sz w:val="22"/>
                <w:szCs w:val="22"/>
                <w:u w:val="none"/>
              </w:rPr>
            </w:pPr>
            <w:r>
              <w:rPr>
                <w:sz w:val="22"/>
                <w:szCs w:val="22"/>
                <w:u w:val="none"/>
              </w:rPr>
              <w:t>20</w:t>
            </w:r>
          </w:p>
        </w:tc>
      </w:tr>
      <w:tr w:rsidR="006E5807" w:rsidRPr="004149A8" w14:paraId="7AF31575" w14:textId="77777777" w:rsidTr="00677D94">
        <w:tc>
          <w:tcPr>
            <w:tcW w:w="7727" w:type="dxa"/>
          </w:tcPr>
          <w:p w14:paraId="380625DF" w14:textId="1CF3598F" w:rsidR="006E5807" w:rsidRPr="004149A8" w:rsidRDefault="006E5807" w:rsidP="006E5807">
            <w:pPr>
              <w:ind w:left="284"/>
              <w:rPr>
                <w:sz w:val="22"/>
                <w:szCs w:val="22"/>
                <w:u w:val="none"/>
              </w:rPr>
            </w:pPr>
            <w:r w:rsidRPr="004149A8">
              <w:rPr>
                <w:sz w:val="22"/>
                <w:szCs w:val="22"/>
                <w:u w:val="none"/>
              </w:rPr>
              <w:t xml:space="preserve">Pay progression – teachers </w:t>
            </w:r>
          </w:p>
        </w:tc>
        <w:tc>
          <w:tcPr>
            <w:tcW w:w="1418" w:type="dxa"/>
          </w:tcPr>
          <w:p w14:paraId="5EE7BAB8" w14:textId="58ED459C" w:rsidR="006E5807" w:rsidRPr="004149A8" w:rsidRDefault="006E5807" w:rsidP="006E5807">
            <w:pPr>
              <w:ind w:left="284"/>
              <w:jc w:val="center"/>
              <w:rPr>
                <w:color w:val="FF0000"/>
                <w:sz w:val="22"/>
                <w:szCs w:val="22"/>
                <w:u w:val="none"/>
              </w:rPr>
            </w:pPr>
            <w:r>
              <w:rPr>
                <w:color w:val="FF0000"/>
                <w:sz w:val="22"/>
                <w:szCs w:val="22"/>
                <w:u w:val="none"/>
              </w:rPr>
              <w:t>21</w:t>
            </w:r>
          </w:p>
        </w:tc>
      </w:tr>
      <w:tr w:rsidR="006E5807" w:rsidRPr="004149A8" w14:paraId="0F64772F" w14:textId="77777777" w:rsidTr="00677D94">
        <w:tc>
          <w:tcPr>
            <w:tcW w:w="7727" w:type="dxa"/>
          </w:tcPr>
          <w:p w14:paraId="7C557099" w14:textId="1888A306" w:rsidR="006E5807" w:rsidRPr="004149A8" w:rsidRDefault="006E5807" w:rsidP="006E5807">
            <w:pPr>
              <w:ind w:left="284"/>
              <w:rPr>
                <w:sz w:val="22"/>
                <w:szCs w:val="22"/>
                <w:u w:val="none"/>
              </w:rPr>
            </w:pPr>
            <w:r w:rsidRPr="004149A8">
              <w:rPr>
                <w:sz w:val="22"/>
                <w:szCs w:val="22"/>
                <w:u w:val="none"/>
              </w:rPr>
              <w:t>Early Career Teachers</w:t>
            </w:r>
          </w:p>
        </w:tc>
        <w:tc>
          <w:tcPr>
            <w:tcW w:w="1418" w:type="dxa"/>
          </w:tcPr>
          <w:p w14:paraId="74CD9F48" w14:textId="53243B1D" w:rsidR="006E5807" w:rsidRPr="004149A8" w:rsidRDefault="006E5807" w:rsidP="006E5807">
            <w:pPr>
              <w:ind w:left="284"/>
              <w:jc w:val="center"/>
              <w:rPr>
                <w:sz w:val="22"/>
                <w:szCs w:val="22"/>
                <w:u w:val="none"/>
              </w:rPr>
            </w:pPr>
            <w:r w:rsidRPr="004149A8">
              <w:rPr>
                <w:sz w:val="22"/>
                <w:szCs w:val="22"/>
                <w:u w:val="none"/>
              </w:rPr>
              <w:t>2</w:t>
            </w:r>
            <w:r>
              <w:rPr>
                <w:sz w:val="22"/>
                <w:szCs w:val="22"/>
                <w:u w:val="none"/>
              </w:rPr>
              <w:t>4</w:t>
            </w:r>
          </w:p>
        </w:tc>
      </w:tr>
      <w:tr w:rsidR="006E5807" w:rsidRPr="004149A8" w14:paraId="22718C45" w14:textId="77777777" w:rsidTr="00677D94">
        <w:tc>
          <w:tcPr>
            <w:tcW w:w="7727" w:type="dxa"/>
          </w:tcPr>
          <w:p w14:paraId="1C3CFA74" w14:textId="77777777" w:rsidR="006E5807" w:rsidRPr="004149A8" w:rsidRDefault="006E5807" w:rsidP="006E5807">
            <w:pPr>
              <w:ind w:left="284"/>
              <w:rPr>
                <w:sz w:val="22"/>
                <w:szCs w:val="22"/>
                <w:u w:val="none"/>
              </w:rPr>
            </w:pPr>
            <w:r w:rsidRPr="004149A8">
              <w:rPr>
                <w:sz w:val="22"/>
                <w:szCs w:val="22"/>
                <w:u w:val="none"/>
              </w:rPr>
              <w:t>Movement to the Upper Pay Range (UPR)</w:t>
            </w:r>
          </w:p>
        </w:tc>
        <w:tc>
          <w:tcPr>
            <w:tcW w:w="1418" w:type="dxa"/>
          </w:tcPr>
          <w:p w14:paraId="6A60E657" w14:textId="5B860334" w:rsidR="006E5807" w:rsidRPr="004149A8" w:rsidRDefault="006E5807" w:rsidP="006E5807">
            <w:pPr>
              <w:ind w:left="284"/>
              <w:jc w:val="center"/>
              <w:rPr>
                <w:sz w:val="22"/>
                <w:szCs w:val="22"/>
                <w:u w:val="none"/>
              </w:rPr>
            </w:pPr>
            <w:r>
              <w:rPr>
                <w:sz w:val="22"/>
                <w:szCs w:val="22"/>
                <w:u w:val="none"/>
              </w:rPr>
              <w:t>24</w:t>
            </w:r>
          </w:p>
        </w:tc>
      </w:tr>
      <w:tr w:rsidR="006E5807" w:rsidRPr="004149A8" w14:paraId="18B3AB7F" w14:textId="77777777" w:rsidTr="00677D94">
        <w:tc>
          <w:tcPr>
            <w:tcW w:w="7727" w:type="dxa"/>
          </w:tcPr>
          <w:p w14:paraId="791F05C9" w14:textId="77777777" w:rsidR="006E5807" w:rsidRPr="004149A8" w:rsidRDefault="006E5807" w:rsidP="006E5807">
            <w:pPr>
              <w:ind w:left="284"/>
              <w:rPr>
                <w:sz w:val="22"/>
                <w:szCs w:val="22"/>
                <w:u w:val="none"/>
              </w:rPr>
            </w:pPr>
            <w:r w:rsidRPr="004149A8">
              <w:rPr>
                <w:sz w:val="22"/>
                <w:szCs w:val="22"/>
                <w:u w:val="none"/>
              </w:rPr>
              <w:t>Unqualified Teachers</w:t>
            </w:r>
          </w:p>
        </w:tc>
        <w:tc>
          <w:tcPr>
            <w:tcW w:w="1418" w:type="dxa"/>
          </w:tcPr>
          <w:p w14:paraId="362DDE3D" w14:textId="0B27E9D8" w:rsidR="006E5807" w:rsidRPr="004149A8" w:rsidRDefault="006E5807" w:rsidP="006E5807">
            <w:pPr>
              <w:ind w:left="284"/>
              <w:jc w:val="center"/>
              <w:rPr>
                <w:sz w:val="22"/>
                <w:szCs w:val="22"/>
                <w:u w:val="none"/>
              </w:rPr>
            </w:pPr>
            <w:r>
              <w:rPr>
                <w:sz w:val="22"/>
                <w:szCs w:val="22"/>
                <w:u w:val="none"/>
              </w:rPr>
              <w:t>26</w:t>
            </w:r>
          </w:p>
        </w:tc>
      </w:tr>
      <w:tr w:rsidR="006E5807" w:rsidRPr="004149A8" w14:paraId="1F9EC3E1" w14:textId="77777777" w:rsidTr="00677D94">
        <w:tc>
          <w:tcPr>
            <w:tcW w:w="7727" w:type="dxa"/>
          </w:tcPr>
          <w:p w14:paraId="3FC6D8BD" w14:textId="77777777" w:rsidR="006E5807" w:rsidRPr="004149A8" w:rsidRDefault="006E5807" w:rsidP="006E5807">
            <w:pPr>
              <w:ind w:left="284"/>
              <w:rPr>
                <w:sz w:val="22"/>
                <w:szCs w:val="22"/>
                <w:u w:val="none"/>
              </w:rPr>
            </w:pPr>
            <w:r w:rsidRPr="004149A8">
              <w:rPr>
                <w:sz w:val="22"/>
                <w:szCs w:val="22"/>
                <w:u w:val="none"/>
              </w:rPr>
              <w:t>Supply Teachers</w:t>
            </w:r>
          </w:p>
        </w:tc>
        <w:tc>
          <w:tcPr>
            <w:tcW w:w="1418" w:type="dxa"/>
          </w:tcPr>
          <w:p w14:paraId="4A75ADF1" w14:textId="3991292F" w:rsidR="006E5807" w:rsidRPr="004149A8" w:rsidRDefault="006E5807" w:rsidP="006E5807">
            <w:pPr>
              <w:ind w:left="284"/>
              <w:jc w:val="center"/>
              <w:rPr>
                <w:sz w:val="22"/>
                <w:szCs w:val="22"/>
                <w:u w:val="none"/>
              </w:rPr>
            </w:pPr>
            <w:r>
              <w:rPr>
                <w:sz w:val="22"/>
                <w:szCs w:val="22"/>
                <w:u w:val="none"/>
              </w:rPr>
              <w:t>26</w:t>
            </w:r>
          </w:p>
        </w:tc>
      </w:tr>
      <w:tr w:rsidR="006E5807" w:rsidRPr="004149A8" w14:paraId="52B91BB1" w14:textId="77777777" w:rsidTr="00677D94">
        <w:tc>
          <w:tcPr>
            <w:tcW w:w="7727" w:type="dxa"/>
          </w:tcPr>
          <w:p w14:paraId="28CD5399" w14:textId="77777777" w:rsidR="006E5807" w:rsidRPr="004149A8" w:rsidRDefault="006E5807" w:rsidP="006E5807">
            <w:pPr>
              <w:ind w:left="284"/>
              <w:rPr>
                <w:sz w:val="22"/>
                <w:szCs w:val="22"/>
                <w:u w:val="none"/>
              </w:rPr>
            </w:pPr>
            <w:r w:rsidRPr="004149A8">
              <w:rPr>
                <w:sz w:val="22"/>
                <w:szCs w:val="22"/>
                <w:u w:val="none"/>
              </w:rPr>
              <w:t>Part Time Teachers</w:t>
            </w:r>
          </w:p>
        </w:tc>
        <w:tc>
          <w:tcPr>
            <w:tcW w:w="1418" w:type="dxa"/>
          </w:tcPr>
          <w:p w14:paraId="680CEBA6" w14:textId="5CB1DE3E" w:rsidR="006E5807" w:rsidRPr="004149A8" w:rsidRDefault="006E5807" w:rsidP="006E5807">
            <w:pPr>
              <w:ind w:left="284"/>
              <w:jc w:val="center"/>
              <w:rPr>
                <w:sz w:val="22"/>
                <w:szCs w:val="22"/>
                <w:u w:val="none"/>
              </w:rPr>
            </w:pPr>
            <w:r>
              <w:rPr>
                <w:sz w:val="22"/>
                <w:szCs w:val="22"/>
                <w:u w:val="none"/>
              </w:rPr>
              <w:t>27</w:t>
            </w:r>
          </w:p>
        </w:tc>
      </w:tr>
      <w:tr w:rsidR="006E5807" w:rsidRPr="004149A8" w14:paraId="75114837" w14:textId="77777777" w:rsidTr="00677D94">
        <w:tc>
          <w:tcPr>
            <w:tcW w:w="7727" w:type="dxa"/>
          </w:tcPr>
          <w:p w14:paraId="22682DB8" w14:textId="492286C1" w:rsidR="006E5807" w:rsidRPr="004149A8" w:rsidRDefault="006E5807" w:rsidP="006E5807">
            <w:pPr>
              <w:ind w:left="284"/>
              <w:rPr>
                <w:sz w:val="22"/>
                <w:szCs w:val="22"/>
                <w:u w:val="none"/>
              </w:rPr>
            </w:pPr>
            <w:r w:rsidRPr="004149A8">
              <w:rPr>
                <w:sz w:val="22"/>
                <w:szCs w:val="22"/>
                <w:u w:val="none"/>
              </w:rPr>
              <w:t>Tuition</w:t>
            </w:r>
          </w:p>
        </w:tc>
        <w:tc>
          <w:tcPr>
            <w:tcW w:w="1418" w:type="dxa"/>
          </w:tcPr>
          <w:p w14:paraId="11AEAC36" w14:textId="5A158C77" w:rsidR="006E5807" w:rsidRPr="004149A8" w:rsidRDefault="006E5807" w:rsidP="006E5807">
            <w:pPr>
              <w:ind w:left="284"/>
              <w:jc w:val="center"/>
              <w:rPr>
                <w:sz w:val="22"/>
                <w:szCs w:val="22"/>
                <w:u w:val="none"/>
              </w:rPr>
            </w:pPr>
            <w:r w:rsidRPr="004149A8">
              <w:rPr>
                <w:sz w:val="22"/>
                <w:szCs w:val="22"/>
                <w:u w:val="none"/>
              </w:rPr>
              <w:t>2</w:t>
            </w:r>
            <w:r>
              <w:rPr>
                <w:sz w:val="22"/>
                <w:szCs w:val="22"/>
                <w:u w:val="none"/>
              </w:rPr>
              <w:t>7</w:t>
            </w:r>
          </w:p>
        </w:tc>
      </w:tr>
      <w:tr w:rsidR="006E5807" w:rsidRPr="004149A8" w14:paraId="0951F1FC" w14:textId="77777777" w:rsidTr="00677D94">
        <w:tc>
          <w:tcPr>
            <w:tcW w:w="7727" w:type="dxa"/>
          </w:tcPr>
          <w:p w14:paraId="330C5374" w14:textId="77777777" w:rsidR="006E5807" w:rsidRPr="004149A8" w:rsidRDefault="006E5807" w:rsidP="006E5807">
            <w:pPr>
              <w:ind w:left="284"/>
              <w:rPr>
                <w:sz w:val="22"/>
                <w:szCs w:val="22"/>
                <w:u w:val="none"/>
              </w:rPr>
            </w:pPr>
            <w:r w:rsidRPr="004149A8">
              <w:rPr>
                <w:sz w:val="22"/>
                <w:szCs w:val="22"/>
                <w:u w:val="none"/>
              </w:rPr>
              <w:t>Teaching and Learning Responsibility Payments (TLRs)</w:t>
            </w:r>
          </w:p>
        </w:tc>
        <w:tc>
          <w:tcPr>
            <w:tcW w:w="1418" w:type="dxa"/>
          </w:tcPr>
          <w:p w14:paraId="7AEA4B26" w14:textId="0397ADB7" w:rsidR="006E5807" w:rsidRPr="004149A8" w:rsidRDefault="006E5807" w:rsidP="006E5807">
            <w:pPr>
              <w:ind w:left="284"/>
              <w:jc w:val="center"/>
              <w:rPr>
                <w:sz w:val="22"/>
                <w:szCs w:val="22"/>
                <w:u w:val="none"/>
              </w:rPr>
            </w:pPr>
            <w:r>
              <w:rPr>
                <w:sz w:val="22"/>
                <w:szCs w:val="22"/>
                <w:u w:val="none"/>
              </w:rPr>
              <w:t>28</w:t>
            </w:r>
          </w:p>
        </w:tc>
      </w:tr>
      <w:tr w:rsidR="006E5807" w:rsidRPr="004149A8" w14:paraId="70969346" w14:textId="77777777" w:rsidTr="00677D94">
        <w:tc>
          <w:tcPr>
            <w:tcW w:w="7727" w:type="dxa"/>
          </w:tcPr>
          <w:p w14:paraId="27BD09B8" w14:textId="29E14E86" w:rsidR="006E5807" w:rsidRPr="004149A8" w:rsidRDefault="006E5807" w:rsidP="006E5807">
            <w:pPr>
              <w:ind w:left="284"/>
              <w:rPr>
                <w:sz w:val="22"/>
                <w:szCs w:val="22"/>
                <w:u w:val="none"/>
              </w:rPr>
            </w:pPr>
            <w:r w:rsidRPr="004149A8">
              <w:rPr>
                <w:sz w:val="22"/>
                <w:szCs w:val="22"/>
                <w:u w:val="none"/>
              </w:rPr>
              <w:t xml:space="preserve">Special Educational Needs (SEN) Qualification </w:t>
            </w:r>
          </w:p>
        </w:tc>
        <w:tc>
          <w:tcPr>
            <w:tcW w:w="1418" w:type="dxa"/>
          </w:tcPr>
          <w:p w14:paraId="1A2AA207" w14:textId="4A8C8F01" w:rsidR="006E5807" w:rsidRPr="004149A8" w:rsidRDefault="006E5807" w:rsidP="006E5807">
            <w:pPr>
              <w:ind w:left="284"/>
              <w:jc w:val="center"/>
              <w:rPr>
                <w:sz w:val="22"/>
                <w:szCs w:val="22"/>
                <w:u w:val="none"/>
              </w:rPr>
            </w:pPr>
            <w:r w:rsidRPr="004149A8">
              <w:rPr>
                <w:sz w:val="22"/>
                <w:szCs w:val="22"/>
                <w:u w:val="none"/>
              </w:rPr>
              <w:t>3</w:t>
            </w:r>
            <w:r>
              <w:rPr>
                <w:sz w:val="22"/>
                <w:szCs w:val="22"/>
                <w:u w:val="none"/>
              </w:rPr>
              <w:t>0</w:t>
            </w:r>
          </w:p>
        </w:tc>
      </w:tr>
      <w:tr w:rsidR="006E5807" w:rsidRPr="004149A8" w14:paraId="36BCF373" w14:textId="77777777" w:rsidTr="00677D94">
        <w:tc>
          <w:tcPr>
            <w:tcW w:w="7727" w:type="dxa"/>
          </w:tcPr>
          <w:p w14:paraId="5B9CCF20" w14:textId="77777777" w:rsidR="006E5807" w:rsidRPr="004149A8" w:rsidRDefault="006E5807" w:rsidP="006E5807">
            <w:pPr>
              <w:ind w:left="284"/>
              <w:rPr>
                <w:sz w:val="22"/>
                <w:szCs w:val="22"/>
                <w:u w:val="none"/>
              </w:rPr>
            </w:pPr>
            <w:r w:rsidRPr="004149A8">
              <w:rPr>
                <w:sz w:val="22"/>
                <w:szCs w:val="22"/>
                <w:u w:val="none"/>
              </w:rPr>
              <w:t>Acting Up Allowances and Honoraria Payments</w:t>
            </w:r>
          </w:p>
        </w:tc>
        <w:tc>
          <w:tcPr>
            <w:tcW w:w="1418" w:type="dxa"/>
          </w:tcPr>
          <w:p w14:paraId="29C2F1A4" w14:textId="1A3F65AC" w:rsidR="006E5807" w:rsidRPr="004149A8" w:rsidRDefault="006E5807" w:rsidP="006E5807">
            <w:pPr>
              <w:ind w:left="284"/>
              <w:jc w:val="center"/>
              <w:rPr>
                <w:sz w:val="22"/>
                <w:szCs w:val="22"/>
                <w:u w:val="none"/>
              </w:rPr>
            </w:pPr>
            <w:r w:rsidRPr="004149A8">
              <w:rPr>
                <w:sz w:val="22"/>
                <w:szCs w:val="22"/>
                <w:u w:val="none"/>
              </w:rPr>
              <w:t>3</w:t>
            </w:r>
            <w:r>
              <w:rPr>
                <w:sz w:val="22"/>
                <w:szCs w:val="22"/>
                <w:u w:val="none"/>
              </w:rPr>
              <w:t>1</w:t>
            </w:r>
          </w:p>
        </w:tc>
      </w:tr>
      <w:tr w:rsidR="006E5807" w:rsidRPr="004149A8" w14:paraId="42F994D5" w14:textId="77777777" w:rsidTr="00677D94">
        <w:tc>
          <w:tcPr>
            <w:tcW w:w="7727" w:type="dxa"/>
          </w:tcPr>
          <w:p w14:paraId="09D45893" w14:textId="77777777" w:rsidR="006E5807" w:rsidRPr="004149A8" w:rsidRDefault="006E5807" w:rsidP="006E5807">
            <w:pPr>
              <w:ind w:left="284"/>
              <w:rPr>
                <w:sz w:val="22"/>
                <w:szCs w:val="22"/>
                <w:u w:val="none"/>
              </w:rPr>
            </w:pPr>
            <w:r w:rsidRPr="004149A8">
              <w:rPr>
                <w:sz w:val="22"/>
                <w:szCs w:val="22"/>
                <w:u w:val="none"/>
              </w:rPr>
              <w:t>Additional Payments – Classroom Teachers Only</w:t>
            </w:r>
          </w:p>
        </w:tc>
        <w:tc>
          <w:tcPr>
            <w:tcW w:w="1418" w:type="dxa"/>
          </w:tcPr>
          <w:p w14:paraId="3256B20E" w14:textId="08DDA489" w:rsidR="006E5807" w:rsidRPr="004149A8" w:rsidRDefault="006E5807" w:rsidP="006E5807">
            <w:pPr>
              <w:ind w:left="284"/>
              <w:jc w:val="center"/>
              <w:rPr>
                <w:sz w:val="22"/>
                <w:szCs w:val="22"/>
                <w:u w:val="none"/>
              </w:rPr>
            </w:pPr>
            <w:r w:rsidRPr="004149A8">
              <w:rPr>
                <w:sz w:val="22"/>
                <w:szCs w:val="22"/>
                <w:u w:val="none"/>
              </w:rPr>
              <w:t>3</w:t>
            </w:r>
            <w:r>
              <w:rPr>
                <w:sz w:val="22"/>
                <w:szCs w:val="22"/>
                <w:u w:val="none"/>
              </w:rPr>
              <w:t>2</w:t>
            </w:r>
          </w:p>
        </w:tc>
      </w:tr>
      <w:tr w:rsidR="006E5807" w:rsidRPr="004149A8" w14:paraId="36CB9E68" w14:textId="77777777" w:rsidTr="00677D94">
        <w:tc>
          <w:tcPr>
            <w:tcW w:w="7727" w:type="dxa"/>
          </w:tcPr>
          <w:p w14:paraId="7BCF8FBC" w14:textId="77777777" w:rsidR="006E5807" w:rsidRPr="004149A8" w:rsidRDefault="006E5807" w:rsidP="006E5807">
            <w:pPr>
              <w:ind w:left="284"/>
              <w:rPr>
                <w:sz w:val="22"/>
                <w:szCs w:val="22"/>
                <w:u w:val="none"/>
              </w:rPr>
            </w:pPr>
            <w:r w:rsidRPr="004149A8">
              <w:rPr>
                <w:sz w:val="22"/>
                <w:szCs w:val="22"/>
                <w:u w:val="none"/>
              </w:rPr>
              <w:lastRenderedPageBreak/>
              <w:t>Head Teacher Temporary Payments</w:t>
            </w:r>
          </w:p>
        </w:tc>
        <w:tc>
          <w:tcPr>
            <w:tcW w:w="1418" w:type="dxa"/>
          </w:tcPr>
          <w:p w14:paraId="64CA0FC3" w14:textId="72A40F19" w:rsidR="006E5807" w:rsidRPr="004149A8" w:rsidRDefault="006E5807" w:rsidP="006E5807">
            <w:pPr>
              <w:ind w:left="284"/>
              <w:jc w:val="center"/>
              <w:rPr>
                <w:sz w:val="22"/>
                <w:szCs w:val="22"/>
                <w:u w:val="none"/>
              </w:rPr>
            </w:pPr>
            <w:r w:rsidRPr="004149A8">
              <w:rPr>
                <w:sz w:val="22"/>
                <w:szCs w:val="22"/>
                <w:u w:val="none"/>
              </w:rPr>
              <w:t>3</w:t>
            </w:r>
            <w:r>
              <w:rPr>
                <w:sz w:val="22"/>
                <w:szCs w:val="22"/>
                <w:u w:val="none"/>
              </w:rPr>
              <w:t>4</w:t>
            </w:r>
          </w:p>
        </w:tc>
      </w:tr>
      <w:tr w:rsidR="006E5807" w:rsidRPr="004149A8" w14:paraId="7F602AE8" w14:textId="77777777" w:rsidTr="00677D94">
        <w:tc>
          <w:tcPr>
            <w:tcW w:w="7727" w:type="dxa"/>
          </w:tcPr>
          <w:p w14:paraId="3C88CB35" w14:textId="77777777" w:rsidR="006E5807" w:rsidRPr="004149A8" w:rsidRDefault="006E5807" w:rsidP="006E5807">
            <w:pPr>
              <w:ind w:left="284"/>
              <w:rPr>
                <w:sz w:val="22"/>
                <w:szCs w:val="22"/>
                <w:u w:val="none"/>
              </w:rPr>
            </w:pPr>
            <w:r w:rsidRPr="004149A8">
              <w:rPr>
                <w:sz w:val="22"/>
                <w:szCs w:val="22"/>
                <w:u w:val="none"/>
              </w:rPr>
              <w:t>Work Outside of School</w:t>
            </w:r>
          </w:p>
        </w:tc>
        <w:tc>
          <w:tcPr>
            <w:tcW w:w="1418" w:type="dxa"/>
          </w:tcPr>
          <w:p w14:paraId="66E87868" w14:textId="79F277AE" w:rsidR="006E5807" w:rsidRPr="004149A8" w:rsidRDefault="006E5807" w:rsidP="006E5807">
            <w:pPr>
              <w:ind w:left="284"/>
              <w:jc w:val="center"/>
              <w:rPr>
                <w:sz w:val="22"/>
                <w:szCs w:val="22"/>
                <w:u w:val="none"/>
              </w:rPr>
            </w:pPr>
            <w:r w:rsidRPr="004149A8">
              <w:rPr>
                <w:sz w:val="22"/>
                <w:szCs w:val="22"/>
                <w:u w:val="none"/>
              </w:rPr>
              <w:t>3</w:t>
            </w:r>
            <w:r>
              <w:rPr>
                <w:sz w:val="22"/>
                <w:szCs w:val="22"/>
                <w:u w:val="none"/>
              </w:rPr>
              <w:t>4</w:t>
            </w:r>
          </w:p>
        </w:tc>
      </w:tr>
      <w:tr w:rsidR="006E5807" w:rsidRPr="004149A8" w14:paraId="26790915" w14:textId="77777777" w:rsidTr="00677D94">
        <w:tc>
          <w:tcPr>
            <w:tcW w:w="7727" w:type="dxa"/>
          </w:tcPr>
          <w:p w14:paraId="275B1386" w14:textId="77777777" w:rsidR="006E5807" w:rsidRPr="004149A8" w:rsidRDefault="006E5807" w:rsidP="006E5807">
            <w:pPr>
              <w:ind w:left="284"/>
              <w:rPr>
                <w:sz w:val="22"/>
                <w:szCs w:val="22"/>
                <w:u w:val="none"/>
              </w:rPr>
            </w:pPr>
            <w:r w:rsidRPr="004149A8">
              <w:rPr>
                <w:sz w:val="22"/>
                <w:szCs w:val="22"/>
                <w:u w:val="none"/>
              </w:rPr>
              <w:t>Over/Under Payments</w:t>
            </w:r>
          </w:p>
        </w:tc>
        <w:tc>
          <w:tcPr>
            <w:tcW w:w="1418" w:type="dxa"/>
          </w:tcPr>
          <w:p w14:paraId="6C08BE4A" w14:textId="4E4156EE" w:rsidR="006E5807" w:rsidRPr="004149A8" w:rsidRDefault="006E5807" w:rsidP="006E5807">
            <w:pPr>
              <w:ind w:left="284"/>
              <w:jc w:val="center"/>
              <w:rPr>
                <w:sz w:val="22"/>
                <w:szCs w:val="22"/>
                <w:u w:val="none"/>
              </w:rPr>
            </w:pPr>
            <w:r w:rsidRPr="004149A8">
              <w:rPr>
                <w:sz w:val="22"/>
                <w:szCs w:val="22"/>
                <w:u w:val="none"/>
              </w:rPr>
              <w:t>3</w:t>
            </w:r>
            <w:r>
              <w:rPr>
                <w:sz w:val="22"/>
                <w:szCs w:val="22"/>
                <w:u w:val="none"/>
              </w:rPr>
              <w:t>5</w:t>
            </w:r>
          </w:p>
        </w:tc>
      </w:tr>
      <w:tr w:rsidR="006E5807" w:rsidRPr="004149A8" w14:paraId="45CE56E4" w14:textId="77777777" w:rsidTr="00677D94">
        <w:tc>
          <w:tcPr>
            <w:tcW w:w="7727" w:type="dxa"/>
          </w:tcPr>
          <w:p w14:paraId="0C5E2933" w14:textId="77777777" w:rsidR="006E5807" w:rsidRPr="004149A8" w:rsidRDefault="006E5807" w:rsidP="006E5807">
            <w:pPr>
              <w:ind w:left="284"/>
              <w:rPr>
                <w:sz w:val="22"/>
                <w:szCs w:val="22"/>
                <w:u w:val="none"/>
              </w:rPr>
            </w:pPr>
            <w:r w:rsidRPr="004149A8">
              <w:rPr>
                <w:sz w:val="22"/>
                <w:szCs w:val="22"/>
                <w:u w:val="none"/>
              </w:rPr>
              <w:t>Salary Safeguarding</w:t>
            </w:r>
          </w:p>
        </w:tc>
        <w:tc>
          <w:tcPr>
            <w:tcW w:w="1418" w:type="dxa"/>
          </w:tcPr>
          <w:p w14:paraId="135F3058" w14:textId="1E8D845E" w:rsidR="006E5807" w:rsidRPr="004149A8" w:rsidRDefault="006E5807" w:rsidP="006E5807">
            <w:pPr>
              <w:ind w:left="284"/>
              <w:jc w:val="center"/>
              <w:rPr>
                <w:sz w:val="22"/>
                <w:szCs w:val="22"/>
                <w:u w:val="none"/>
              </w:rPr>
            </w:pPr>
            <w:r w:rsidRPr="004149A8">
              <w:rPr>
                <w:sz w:val="22"/>
                <w:szCs w:val="22"/>
                <w:u w:val="none"/>
              </w:rPr>
              <w:t>3</w:t>
            </w:r>
            <w:r>
              <w:rPr>
                <w:sz w:val="22"/>
                <w:szCs w:val="22"/>
                <w:u w:val="none"/>
              </w:rPr>
              <w:t>5</w:t>
            </w:r>
          </w:p>
        </w:tc>
      </w:tr>
      <w:tr w:rsidR="006E5807" w:rsidRPr="004149A8" w14:paraId="783D730F" w14:textId="77777777" w:rsidTr="00677D94">
        <w:tc>
          <w:tcPr>
            <w:tcW w:w="7727" w:type="dxa"/>
          </w:tcPr>
          <w:p w14:paraId="520D1554" w14:textId="53D98D53" w:rsidR="006E5807" w:rsidRPr="004149A8" w:rsidRDefault="006E5807" w:rsidP="006E5807">
            <w:pPr>
              <w:ind w:left="284"/>
              <w:rPr>
                <w:sz w:val="22"/>
                <w:szCs w:val="22"/>
                <w:u w:val="none"/>
              </w:rPr>
            </w:pPr>
            <w:r w:rsidRPr="004149A8">
              <w:rPr>
                <w:sz w:val="22"/>
                <w:szCs w:val="22"/>
                <w:u w:val="none"/>
              </w:rPr>
              <w:t xml:space="preserve">Salary Sacrifice schemes </w:t>
            </w:r>
          </w:p>
        </w:tc>
        <w:tc>
          <w:tcPr>
            <w:tcW w:w="1418" w:type="dxa"/>
          </w:tcPr>
          <w:p w14:paraId="5AF80750" w14:textId="666539D2" w:rsidR="006E5807" w:rsidRPr="004149A8" w:rsidRDefault="006E5807" w:rsidP="006E5807">
            <w:pPr>
              <w:ind w:left="284"/>
              <w:jc w:val="center"/>
              <w:rPr>
                <w:sz w:val="22"/>
                <w:szCs w:val="22"/>
                <w:u w:val="none"/>
              </w:rPr>
            </w:pPr>
            <w:r w:rsidRPr="004149A8">
              <w:rPr>
                <w:sz w:val="22"/>
                <w:szCs w:val="22"/>
                <w:u w:val="none"/>
              </w:rPr>
              <w:t>38</w:t>
            </w:r>
          </w:p>
        </w:tc>
      </w:tr>
      <w:tr w:rsidR="006E5807" w:rsidRPr="004149A8" w14:paraId="1B125628" w14:textId="77777777" w:rsidTr="00677D94">
        <w:tc>
          <w:tcPr>
            <w:tcW w:w="7727" w:type="dxa"/>
          </w:tcPr>
          <w:p w14:paraId="17E84824" w14:textId="77777777" w:rsidR="006E5807" w:rsidRPr="004149A8" w:rsidRDefault="006E5807" w:rsidP="006E5807">
            <w:pPr>
              <w:ind w:left="284"/>
              <w:rPr>
                <w:sz w:val="22"/>
                <w:szCs w:val="22"/>
                <w:u w:val="none"/>
              </w:rPr>
            </w:pPr>
            <w:r w:rsidRPr="004149A8">
              <w:rPr>
                <w:sz w:val="22"/>
                <w:szCs w:val="22"/>
                <w:u w:val="none"/>
              </w:rPr>
              <w:t>Pay Appeals Procedure</w:t>
            </w:r>
          </w:p>
        </w:tc>
        <w:tc>
          <w:tcPr>
            <w:tcW w:w="1418" w:type="dxa"/>
          </w:tcPr>
          <w:p w14:paraId="4524425A" w14:textId="78398686" w:rsidR="006E5807" w:rsidRPr="004149A8" w:rsidRDefault="006E5807" w:rsidP="006E5807">
            <w:pPr>
              <w:ind w:left="284"/>
              <w:jc w:val="center"/>
              <w:rPr>
                <w:sz w:val="22"/>
                <w:szCs w:val="22"/>
                <w:u w:val="none"/>
              </w:rPr>
            </w:pPr>
            <w:r w:rsidRPr="004149A8">
              <w:rPr>
                <w:sz w:val="22"/>
                <w:szCs w:val="22"/>
                <w:u w:val="none"/>
              </w:rPr>
              <w:t>3</w:t>
            </w:r>
            <w:r>
              <w:rPr>
                <w:sz w:val="22"/>
                <w:szCs w:val="22"/>
                <w:u w:val="none"/>
              </w:rPr>
              <w:t>8</w:t>
            </w:r>
          </w:p>
        </w:tc>
      </w:tr>
      <w:tr w:rsidR="006E5807" w:rsidRPr="004149A8" w14:paraId="70BA557B" w14:textId="77777777" w:rsidTr="00677D94">
        <w:tc>
          <w:tcPr>
            <w:tcW w:w="7727" w:type="dxa"/>
          </w:tcPr>
          <w:p w14:paraId="297FFFBE" w14:textId="014C3133" w:rsidR="006E5807" w:rsidRPr="004149A8" w:rsidRDefault="006E5807" w:rsidP="006E5807">
            <w:pPr>
              <w:ind w:left="284"/>
              <w:rPr>
                <w:sz w:val="22"/>
                <w:szCs w:val="22"/>
                <w:u w:val="none"/>
              </w:rPr>
            </w:pPr>
            <w:r w:rsidRPr="004149A8">
              <w:rPr>
                <w:sz w:val="22"/>
                <w:szCs w:val="22"/>
                <w:u w:val="none"/>
              </w:rPr>
              <w:t>Monitoring and Review – Governing Body</w:t>
            </w:r>
          </w:p>
        </w:tc>
        <w:tc>
          <w:tcPr>
            <w:tcW w:w="1418" w:type="dxa"/>
          </w:tcPr>
          <w:p w14:paraId="2E82F33E" w14:textId="6B56405C" w:rsidR="006E5807" w:rsidRPr="004149A8" w:rsidRDefault="006E5807" w:rsidP="006E5807">
            <w:pPr>
              <w:ind w:left="284"/>
              <w:jc w:val="center"/>
              <w:rPr>
                <w:sz w:val="22"/>
                <w:szCs w:val="22"/>
                <w:u w:val="none"/>
              </w:rPr>
            </w:pPr>
            <w:r w:rsidRPr="004149A8">
              <w:rPr>
                <w:sz w:val="22"/>
                <w:szCs w:val="22"/>
                <w:u w:val="none"/>
              </w:rPr>
              <w:t>39</w:t>
            </w:r>
          </w:p>
        </w:tc>
      </w:tr>
      <w:tr w:rsidR="006E5807" w:rsidRPr="004149A8" w14:paraId="322A95F7" w14:textId="77777777" w:rsidTr="00677D94">
        <w:tc>
          <w:tcPr>
            <w:tcW w:w="7727" w:type="dxa"/>
          </w:tcPr>
          <w:p w14:paraId="48EF8CA8" w14:textId="77777777" w:rsidR="006E5807" w:rsidRPr="004149A8" w:rsidRDefault="006E5807" w:rsidP="006E5807">
            <w:pPr>
              <w:ind w:left="284"/>
              <w:rPr>
                <w:sz w:val="22"/>
                <w:szCs w:val="22"/>
                <w:u w:val="none"/>
              </w:rPr>
            </w:pPr>
            <w:r w:rsidRPr="004149A8">
              <w:rPr>
                <w:sz w:val="22"/>
                <w:szCs w:val="22"/>
                <w:u w:val="none"/>
              </w:rPr>
              <w:t>Extended Services</w:t>
            </w:r>
          </w:p>
        </w:tc>
        <w:tc>
          <w:tcPr>
            <w:tcW w:w="1418" w:type="dxa"/>
          </w:tcPr>
          <w:p w14:paraId="28F3F5D4" w14:textId="5C54720F" w:rsidR="006E5807" w:rsidRPr="004149A8" w:rsidRDefault="006E5807" w:rsidP="006E5807">
            <w:pPr>
              <w:ind w:left="284"/>
              <w:jc w:val="center"/>
              <w:rPr>
                <w:sz w:val="22"/>
                <w:szCs w:val="22"/>
                <w:u w:val="none"/>
              </w:rPr>
            </w:pPr>
            <w:r w:rsidRPr="004149A8">
              <w:rPr>
                <w:sz w:val="22"/>
                <w:szCs w:val="22"/>
                <w:u w:val="none"/>
              </w:rPr>
              <w:t>4</w:t>
            </w:r>
            <w:r>
              <w:rPr>
                <w:sz w:val="22"/>
                <w:szCs w:val="22"/>
                <w:u w:val="none"/>
              </w:rPr>
              <w:t>0</w:t>
            </w:r>
          </w:p>
        </w:tc>
      </w:tr>
      <w:tr w:rsidR="006E5807" w:rsidRPr="004149A8" w14:paraId="68105CA9" w14:textId="77777777" w:rsidTr="00677D94">
        <w:tc>
          <w:tcPr>
            <w:tcW w:w="7727" w:type="dxa"/>
          </w:tcPr>
          <w:p w14:paraId="73D8FA11" w14:textId="715AABBD" w:rsidR="006E5807" w:rsidRPr="004149A8" w:rsidRDefault="006E5807" w:rsidP="006E5807">
            <w:pPr>
              <w:ind w:left="284"/>
              <w:rPr>
                <w:sz w:val="22"/>
                <w:szCs w:val="22"/>
                <w:u w:val="none"/>
              </w:rPr>
            </w:pPr>
            <w:r>
              <w:rPr>
                <w:sz w:val="22"/>
                <w:szCs w:val="22"/>
                <w:u w:val="none"/>
              </w:rPr>
              <w:t>Bibliography</w:t>
            </w:r>
          </w:p>
        </w:tc>
        <w:tc>
          <w:tcPr>
            <w:tcW w:w="1418" w:type="dxa"/>
          </w:tcPr>
          <w:p w14:paraId="65FE4E57" w14:textId="21D19157" w:rsidR="006E5807" w:rsidRPr="004149A8" w:rsidRDefault="006E5807" w:rsidP="006E5807">
            <w:pPr>
              <w:ind w:left="284"/>
              <w:jc w:val="center"/>
              <w:rPr>
                <w:sz w:val="22"/>
                <w:szCs w:val="22"/>
                <w:u w:val="none"/>
              </w:rPr>
            </w:pPr>
            <w:r>
              <w:rPr>
                <w:sz w:val="22"/>
                <w:szCs w:val="22"/>
                <w:u w:val="none"/>
              </w:rPr>
              <w:t>41</w:t>
            </w:r>
          </w:p>
        </w:tc>
      </w:tr>
      <w:tr w:rsidR="006E5807" w:rsidRPr="004149A8" w14:paraId="07CBB193" w14:textId="77777777" w:rsidTr="00677D94">
        <w:tc>
          <w:tcPr>
            <w:tcW w:w="7727" w:type="dxa"/>
          </w:tcPr>
          <w:p w14:paraId="4A70AA20" w14:textId="5C71E682" w:rsidR="006E5807" w:rsidRPr="004149A8" w:rsidRDefault="006E5807" w:rsidP="006E5807">
            <w:pPr>
              <w:ind w:left="284"/>
              <w:rPr>
                <w:sz w:val="22"/>
                <w:szCs w:val="22"/>
                <w:u w:val="none"/>
              </w:rPr>
            </w:pPr>
            <w:r>
              <w:rPr>
                <w:sz w:val="22"/>
                <w:szCs w:val="22"/>
                <w:u w:val="none"/>
              </w:rPr>
              <w:t xml:space="preserve">Consultation and Version Control </w:t>
            </w:r>
          </w:p>
        </w:tc>
        <w:tc>
          <w:tcPr>
            <w:tcW w:w="1418" w:type="dxa"/>
          </w:tcPr>
          <w:p w14:paraId="5F3B7A32" w14:textId="08EFB19E" w:rsidR="006E5807" w:rsidRPr="004149A8" w:rsidRDefault="006E5807" w:rsidP="006E5807">
            <w:pPr>
              <w:ind w:left="284"/>
              <w:jc w:val="center"/>
              <w:rPr>
                <w:sz w:val="22"/>
                <w:szCs w:val="22"/>
                <w:u w:val="none"/>
              </w:rPr>
            </w:pPr>
            <w:r>
              <w:rPr>
                <w:sz w:val="22"/>
                <w:szCs w:val="22"/>
                <w:u w:val="none"/>
              </w:rPr>
              <w:t>42</w:t>
            </w:r>
          </w:p>
        </w:tc>
      </w:tr>
    </w:tbl>
    <w:p w14:paraId="26C7F74E" w14:textId="77777777" w:rsidR="00185902" w:rsidRPr="004149A8" w:rsidRDefault="00185902" w:rsidP="00396DA7">
      <w:pPr>
        <w:ind w:left="284"/>
        <w:rPr>
          <w:sz w:val="22"/>
          <w:szCs w:val="22"/>
          <w:u w:val="none"/>
          <w:lang w:eastAsia="en-GB"/>
        </w:rPr>
        <w:sectPr w:rsidR="00185902" w:rsidRPr="004149A8" w:rsidSect="00396DA7">
          <w:footerReference w:type="default" r:id="rId13"/>
          <w:pgSz w:w="11906" w:h="16838" w:code="9"/>
          <w:pgMar w:top="567" w:right="1133" w:bottom="426" w:left="1440" w:header="706" w:footer="706" w:gutter="0"/>
          <w:pgNumType w:start="0"/>
          <w:cols w:space="720"/>
          <w:titlePg/>
        </w:sectPr>
      </w:pPr>
    </w:p>
    <w:p w14:paraId="60672541" w14:textId="77777777" w:rsidR="00185902" w:rsidRPr="002663D2" w:rsidRDefault="00150A4A" w:rsidP="00396DA7">
      <w:pPr>
        <w:jc w:val="both"/>
        <w:rPr>
          <w:b/>
          <w:bCs/>
          <w:u w:val="none"/>
        </w:rPr>
      </w:pPr>
      <w:r w:rsidRPr="00705394">
        <w:rPr>
          <w:b/>
          <w:bCs/>
          <w:u w:val="none"/>
        </w:rPr>
        <w:lastRenderedPageBreak/>
        <w:t xml:space="preserve">Pay </w:t>
      </w:r>
      <w:r w:rsidR="00E51E67" w:rsidRPr="00705394">
        <w:rPr>
          <w:b/>
          <w:bCs/>
          <w:u w:val="none"/>
        </w:rPr>
        <w:t>P</w:t>
      </w:r>
      <w:r w:rsidRPr="00705394">
        <w:rPr>
          <w:b/>
          <w:bCs/>
          <w:u w:val="none"/>
        </w:rPr>
        <w:t xml:space="preserve">olicy </w:t>
      </w:r>
      <w:r w:rsidR="00C54D01" w:rsidRPr="002663D2">
        <w:rPr>
          <w:b/>
          <w:bCs/>
          <w:u w:val="none"/>
        </w:rPr>
        <w:t>Paragraph 1.0</w:t>
      </w:r>
      <w:r w:rsidR="003B5635" w:rsidRPr="002663D2">
        <w:rPr>
          <w:b/>
          <w:bCs/>
          <w:u w:val="none"/>
        </w:rPr>
        <w:t xml:space="preserve"> -</w:t>
      </w:r>
      <w:r w:rsidR="00C54D01" w:rsidRPr="002663D2">
        <w:rPr>
          <w:b/>
          <w:bCs/>
          <w:u w:val="none"/>
        </w:rPr>
        <w:t xml:space="preserve"> </w:t>
      </w:r>
      <w:r w:rsidR="00185902" w:rsidRPr="002663D2">
        <w:rPr>
          <w:b/>
          <w:bCs/>
          <w:u w:val="none"/>
        </w:rPr>
        <w:t xml:space="preserve">Introduction </w:t>
      </w:r>
    </w:p>
    <w:p w14:paraId="42CC075E" w14:textId="043B92A0" w:rsidR="00C32183" w:rsidRPr="002663D2" w:rsidRDefault="00C32183" w:rsidP="00396DA7">
      <w:pPr>
        <w:spacing w:after="0"/>
        <w:jc w:val="both"/>
        <w:rPr>
          <w:u w:val="none"/>
        </w:rPr>
      </w:pPr>
      <w:r w:rsidRPr="002663D2">
        <w:rPr>
          <w:u w:val="none"/>
        </w:rPr>
        <w:t xml:space="preserve">The Governing Body should complete </w:t>
      </w:r>
      <w:r w:rsidR="000D01EB" w:rsidRPr="002663D2">
        <w:rPr>
          <w:u w:val="none"/>
        </w:rPr>
        <w:t xml:space="preserve">the sections of the Governing Body – Policy Decision Planner 2025 on </w:t>
      </w:r>
      <w:r w:rsidRPr="002663D2">
        <w:rPr>
          <w:u w:val="none"/>
        </w:rPr>
        <w:t>page</w:t>
      </w:r>
      <w:r w:rsidR="000D01EB" w:rsidRPr="002663D2">
        <w:rPr>
          <w:u w:val="none"/>
        </w:rPr>
        <w:t>s 1 and</w:t>
      </w:r>
      <w:r w:rsidRPr="002663D2">
        <w:rPr>
          <w:u w:val="none"/>
        </w:rPr>
        <w:t xml:space="preserve"> 2 of the policy setting out their consideration and approval of the policy discretions. This has been re formatted to make the process of governing body approval easier and quicker to manage. The governing body must still review the entire policy</w:t>
      </w:r>
      <w:r w:rsidR="000A6B63" w:rsidRPr="002663D2">
        <w:rPr>
          <w:u w:val="none"/>
        </w:rPr>
        <w:t xml:space="preserve">, </w:t>
      </w:r>
      <w:r w:rsidR="0018228D" w:rsidRPr="002663D2">
        <w:rPr>
          <w:u w:val="none"/>
        </w:rPr>
        <w:t xml:space="preserve">using the “red type” </w:t>
      </w:r>
      <w:r w:rsidRPr="002663D2">
        <w:rPr>
          <w:u w:val="none"/>
        </w:rPr>
        <w:t>version showing the changes in red from the previous year</w:t>
      </w:r>
      <w:r w:rsidR="00705394" w:rsidRPr="002663D2">
        <w:rPr>
          <w:u w:val="none"/>
        </w:rPr>
        <w:t>.</w:t>
      </w:r>
      <w:r w:rsidRPr="002663D2">
        <w:rPr>
          <w:u w:val="none"/>
        </w:rPr>
        <w:t xml:space="preserve"> </w:t>
      </w:r>
    </w:p>
    <w:p w14:paraId="3E455F6E" w14:textId="77777777" w:rsidR="00C32183" w:rsidRPr="002663D2" w:rsidRDefault="00C32183" w:rsidP="00396DA7">
      <w:pPr>
        <w:spacing w:after="0"/>
        <w:jc w:val="both"/>
        <w:rPr>
          <w:u w:val="none"/>
        </w:rPr>
      </w:pPr>
    </w:p>
    <w:p w14:paraId="700D181C" w14:textId="2872A6F3" w:rsidR="00185902" w:rsidRPr="002663D2" w:rsidRDefault="00236566" w:rsidP="00396DA7">
      <w:pPr>
        <w:spacing w:after="0"/>
        <w:jc w:val="both"/>
        <w:rPr>
          <w:u w:val="none"/>
        </w:rPr>
      </w:pPr>
      <w:r w:rsidRPr="002663D2">
        <w:rPr>
          <w:u w:val="none"/>
        </w:rPr>
        <w:t>The appraisal and pay process should recognise and reward a teachers’ performance through</w:t>
      </w:r>
      <w:r w:rsidR="00104CCD" w:rsidRPr="002663D2">
        <w:rPr>
          <w:u w:val="none"/>
        </w:rPr>
        <w:t xml:space="preserve"> positive and constructive feedback and where appropriate</w:t>
      </w:r>
      <w:r w:rsidRPr="002663D2">
        <w:rPr>
          <w:u w:val="none"/>
        </w:rPr>
        <w:t xml:space="preserve"> an increase in pay </w:t>
      </w:r>
      <w:r w:rsidR="00104CCD" w:rsidRPr="002663D2">
        <w:rPr>
          <w:u w:val="none"/>
        </w:rPr>
        <w:t>so that all teachers can</w:t>
      </w:r>
      <w:r w:rsidRPr="002663D2">
        <w:rPr>
          <w:u w:val="none"/>
        </w:rPr>
        <w:t xml:space="preserve"> demonstrate the effectiveness of their overall performance.</w:t>
      </w:r>
      <w:r w:rsidR="00050EC9" w:rsidRPr="002663D2">
        <w:rPr>
          <w:u w:val="none"/>
        </w:rPr>
        <w:t xml:space="preserve"> </w:t>
      </w:r>
      <w:r w:rsidR="00185902" w:rsidRPr="002663D2">
        <w:rPr>
          <w:u w:val="none"/>
        </w:rPr>
        <w:t>The Pay Policy</w:t>
      </w:r>
      <w:r w:rsidR="00077373" w:rsidRPr="002663D2">
        <w:rPr>
          <w:u w:val="none"/>
        </w:rPr>
        <w:t xml:space="preserve"> 20</w:t>
      </w:r>
      <w:r w:rsidR="00BB4694" w:rsidRPr="002663D2">
        <w:rPr>
          <w:u w:val="none"/>
        </w:rPr>
        <w:t>25, Guidance and Toolkit Documents are</w:t>
      </w:r>
      <w:r w:rsidR="00185902" w:rsidRPr="002663D2">
        <w:rPr>
          <w:u w:val="none"/>
        </w:rPr>
        <w:t xml:space="preserve"> recommended for adoption for all Nottinghamshire schools </w:t>
      </w:r>
      <w:r w:rsidR="001F495A" w:rsidRPr="002663D2">
        <w:rPr>
          <w:u w:val="none"/>
        </w:rPr>
        <w:t>including</w:t>
      </w:r>
      <w:r w:rsidR="00185902" w:rsidRPr="002663D2">
        <w:rPr>
          <w:u w:val="none"/>
        </w:rPr>
        <w:t xml:space="preserve"> community, foundation, voluntary aided, voluntary controlled, academy and trust schools. </w:t>
      </w:r>
      <w:r w:rsidR="009E590E" w:rsidRPr="002663D2">
        <w:rPr>
          <w:u w:val="none"/>
        </w:rPr>
        <w:t>In</w:t>
      </w:r>
      <w:r w:rsidR="00185902" w:rsidRPr="002663D2">
        <w:rPr>
          <w:u w:val="none"/>
        </w:rPr>
        <w:t xml:space="preserve"> this document, the term ‘school’ should be taken to include academies and all other forms of governance arrangements. Where individual academies do not have governing bodies reference in this guidance to the governing body should be taken to mean the relevant body to which the power to adopt the pay policy and take pay decisions has been delegated.</w:t>
      </w:r>
    </w:p>
    <w:p w14:paraId="4162E0C9" w14:textId="77777777" w:rsidR="006D339C" w:rsidRPr="002663D2" w:rsidRDefault="006D339C" w:rsidP="00396DA7">
      <w:pPr>
        <w:spacing w:after="0"/>
        <w:jc w:val="both"/>
        <w:rPr>
          <w:u w:val="none"/>
        </w:rPr>
      </w:pPr>
    </w:p>
    <w:p w14:paraId="0956472E" w14:textId="517B7A23" w:rsidR="00185902" w:rsidRPr="002663D2" w:rsidRDefault="00185902" w:rsidP="00396DA7">
      <w:pPr>
        <w:spacing w:after="0"/>
        <w:jc w:val="both"/>
        <w:rPr>
          <w:u w:val="none"/>
        </w:rPr>
      </w:pPr>
      <w:r w:rsidRPr="002663D2">
        <w:rPr>
          <w:u w:val="none"/>
        </w:rPr>
        <w:t>Headteachers and governing bodies are strongly recommended to seek advice and support from the school nominated HR Business Partner in case of query or clarification on this guidance.</w:t>
      </w:r>
    </w:p>
    <w:p w14:paraId="4DF5601D" w14:textId="77777777" w:rsidR="00C35725" w:rsidRPr="002663D2" w:rsidRDefault="00C35725" w:rsidP="00396DA7">
      <w:pPr>
        <w:spacing w:after="0"/>
        <w:jc w:val="both"/>
        <w:rPr>
          <w:u w:val="none"/>
        </w:rPr>
      </w:pPr>
    </w:p>
    <w:p w14:paraId="59751F69" w14:textId="2DCA88E0" w:rsidR="00185902" w:rsidRPr="002663D2" w:rsidRDefault="00185902" w:rsidP="00396DA7">
      <w:pPr>
        <w:jc w:val="both"/>
        <w:rPr>
          <w:b/>
          <w:bCs/>
          <w:u w:val="none"/>
        </w:rPr>
      </w:pPr>
      <w:r w:rsidRPr="002663D2">
        <w:rPr>
          <w:b/>
          <w:bCs/>
          <w:u w:val="none"/>
        </w:rPr>
        <w:t>School Teachers’ Pay and Conditions Document 20</w:t>
      </w:r>
      <w:r w:rsidR="007B320F" w:rsidRPr="002663D2">
        <w:rPr>
          <w:b/>
          <w:bCs/>
          <w:u w:val="none"/>
        </w:rPr>
        <w:t>2</w:t>
      </w:r>
      <w:r w:rsidR="00077373" w:rsidRPr="002663D2">
        <w:rPr>
          <w:b/>
          <w:bCs/>
          <w:u w:val="none"/>
        </w:rPr>
        <w:t>4</w:t>
      </w:r>
    </w:p>
    <w:p w14:paraId="7D42E80A" w14:textId="7A8A49C6" w:rsidR="00185902" w:rsidRPr="002663D2" w:rsidRDefault="00185902" w:rsidP="00C340E0">
      <w:pPr>
        <w:spacing w:after="0" w:line="240" w:lineRule="auto"/>
        <w:jc w:val="both"/>
        <w:rPr>
          <w:u w:val="none"/>
        </w:rPr>
      </w:pPr>
      <w:r w:rsidRPr="002663D2">
        <w:rPr>
          <w:u w:val="none"/>
        </w:rPr>
        <w:t>The School Teachers’ Pay and Conditions Document (STPCD) 201</w:t>
      </w:r>
      <w:r w:rsidR="00C54D01" w:rsidRPr="002663D2">
        <w:rPr>
          <w:u w:val="none"/>
        </w:rPr>
        <w:t xml:space="preserve">5 consolidated substantial changes to </w:t>
      </w:r>
      <w:r w:rsidR="00617557" w:rsidRPr="002663D2">
        <w:rPr>
          <w:u w:val="none"/>
        </w:rPr>
        <w:t xml:space="preserve">the </w:t>
      </w:r>
      <w:r w:rsidR="00C54D01" w:rsidRPr="002663D2">
        <w:rPr>
          <w:u w:val="none"/>
        </w:rPr>
        <w:t>national pay structure for teachers and school leaders. The change</w:t>
      </w:r>
      <w:r w:rsidR="00997EF6" w:rsidRPr="002663D2">
        <w:rPr>
          <w:u w:val="none"/>
        </w:rPr>
        <w:t>s resultant from the STPCD 2016, 2017</w:t>
      </w:r>
      <w:r w:rsidR="00EA7AF2" w:rsidRPr="002663D2">
        <w:rPr>
          <w:u w:val="none"/>
        </w:rPr>
        <w:t xml:space="preserve">, </w:t>
      </w:r>
      <w:r w:rsidR="00997EF6" w:rsidRPr="002663D2">
        <w:rPr>
          <w:u w:val="none"/>
        </w:rPr>
        <w:t>2018</w:t>
      </w:r>
      <w:r w:rsidR="00F2592F" w:rsidRPr="002663D2">
        <w:rPr>
          <w:u w:val="none"/>
        </w:rPr>
        <w:t xml:space="preserve">, </w:t>
      </w:r>
      <w:r w:rsidR="00EA7AF2" w:rsidRPr="002663D2">
        <w:rPr>
          <w:u w:val="none"/>
        </w:rPr>
        <w:t>2019</w:t>
      </w:r>
      <w:r w:rsidR="00F2592F" w:rsidRPr="002663D2">
        <w:rPr>
          <w:u w:val="none"/>
        </w:rPr>
        <w:t xml:space="preserve"> </w:t>
      </w:r>
      <w:r w:rsidR="001F495A" w:rsidRPr="002663D2">
        <w:rPr>
          <w:u w:val="none"/>
        </w:rPr>
        <w:t>2020</w:t>
      </w:r>
      <w:r w:rsidR="00077373" w:rsidRPr="002663D2">
        <w:rPr>
          <w:u w:val="none"/>
        </w:rPr>
        <w:t xml:space="preserve">, 2021,2022 and </w:t>
      </w:r>
      <w:r w:rsidR="00F2592F" w:rsidRPr="002663D2">
        <w:rPr>
          <w:u w:val="none"/>
        </w:rPr>
        <w:t>202</w:t>
      </w:r>
      <w:r w:rsidR="00077373" w:rsidRPr="002663D2">
        <w:rPr>
          <w:u w:val="none"/>
        </w:rPr>
        <w:t>3</w:t>
      </w:r>
      <w:r w:rsidR="00997EF6" w:rsidRPr="002663D2">
        <w:rPr>
          <w:u w:val="none"/>
        </w:rPr>
        <w:t xml:space="preserve"> e</w:t>
      </w:r>
      <w:r w:rsidR="00C54D01" w:rsidRPr="002663D2">
        <w:rPr>
          <w:u w:val="none"/>
        </w:rPr>
        <w:t>ssentially relate to the application of the pay award</w:t>
      </w:r>
      <w:r w:rsidR="00A17404" w:rsidRPr="002663D2">
        <w:rPr>
          <w:u w:val="none"/>
        </w:rPr>
        <w:t xml:space="preserve"> </w:t>
      </w:r>
      <w:r w:rsidR="001F495A" w:rsidRPr="002663D2">
        <w:rPr>
          <w:u w:val="none"/>
        </w:rPr>
        <w:t xml:space="preserve">as set out in the </w:t>
      </w:r>
      <w:r w:rsidR="00023653" w:rsidRPr="002663D2">
        <w:rPr>
          <w:u w:val="none"/>
        </w:rPr>
        <w:t xml:space="preserve">Pay Policy </w:t>
      </w:r>
      <w:r w:rsidR="001F495A" w:rsidRPr="002663D2">
        <w:rPr>
          <w:u w:val="none"/>
        </w:rPr>
        <w:t>Toolkit Appendix 4.</w:t>
      </w:r>
      <w:r w:rsidR="00916A5B" w:rsidRPr="002663D2">
        <w:rPr>
          <w:u w:val="none"/>
        </w:rPr>
        <w:t xml:space="preserve"> The changes to the STPCD 2024 removed the requirement for the outcomes of appraisal to be linked to teachers pay progression and this principle is embedded into the school policy, guidance and toolkit. </w:t>
      </w:r>
      <w:hyperlink r:id="rId14" w:history="1"/>
      <w:r w:rsidRPr="002663D2">
        <w:rPr>
          <w:u w:val="none"/>
        </w:rPr>
        <w:t>Th</w:t>
      </w:r>
      <w:r w:rsidR="00050EC9" w:rsidRPr="002663D2">
        <w:rPr>
          <w:u w:val="none"/>
        </w:rPr>
        <w:t>e STPCD</w:t>
      </w:r>
      <w:r w:rsidR="00C54D01" w:rsidRPr="002663D2">
        <w:rPr>
          <w:u w:val="none"/>
        </w:rPr>
        <w:t xml:space="preserve"> </w:t>
      </w:r>
      <w:r w:rsidR="00916A5B" w:rsidRPr="002663D2">
        <w:rPr>
          <w:u w:val="none"/>
        </w:rPr>
        <w:t xml:space="preserve">and </w:t>
      </w:r>
      <w:r w:rsidR="00050EC9" w:rsidRPr="002663D2">
        <w:rPr>
          <w:u w:val="none"/>
        </w:rPr>
        <w:t>guidance in S</w:t>
      </w:r>
      <w:r w:rsidRPr="002663D2">
        <w:rPr>
          <w:u w:val="none"/>
        </w:rPr>
        <w:t xml:space="preserve">ection 3 </w:t>
      </w:r>
      <w:r w:rsidR="00916A5B" w:rsidRPr="002663D2">
        <w:rPr>
          <w:u w:val="none"/>
        </w:rPr>
        <w:t xml:space="preserve">is a document which the </w:t>
      </w:r>
      <w:r w:rsidRPr="002663D2">
        <w:rPr>
          <w:u w:val="none"/>
        </w:rPr>
        <w:t xml:space="preserve">governing body </w:t>
      </w:r>
      <w:r w:rsidR="002A0290" w:rsidRPr="002663D2">
        <w:rPr>
          <w:u w:val="none"/>
        </w:rPr>
        <w:t>should</w:t>
      </w:r>
      <w:r w:rsidRPr="002663D2">
        <w:rPr>
          <w:u w:val="none"/>
        </w:rPr>
        <w:t xml:space="preserve"> refer</w:t>
      </w:r>
      <w:r w:rsidR="00916A5B" w:rsidRPr="002663D2">
        <w:rPr>
          <w:u w:val="none"/>
        </w:rPr>
        <w:t xml:space="preserve">, to obtain </w:t>
      </w:r>
      <w:r w:rsidRPr="002663D2">
        <w:rPr>
          <w:u w:val="none"/>
        </w:rPr>
        <w:t xml:space="preserve">a complete picture of the statutory pay and conditions arrangements for teachers. Governing bodies must abide by the statutory requirements for teachers pay and conditions as set out in the STPCD. A court or employment tribunal may take any failure to do so into account in any proceedings. All governing bodies of local </w:t>
      </w:r>
      <w:r w:rsidR="00F94740" w:rsidRPr="002663D2">
        <w:rPr>
          <w:u w:val="none"/>
        </w:rPr>
        <w:t>authority-maintained</w:t>
      </w:r>
      <w:r w:rsidRPr="002663D2">
        <w:rPr>
          <w:u w:val="none"/>
        </w:rPr>
        <w:t xml:space="preserve"> schools are legally required to apply the </w:t>
      </w:r>
      <w:r w:rsidR="00916A5B" w:rsidRPr="002663D2">
        <w:rPr>
          <w:u w:val="none"/>
        </w:rPr>
        <w:t xml:space="preserve">statutory provisions and </w:t>
      </w:r>
      <w:r w:rsidRPr="002663D2">
        <w:rPr>
          <w:u w:val="none"/>
        </w:rPr>
        <w:t xml:space="preserve">any governing body not doing so </w:t>
      </w:r>
      <w:r w:rsidR="00050EC9" w:rsidRPr="002663D2">
        <w:rPr>
          <w:u w:val="none"/>
        </w:rPr>
        <w:t>must have</w:t>
      </w:r>
      <w:r w:rsidRPr="002663D2">
        <w:rPr>
          <w:u w:val="none"/>
        </w:rPr>
        <w:t xml:space="preserve"> good reason and</w:t>
      </w:r>
      <w:r w:rsidR="00050EC9" w:rsidRPr="002663D2">
        <w:rPr>
          <w:u w:val="none"/>
        </w:rPr>
        <w:t xml:space="preserve"> will</w:t>
      </w:r>
      <w:r w:rsidRPr="002663D2">
        <w:rPr>
          <w:u w:val="none"/>
        </w:rPr>
        <w:t xml:space="preserve"> be required to justify any departure from it. </w:t>
      </w:r>
      <w:r w:rsidR="00916A5B" w:rsidRPr="002663D2">
        <w:rPr>
          <w:u w:val="none"/>
        </w:rPr>
        <w:t xml:space="preserve">The local authority HR Service has issued separate guidance to schools in the updates on the </w:t>
      </w:r>
      <w:proofErr w:type="gramStart"/>
      <w:r w:rsidR="00916A5B" w:rsidRPr="002663D2">
        <w:rPr>
          <w:u w:val="none"/>
        </w:rPr>
        <w:t>Schools</w:t>
      </w:r>
      <w:proofErr w:type="gramEnd"/>
      <w:r w:rsidR="00916A5B" w:rsidRPr="002663D2">
        <w:rPr>
          <w:u w:val="none"/>
        </w:rPr>
        <w:t xml:space="preserve"> on how the 2025 changes may be implemented.</w:t>
      </w:r>
    </w:p>
    <w:p w14:paraId="0ACCD33A" w14:textId="77777777" w:rsidR="003B7756" w:rsidRPr="002663D2" w:rsidRDefault="003B7756" w:rsidP="00396DA7">
      <w:pPr>
        <w:spacing w:after="0"/>
        <w:jc w:val="both"/>
        <w:rPr>
          <w:u w:val="none"/>
        </w:rPr>
      </w:pPr>
    </w:p>
    <w:p w14:paraId="490B830D" w14:textId="710A6DA0" w:rsidR="007B320F" w:rsidRPr="002663D2" w:rsidRDefault="007B320F" w:rsidP="007B320F">
      <w:pPr>
        <w:rPr>
          <w:u w:val="none"/>
        </w:rPr>
      </w:pPr>
      <w:r w:rsidRPr="002663D2">
        <w:rPr>
          <w:u w:val="none"/>
        </w:rPr>
        <w:t xml:space="preserve">The Nottinghamshire County Council HR Service view based on feedback from our headteachers is that </w:t>
      </w:r>
      <w:r w:rsidR="00916A5B" w:rsidRPr="002663D2">
        <w:rPr>
          <w:u w:val="none"/>
        </w:rPr>
        <w:t xml:space="preserve">our </w:t>
      </w:r>
      <w:r w:rsidRPr="002663D2">
        <w:rPr>
          <w:u w:val="none"/>
        </w:rPr>
        <w:t xml:space="preserve">schools </w:t>
      </w:r>
      <w:r w:rsidR="00916A5B" w:rsidRPr="002663D2">
        <w:rPr>
          <w:u w:val="none"/>
        </w:rPr>
        <w:t xml:space="preserve">require a </w:t>
      </w:r>
      <w:r w:rsidRPr="002663D2">
        <w:rPr>
          <w:u w:val="none"/>
        </w:rPr>
        <w:t xml:space="preserve">consistent </w:t>
      </w:r>
      <w:r w:rsidR="00916A5B" w:rsidRPr="002663D2">
        <w:rPr>
          <w:u w:val="none"/>
        </w:rPr>
        <w:t xml:space="preserve">national pay spine. </w:t>
      </w:r>
      <w:r w:rsidR="00F94740" w:rsidRPr="002663D2">
        <w:rPr>
          <w:u w:val="none"/>
        </w:rPr>
        <w:t xml:space="preserve">This </w:t>
      </w:r>
      <w:r w:rsidRPr="002663D2">
        <w:rPr>
          <w:u w:val="none"/>
        </w:rPr>
        <w:t>polic</w:t>
      </w:r>
      <w:r w:rsidR="00F94740" w:rsidRPr="002663D2">
        <w:rPr>
          <w:u w:val="none"/>
        </w:rPr>
        <w:t>y</w:t>
      </w:r>
      <w:r w:rsidR="00916A5B" w:rsidRPr="002663D2">
        <w:rPr>
          <w:u w:val="none"/>
        </w:rPr>
        <w:t xml:space="preserve">, therefore, </w:t>
      </w:r>
      <w:r w:rsidRPr="002663D2">
        <w:rPr>
          <w:u w:val="none"/>
        </w:rPr>
        <w:t>set</w:t>
      </w:r>
      <w:r w:rsidR="00F94740" w:rsidRPr="002663D2">
        <w:rPr>
          <w:u w:val="none"/>
        </w:rPr>
        <w:t>s</w:t>
      </w:r>
      <w:r w:rsidRPr="002663D2">
        <w:rPr>
          <w:u w:val="none"/>
        </w:rPr>
        <w:t xml:space="preserve"> out the basis for determining the level of any pay progression for the school’s teachers, including the headteacher, from 1 September 202</w:t>
      </w:r>
      <w:r w:rsidR="00916A5B" w:rsidRPr="002663D2">
        <w:rPr>
          <w:u w:val="none"/>
        </w:rPr>
        <w:t>5</w:t>
      </w:r>
      <w:r w:rsidRPr="002663D2">
        <w:rPr>
          <w:u w:val="none"/>
        </w:rPr>
        <w:t xml:space="preserve">.  Appendix 4 of the Pay </w:t>
      </w:r>
      <w:r w:rsidR="002474AE" w:rsidRPr="002663D2">
        <w:rPr>
          <w:u w:val="none"/>
        </w:rPr>
        <w:t>P</w:t>
      </w:r>
      <w:r w:rsidRPr="002663D2">
        <w:rPr>
          <w:u w:val="none"/>
        </w:rPr>
        <w:t>olicy Toolkit contains, the STPCD “</w:t>
      </w:r>
      <w:r w:rsidRPr="002663D2">
        <w:rPr>
          <w:i/>
          <w:u w:val="none"/>
        </w:rPr>
        <w:t>advisory pay spine</w:t>
      </w:r>
      <w:r w:rsidRPr="002663D2">
        <w:rPr>
          <w:u w:val="none"/>
        </w:rPr>
        <w:t>” for the MPR</w:t>
      </w:r>
      <w:r w:rsidR="00F94740" w:rsidRPr="002663D2">
        <w:rPr>
          <w:u w:val="none"/>
        </w:rPr>
        <w:t xml:space="preserve">, </w:t>
      </w:r>
      <w:r w:rsidRPr="002663D2">
        <w:rPr>
          <w:u w:val="none"/>
        </w:rPr>
        <w:t xml:space="preserve">UPR </w:t>
      </w:r>
      <w:r w:rsidR="00F94740" w:rsidRPr="002663D2">
        <w:rPr>
          <w:u w:val="none"/>
        </w:rPr>
        <w:t xml:space="preserve">and UTR as recommended in current STPCD. </w:t>
      </w:r>
      <w:r w:rsidR="00F45954" w:rsidRPr="002663D2">
        <w:rPr>
          <w:u w:val="none"/>
        </w:rPr>
        <w:t xml:space="preserve">The </w:t>
      </w:r>
      <w:r w:rsidR="00F94740" w:rsidRPr="002663D2">
        <w:rPr>
          <w:u w:val="none"/>
        </w:rPr>
        <w:t xml:space="preserve">UTR </w:t>
      </w:r>
      <w:r w:rsidR="00F45954" w:rsidRPr="002663D2">
        <w:rPr>
          <w:u w:val="none"/>
        </w:rPr>
        <w:t xml:space="preserve">advisory pay range has been in place since </w:t>
      </w:r>
      <w:r w:rsidRPr="002663D2">
        <w:rPr>
          <w:u w:val="none"/>
        </w:rPr>
        <w:t>202</w:t>
      </w:r>
      <w:r w:rsidR="00BF06AB" w:rsidRPr="002663D2">
        <w:rPr>
          <w:u w:val="none"/>
        </w:rPr>
        <w:t>1</w:t>
      </w:r>
      <w:r w:rsidRPr="002663D2">
        <w:rPr>
          <w:u w:val="none"/>
        </w:rPr>
        <w:t xml:space="preserve">. </w:t>
      </w:r>
    </w:p>
    <w:p w14:paraId="59AF66EF" w14:textId="42275F85" w:rsidR="007B320F" w:rsidRPr="00705394" w:rsidRDefault="007B320F" w:rsidP="007B320F">
      <w:pPr>
        <w:rPr>
          <w:u w:val="none"/>
        </w:rPr>
      </w:pPr>
      <w:r w:rsidRPr="00705394">
        <w:rPr>
          <w:u w:val="none"/>
        </w:rPr>
        <w:lastRenderedPageBreak/>
        <w:t xml:space="preserve">With regards to the Leadership </w:t>
      </w:r>
      <w:r w:rsidR="002474AE" w:rsidRPr="00705394">
        <w:rPr>
          <w:u w:val="none"/>
        </w:rPr>
        <w:t>Pay Range p</w:t>
      </w:r>
      <w:r w:rsidRPr="00705394">
        <w:rPr>
          <w:u w:val="none"/>
        </w:rPr>
        <w:t>oints 18*, 21*, 24*, 27*, 31*, 35*, 39* and 43 are the salary figures for headteachers at, or moving to, the top of the school group ranges only. These different figures are a legacy of the 2015 STPCD which provided for no uplift to the maxima of the eight headteacher group ranges.</w:t>
      </w:r>
    </w:p>
    <w:p w14:paraId="007CC68B" w14:textId="380B3FF2" w:rsidR="00C35725" w:rsidRPr="002663D2" w:rsidRDefault="00185902" w:rsidP="00396DA7">
      <w:pPr>
        <w:spacing w:after="0"/>
        <w:jc w:val="both"/>
        <w:rPr>
          <w:u w:val="none"/>
        </w:rPr>
      </w:pPr>
      <w:r w:rsidRPr="00705394">
        <w:rPr>
          <w:u w:val="none"/>
        </w:rPr>
        <w:t xml:space="preserve">This </w:t>
      </w:r>
      <w:r w:rsidR="00617557" w:rsidRPr="00705394">
        <w:rPr>
          <w:u w:val="none"/>
        </w:rPr>
        <w:t>guidance</w:t>
      </w:r>
      <w:r w:rsidRPr="00705394">
        <w:rPr>
          <w:u w:val="none"/>
        </w:rPr>
        <w:t xml:space="preserve"> </w:t>
      </w:r>
      <w:r w:rsidR="00C340E0" w:rsidRPr="00705394">
        <w:rPr>
          <w:u w:val="none"/>
        </w:rPr>
        <w:t xml:space="preserve">has historically been </w:t>
      </w:r>
      <w:r w:rsidR="00C54D01" w:rsidRPr="00705394">
        <w:rPr>
          <w:u w:val="none"/>
        </w:rPr>
        <w:t xml:space="preserve">produced </w:t>
      </w:r>
      <w:r w:rsidRPr="00705394">
        <w:rPr>
          <w:u w:val="none"/>
        </w:rPr>
        <w:t>in</w:t>
      </w:r>
      <w:r w:rsidR="00C54D01" w:rsidRPr="00705394">
        <w:rPr>
          <w:u w:val="none"/>
        </w:rPr>
        <w:t xml:space="preserve"> </w:t>
      </w:r>
      <w:r w:rsidRPr="00705394">
        <w:rPr>
          <w:u w:val="none"/>
        </w:rPr>
        <w:t xml:space="preserve">collaboration with headteachers and senior leaders in Nottinghamshire schools and </w:t>
      </w:r>
      <w:r w:rsidR="00C54D01" w:rsidRPr="00705394">
        <w:rPr>
          <w:u w:val="none"/>
        </w:rPr>
        <w:t>has been updated annually each year since 2014.</w:t>
      </w:r>
      <w:r w:rsidR="00997EF6" w:rsidRPr="00705394">
        <w:rPr>
          <w:u w:val="none"/>
        </w:rPr>
        <w:t xml:space="preserve"> </w:t>
      </w:r>
      <w:r w:rsidR="00C54D01" w:rsidRPr="00705394">
        <w:rPr>
          <w:u w:val="none"/>
        </w:rPr>
        <w:t xml:space="preserve"> </w:t>
      </w:r>
      <w:r w:rsidR="00A069E3" w:rsidRPr="00705394">
        <w:rPr>
          <w:u w:val="none"/>
        </w:rPr>
        <w:t xml:space="preserve">The guidance </w:t>
      </w:r>
      <w:r w:rsidRPr="00705394">
        <w:rPr>
          <w:u w:val="none"/>
        </w:rPr>
        <w:t xml:space="preserve">should be read in conjunction with the </w:t>
      </w:r>
      <w:r w:rsidR="00F94740" w:rsidRPr="00705394">
        <w:rPr>
          <w:u w:val="none"/>
        </w:rPr>
        <w:t xml:space="preserve">current version of the </w:t>
      </w:r>
      <w:r w:rsidRPr="00705394">
        <w:rPr>
          <w:u w:val="none"/>
        </w:rPr>
        <w:t>Nottinghamshire School Pay Policy</w:t>
      </w:r>
      <w:r w:rsidR="00104CCD" w:rsidRPr="00705394">
        <w:rPr>
          <w:u w:val="none"/>
        </w:rPr>
        <w:t xml:space="preserve"> </w:t>
      </w:r>
      <w:r w:rsidR="00617557" w:rsidRPr="00705394">
        <w:rPr>
          <w:u w:val="none"/>
        </w:rPr>
        <w:t xml:space="preserve">and the accompanying </w:t>
      </w:r>
      <w:r w:rsidR="00F45954" w:rsidRPr="00705394">
        <w:rPr>
          <w:u w:val="none"/>
        </w:rPr>
        <w:t xml:space="preserve">Pay Policy </w:t>
      </w:r>
      <w:r w:rsidR="00617557" w:rsidRPr="00705394">
        <w:rPr>
          <w:u w:val="none"/>
        </w:rPr>
        <w:t>Toolkit</w:t>
      </w:r>
      <w:r w:rsidRPr="00705394">
        <w:rPr>
          <w:u w:val="none"/>
        </w:rPr>
        <w:t>. The Nottinghamshire recognised trade unions have been consulted on the policy</w:t>
      </w:r>
      <w:r w:rsidR="00617557" w:rsidRPr="00705394">
        <w:rPr>
          <w:u w:val="none"/>
        </w:rPr>
        <w:t>, toolkit</w:t>
      </w:r>
      <w:r w:rsidRPr="00705394">
        <w:rPr>
          <w:u w:val="none"/>
        </w:rPr>
        <w:t xml:space="preserve"> and the guidance </w:t>
      </w:r>
      <w:r w:rsidR="00670E81" w:rsidRPr="00705394">
        <w:rPr>
          <w:u w:val="none"/>
        </w:rPr>
        <w:t xml:space="preserve">as set out in the documents and </w:t>
      </w:r>
      <w:r w:rsidR="00F45954" w:rsidRPr="00705394">
        <w:rPr>
          <w:u w:val="none"/>
        </w:rPr>
        <w:t xml:space="preserve">the </w:t>
      </w:r>
      <w:r w:rsidR="00670E81" w:rsidRPr="00705394">
        <w:rPr>
          <w:u w:val="none"/>
        </w:rPr>
        <w:t xml:space="preserve">changes have been incorporated. </w:t>
      </w:r>
      <w:r w:rsidR="00050EC9" w:rsidRPr="00705394">
        <w:rPr>
          <w:u w:val="none"/>
        </w:rPr>
        <w:t xml:space="preserve"> </w:t>
      </w:r>
      <w:r w:rsidRPr="00705394">
        <w:rPr>
          <w:u w:val="none"/>
        </w:rPr>
        <w:t xml:space="preserve">It should also be considered in line with the application of the </w:t>
      </w:r>
      <w:r w:rsidRPr="002663D2">
        <w:rPr>
          <w:u w:val="none"/>
        </w:rPr>
        <w:t>statutory appraisal process, the School Appraisal Policy and Guidance</w:t>
      </w:r>
      <w:r w:rsidR="00997EF6" w:rsidRPr="002663D2">
        <w:rPr>
          <w:u w:val="none"/>
        </w:rPr>
        <w:t xml:space="preserve"> </w:t>
      </w:r>
      <w:r w:rsidR="00D23A46" w:rsidRPr="002663D2">
        <w:rPr>
          <w:u w:val="none"/>
        </w:rPr>
        <w:t xml:space="preserve">documents </w:t>
      </w:r>
      <w:r w:rsidR="00997EF6" w:rsidRPr="002663D2">
        <w:rPr>
          <w:u w:val="none"/>
        </w:rPr>
        <w:t>20</w:t>
      </w:r>
      <w:r w:rsidR="00F2592F" w:rsidRPr="002663D2">
        <w:rPr>
          <w:u w:val="none"/>
        </w:rPr>
        <w:t>2</w:t>
      </w:r>
      <w:r w:rsidR="00E470F2" w:rsidRPr="002663D2">
        <w:rPr>
          <w:u w:val="none"/>
        </w:rPr>
        <w:t>5</w:t>
      </w:r>
      <w:r w:rsidR="00104CCD" w:rsidRPr="002663D2">
        <w:rPr>
          <w:u w:val="none"/>
        </w:rPr>
        <w:t xml:space="preserve">. </w:t>
      </w:r>
    </w:p>
    <w:p w14:paraId="4DD962DD" w14:textId="77777777" w:rsidR="00997EF6" w:rsidRPr="002663D2" w:rsidRDefault="00997EF6" w:rsidP="00396DA7">
      <w:pPr>
        <w:spacing w:after="0"/>
        <w:jc w:val="both"/>
        <w:rPr>
          <w:u w:val="none"/>
        </w:rPr>
      </w:pPr>
    </w:p>
    <w:p w14:paraId="6085F9F8" w14:textId="46C4FFE6" w:rsidR="00A069E3" w:rsidRPr="002663D2" w:rsidRDefault="00A069E3" w:rsidP="00C17EDC">
      <w:pPr>
        <w:spacing w:after="0"/>
        <w:ind w:right="-1"/>
        <w:jc w:val="both"/>
        <w:rPr>
          <w:strike/>
          <w:u w:val="none"/>
          <w:lang w:val="en-US"/>
        </w:rPr>
      </w:pPr>
      <w:r w:rsidRPr="002663D2">
        <w:rPr>
          <w:u w:val="none"/>
          <w:lang w:val="en-US"/>
        </w:rPr>
        <w:t xml:space="preserve">Whilst the statutory increases </w:t>
      </w:r>
      <w:r w:rsidR="00A73791" w:rsidRPr="002663D2">
        <w:rPr>
          <w:u w:val="none"/>
          <w:lang w:val="en-US"/>
        </w:rPr>
        <w:t xml:space="preserve">to the minimum and the maximum of the pay ranges </w:t>
      </w:r>
      <w:r w:rsidR="00BE2107" w:rsidRPr="002663D2">
        <w:rPr>
          <w:u w:val="none"/>
          <w:lang w:val="en-US"/>
        </w:rPr>
        <w:t xml:space="preserve">and all allowances </w:t>
      </w:r>
      <w:r w:rsidRPr="002663D2">
        <w:rPr>
          <w:u w:val="none"/>
          <w:lang w:val="en-US"/>
        </w:rPr>
        <w:t xml:space="preserve">must be applied, any uplift to salary points in between the minimum and maximum of the pay and allowance ranges </w:t>
      </w:r>
      <w:r w:rsidR="00104CCD" w:rsidRPr="002663D2">
        <w:rPr>
          <w:u w:val="none"/>
          <w:lang w:val="en-US"/>
        </w:rPr>
        <w:t xml:space="preserve">is </w:t>
      </w:r>
      <w:r w:rsidR="00F2592F" w:rsidRPr="002663D2">
        <w:rPr>
          <w:u w:val="none"/>
          <w:lang w:val="en-US"/>
        </w:rPr>
        <w:t>discretionary</w:t>
      </w:r>
      <w:bookmarkStart w:id="0" w:name="_Hlk51148765"/>
      <w:r w:rsidR="00C17EDC" w:rsidRPr="002663D2">
        <w:rPr>
          <w:u w:val="none"/>
          <w:lang w:val="en-US"/>
        </w:rPr>
        <w:t xml:space="preserve">. </w:t>
      </w:r>
      <w:r w:rsidR="00F45954" w:rsidRPr="002663D2">
        <w:rPr>
          <w:u w:val="none"/>
          <w:lang w:val="en-US"/>
        </w:rPr>
        <w:t>However, this policy supports the statement by the School Teachers Review Body (</w:t>
      </w:r>
      <w:r w:rsidR="00C17EDC" w:rsidRPr="002663D2">
        <w:rPr>
          <w:u w:val="none"/>
        </w:rPr>
        <w:t>STRB</w:t>
      </w:r>
      <w:r w:rsidR="00F45954" w:rsidRPr="002663D2">
        <w:rPr>
          <w:u w:val="none"/>
        </w:rPr>
        <w:t>) “</w:t>
      </w:r>
      <w:r w:rsidR="00C17EDC" w:rsidRPr="002663D2">
        <w:rPr>
          <w:u w:val="none"/>
        </w:rPr>
        <w:t>that subject to good performance teachers should be able to progress to the maximum of the MPR within 6 years.</w:t>
      </w:r>
      <w:r w:rsidR="00F45954" w:rsidRPr="002663D2">
        <w:rPr>
          <w:u w:val="none"/>
        </w:rPr>
        <w:t>”</w:t>
      </w:r>
    </w:p>
    <w:bookmarkEnd w:id="0"/>
    <w:p w14:paraId="0ED3902A" w14:textId="77777777" w:rsidR="00A069E3" w:rsidRPr="002663D2" w:rsidRDefault="00A069E3" w:rsidP="00396DA7">
      <w:pPr>
        <w:widowControl w:val="0"/>
        <w:autoSpaceDE w:val="0"/>
        <w:autoSpaceDN w:val="0"/>
        <w:spacing w:after="0"/>
        <w:ind w:right="-1"/>
        <w:jc w:val="both"/>
        <w:rPr>
          <w:u w:val="none"/>
          <w:lang w:val="en-US"/>
        </w:rPr>
      </w:pPr>
    </w:p>
    <w:p w14:paraId="654E5267" w14:textId="5E9D981D" w:rsidR="00A069E3" w:rsidRPr="002663D2" w:rsidRDefault="00F94740" w:rsidP="00396DA7">
      <w:pPr>
        <w:widowControl w:val="0"/>
        <w:autoSpaceDE w:val="0"/>
        <w:autoSpaceDN w:val="0"/>
        <w:spacing w:after="0"/>
        <w:ind w:right="-1"/>
        <w:jc w:val="both"/>
        <w:rPr>
          <w:u w:val="none"/>
          <w:lang w:val="en-US"/>
        </w:rPr>
      </w:pPr>
      <w:r w:rsidRPr="002663D2">
        <w:rPr>
          <w:u w:val="none"/>
          <w:lang w:val="en-US"/>
        </w:rPr>
        <w:t>For the school year commencing 202</w:t>
      </w:r>
      <w:r w:rsidR="00E470F2" w:rsidRPr="002663D2">
        <w:rPr>
          <w:u w:val="none"/>
          <w:lang w:val="en-US"/>
        </w:rPr>
        <w:t>5-26</w:t>
      </w:r>
      <w:r w:rsidRPr="002663D2">
        <w:rPr>
          <w:u w:val="none"/>
          <w:lang w:val="en-US"/>
        </w:rPr>
        <w:t xml:space="preserve">, the Secretary of State </w:t>
      </w:r>
      <w:r w:rsidR="00AB634E" w:rsidRPr="002663D2">
        <w:rPr>
          <w:u w:val="none"/>
          <w:lang w:val="en-US"/>
        </w:rPr>
        <w:t xml:space="preserve">has </w:t>
      </w:r>
      <w:r w:rsidRPr="002663D2">
        <w:rPr>
          <w:u w:val="none"/>
          <w:lang w:val="en-US"/>
        </w:rPr>
        <w:t>recommend</w:t>
      </w:r>
      <w:r w:rsidR="00AB634E" w:rsidRPr="002663D2">
        <w:rPr>
          <w:u w:val="none"/>
          <w:lang w:val="en-US"/>
        </w:rPr>
        <w:t>ed</w:t>
      </w:r>
      <w:r w:rsidRPr="002663D2">
        <w:rPr>
          <w:u w:val="none"/>
          <w:lang w:val="en-US"/>
        </w:rPr>
        <w:t xml:space="preserve"> an increase </w:t>
      </w:r>
      <w:r w:rsidR="00705394" w:rsidRPr="002663D2">
        <w:rPr>
          <w:u w:val="none"/>
          <w:lang w:val="en-US"/>
        </w:rPr>
        <w:t>in</w:t>
      </w:r>
      <w:r w:rsidRPr="002663D2">
        <w:rPr>
          <w:u w:val="none"/>
          <w:lang w:val="en-US"/>
        </w:rPr>
        <w:t xml:space="preserve"> teachers </w:t>
      </w:r>
      <w:r w:rsidR="006D1775" w:rsidRPr="002663D2">
        <w:rPr>
          <w:u w:val="none"/>
          <w:lang w:val="en-US"/>
        </w:rPr>
        <w:t>and leaders</w:t>
      </w:r>
      <w:r w:rsidR="00E470F2" w:rsidRPr="002663D2">
        <w:rPr>
          <w:u w:val="none"/>
          <w:lang w:val="en-US"/>
        </w:rPr>
        <w:t xml:space="preserve"> pay</w:t>
      </w:r>
      <w:r w:rsidR="006D1775" w:rsidRPr="002663D2">
        <w:rPr>
          <w:u w:val="none"/>
          <w:lang w:val="en-US"/>
        </w:rPr>
        <w:t xml:space="preserve"> in accordance with </w:t>
      </w:r>
      <w:r w:rsidR="00F45954" w:rsidRPr="002663D2">
        <w:rPr>
          <w:u w:val="none"/>
          <w:lang w:val="en-US"/>
        </w:rPr>
        <w:t xml:space="preserve">spinal column points set out in </w:t>
      </w:r>
      <w:r w:rsidR="006D1775" w:rsidRPr="002663D2">
        <w:rPr>
          <w:u w:val="none"/>
          <w:lang w:val="en-US"/>
        </w:rPr>
        <w:t xml:space="preserve">appendix 4 of the Toolkit. </w:t>
      </w:r>
      <w:r w:rsidR="00104CCD" w:rsidRPr="002663D2">
        <w:rPr>
          <w:u w:val="none"/>
          <w:lang w:val="en-US"/>
        </w:rPr>
        <w:t>The above statement</w:t>
      </w:r>
      <w:r w:rsidR="00A069E3" w:rsidRPr="002663D2">
        <w:rPr>
          <w:u w:val="none"/>
          <w:lang w:val="en-US"/>
        </w:rPr>
        <w:t xml:space="preserve"> therefore reflects the guidance contained within Section 3 of both the 2015</w:t>
      </w:r>
      <w:r w:rsidR="00104CCD" w:rsidRPr="002663D2">
        <w:rPr>
          <w:u w:val="none"/>
          <w:lang w:val="en-US"/>
        </w:rPr>
        <w:t>,</w:t>
      </w:r>
      <w:r w:rsidR="00A069E3" w:rsidRPr="002663D2">
        <w:rPr>
          <w:u w:val="none"/>
          <w:lang w:val="en-US"/>
        </w:rPr>
        <w:t>2016</w:t>
      </w:r>
      <w:r w:rsidR="00997EF6" w:rsidRPr="002663D2">
        <w:rPr>
          <w:u w:val="none"/>
          <w:lang w:val="en-US"/>
        </w:rPr>
        <w:t>,</w:t>
      </w:r>
      <w:r w:rsidR="00104CCD" w:rsidRPr="002663D2">
        <w:rPr>
          <w:u w:val="none"/>
          <w:lang w:val="en-US"/>
        </w:rPr>
        <w:t xml:space="preserve"> 2017</w:t>
      </w:r>
      <w:r w:rsidR="00BE2107" w:rsidRPr="002663D2">
        <w:rPr>
          <w:u w:val="none"/>
          <w:lang w:val="en-US"/>
        </w:rPr>
        <w:t>,</w:t>
      </w:r>
      <w:r w:rsidR="00997EF6" w:rsidRPr="002663D2">
        <w:rPr>
          <w:u w:val="none"/>
          <w:lang w:val="en-US"/>
        </w:rPr>
        <w:t>2018</w:t>
      </w:r>
      <w:r w:rsidR="00AD068E" w:rsidRPr="002663D2">
        <w:rPr>
          <w:u w:val="none"/>
          <w:lang w:val="en-US"/>
        </w:rPr>
        <w:t>,</w:t>
      </w:r>
      <w:r w:rsidR="00BE2107" w:rsidRPr="002663D2">
        <w:rPr>
          <w:u w:val="none"/>
          <w:lang w:val="en-US"/>
        </w:rPr>
        <w:t xml:space="preserve"> 2019</w:t>
      </w:r>
      <w:r w:rsidR="00AB634E" w:rsidRPr="002663D2">
        <w:rPr>
          <w:u w:val="none"/>
          <w:lang w:val="en-US"/>
        </w:rPr>
        <w:t>,</w:t>
      </w:r>
      <w:r w:rsidR="00AD068E" w:rsidRPr="002663D2">
        <w:rPr>
          <w:u w:val="none"/>
          <w:lang w:val="en-US"/>
        </w:rPr>
        <w:t xml:space="preserve"> 2020</w:t>
      </w:r>
      <w:r w:rsidR="00A069E3" w:rsidRPr="002663D2">
        <w:rPr>
          <w:u w:val="none"/>
          <w:lang w:val="en-US"/>
        </w:rPr>
        <w:t xml:space="preserve"> </w:t>
      </w:r>
      <w:r w:rsidR="006D1775" w:rsidRPr="002663D2">
        <w:rPr>
          <w:u w:val="none"/>
          <w:lang w:val="en-US"/>
        </w:rPr>
        <w:t>2021</w:t>
      </w:r>
      <w:r w:rsidR="00917A9F" w:rsidRPr="002663D2">
        <w:rPr>
          <w:u w:val="none"/>
          <w:lang w:val="en-US"/>
        </w:rPr>
        <w:t>, 2022</w:t>
      </w:r>
      <w:r w:rsidR="00BF06AB" w:rsidRPr="002663D2">
        <w:rPr>
          <w:u w:val="none"/>
          <w:lang w:val="en-US"/>
        </w:rPr>
        <w:t>, 2023</w:t>
      </w:r>
      <w:r w:rsidR="00E470F2" w:rsidRPr="002663D2">
        <w:rPr>
          <w:u w:val="none"/>
          <w:lang w:val="en-US"/>
        </w:rPr>
        <w:t xml:space="preserve">, 2024 and 2025 </w:t>
      </w:r>
      <w:r w:rsidR="00A069E3" w:rsidRPr="002663D2">
        <w:rPr>
          <w:u w:val="none"/>
          <w:lang w:val="en-US"/>
        </w:rPr>
        <w:t>STPCD</w:t>
      </w:r>
      <w:r w:rsidR="00997EF6" w:rsidRPr="002663D2">
        <w:rPr>
          <w:u w:val="none"/>
          <w:lang w:val="en-US"/>
        </w:rPr>
        <w:t>,</w:t>
      </w:r>
      <w:r w:rsidR="00A069E3" w:rsidRPr="002663D2">
        <w:rPr>
          <w:u w:val="none"/>
          <w:lang w:val="en-US"/>
        </w:rPr>
        <w:t xml:space="preserve"> which does not form part of the statutory requirement in making pay progression decisions.</w:t>
      </w:r>
      <w:r w:rsidR="00104CCD" w:rsidRPr="002663D2">
        <w:rPr>
          <w:u w:val="none"/>
          <w:lang w:val="en-US"/>
        </w:rPr>
        <w:t xml:space="preserve"> </w:t>
      </w:r>
      <w:r w:rsidR="00A069E3" w:rsidRPr="002663D2">
        <w:rPr>
          <w:u w:val="none"/>
          <w:lang w:val="en-US"/>
        </w:rPr>
        <w:t xml:space="preserve">Where headteachers or the chair of governors (for headteachers’ pay progression) require specific advice about the pay progression decisions, particularly where teachers have been subject to a formal cycle of additional </w:t>
      </w:r>
      <w:r w:rsidR="00F45954" w:rsidRPr="002663D2">
        <w:rPr>
          <w:u w:val="none"/>
          <w:lang w:val="en-US"/>
        </w:rPr>
        <w:t xml:space="preserve">focused </w:t>
      </w:r>
      <w:r w:rsidR="00A069E3" w:rsidRPr="002663D2">
        <w:rPr>
          <w:u w:val="none"/>
          <w:lang w:val="en-US"/>
        </w:rPr>
        <w:t xml:space="preserve">support </w:t>
      </w:r>
      <w:r w:rsidR="00F45954" w:rsidRPr="002663D2">
        <w:rPr>
          <w:u w:val="none"/>
          <w:lang w:val="en-US"/>
        </w:rPr>
        <w:t xml:space="preserve">within appraisal </w:t>
      </w:r>
      <w:r w:rsidR="00A069E3" w:rsidRPr="002663D2">
        <w:rPr>
          <w:u w:val="none"/>
          <w:lang w:val="en-US"/>
        </w:rPr>
        <w:t>or subject to the schools’ capability procedures (see Para</w:t>
      </w:r>
      <w:r w:rsidR="00997EF6" w:rsidRPr="002663D2">
        <w:rPr>
          <w:u w:val="none"/>
          <w:lang w:val="en-US"/>
        </w:rPr>
        <w:t>graph</w:t>
      </w:r>
      <w:r w:rsidR="00E470F2" w:rsidRPr="002663D2">
        <w:rPr>
          <w:u w:val="none"/>
          <w:lang w:val="en-US"/>
        </w:rPr>
        <w:t xml:space="preserve">2 1.4 and </w:t>
      </w:r>
      <w:r w:rsidR="00997EF6" w:rsidRPr="002663D2">
        <w:rPr>
          <w:u w:val="none"/>
          <w:lang w:val="en-US"/>
        </w:rPr>
        <w:t>9.</w:t>
      </w:r>
      <w:r w:rsidR="00E470F2" w:rsidRPr="002663D2">
        <w:rPr>
          <w:u w:val="none"/>
          <w:lang w:val="en-US"/>
        </w:rPr>
        <w:t>2</w:t>
      </w:r>
      <w:r w:rsidR="00997EF6" w:rsidRPr="002663D2">
        <w:rPr>
          <w:u w:val="none"/>
          <w:lang w:val="en-US"/>
        </w:rPr>
        <w:t xml:space="preserve"> Pay Policy</w:t>
      </w:r>
      <w:r w:rsidR="00A069E3" w:rsidRPr="002663D2">
        <w:rPr>
          <w:u w:val="none"/>
          <w:lang w:val="en-US"/>
        </w:rPr>
        <w:t xml:space="preserve">) please contact your named </w:t>
      </w:r>
      <w:hyperlink r:id="rId15" w:history="1">
        <w:r w:rsidR="00A069E3" w:rsidRPr="002663D2">
          <w:rPr>
            <w:lang w:val="en-US"/>
          </w:rPr>
          <w:t>HR Business Partner</w:t>
        </w:r>
      </w:hyperlink>
      <w:r w:rsidR="00A069E3" w:rsidRPr="002663D2">
        <w:rPr>
          <w:lang w:val="en-US"/>
        </w:rPr>
        <w:t>.</w:t>
      </w:r>
    </w:p>
    <w:p w14:paraId="54C6FF35" w14:textId="77777777" w:rsidR="00C35725" w:rsidRPr="00705394" w:rsidRDefault="00C35725" w:rsidP="00302205">
      <w:pPr>
        <w:spacing w:after="0"/>
        <w:jc w:val="both"/>
        <w:rPr>
          <w:u w:val="none"/>
        </w:rPr>
      </w:pPr>
    </w:p>
    <w:p w14:paraId="63E333D3" w14:textId="77777777" w:rsidR="00F45954" w:rsidRPr="00705394" w:rsidRDefault="00F45954" w:rsidP="00BF06AB">
      <w:pPr>
        <w:pStyle w:val="BodyTextIndent3"/>
        <w:jc w:val="both"/>
      </w:pPr>
      <w:r w:rsidRPr="00705394">
        <w:t xml:space="preserve">Up until September 2024, the arrangements for </w:t>
      </w:r>
      <w:r w:rsidR="00185902" w:rsidRPr="00705394">
        <w:t>pay progression for teachers paid on the</w:t>
      </w:r>
    </w:p>
    <w:p w14:paraId="5A8C6AEE" w14:textId="77777777" w:rsidR="00F45954" w:rsidRPr="00705394" w:rsidRDefault="00185902" w:rsidP="00BF06AB">
      <w:pPr>
        <w:pStyle w:val="BodyTextIndent3"/>
        <w:jc w:val="both"/>
      </w:pPr>
      <w:r w:rsidRPr="00705394">
        <w:t>MPR,</w:t>
      </w:r>
      <w:r w:rsidR="0075269E" w:rsidRPr="00705394">
        <w:t xml:space="preserve"> </w:t>
      </w:r>
      <w:r w:rsidRPr="00705394">
        <w:t>UPR and UTR t</w:t>
      </w:r>
      <w:r w:rsidR="00361624" w:rsidRPr="00705394">
        <w:t>ook</w:t>
      </w:r>
      <w:r w:rsidR="00F45954" w:rsidRPr="00705394">
        <w:t xml:space="preserve"> </w:t>
      </w:r>
      <w:r w:rsidRPr="00705394">
        <w:t>effect in September 2014 when pay progression</w:t>
      </w:r>
      <w:r w:rsidR="00302205" w:rsidRPr="00705394">
        <w:t>,</w:t>
      </w:r>
      <w:r w:rsidRPr="00705394">
        <w:t xml:space="preserve"> differentiated</w:t>
      </w:r>
    </w:p>
    <w:p w14:paraId="776C2682" w14:textId="77777777" w:rsidR="00F45954" w:rsidRPr="00705394" w:rsidRDefault="00185902" w:rsidP="00BF06AB">
      <w:pPr>
        <w:pStyle w:val="BodyTextIndent3"/>
        <w:jc w:val="both"/>
      </w:pPr>
      <w:r w:rsidRPr="00705394">
        <w:t>and attributable to an</w:t>
      </w:r>
      <w:r w:rsidR="00F45954" w:rsidRPr="00705394">
        <w:t xml:space="preserve"> </w:t>
      </w:r>
      <w:r w:rsidRPr="00705394">
        <w:t>individual teacher’s performance</w:t>
      </w:r>
      <w:r w:rsidR="00361624" w:rsidRPr="00705394">
        <w:t xml:space="preserve"> became law</w:t>
      </w:r>
      <w:r w:rsidRPr="00705394">
        <w:t xml:space="preserve">. </w:t>
      </w:r>
      <w:r w:rsidR="00302205" w:rsidRPr="00705394">
        <w:t xml:space="preserve"> </w:t>
      </w:r>
      <w:r w:rsidR="00361624" w:rsidRPr="00705394">
        <w:t>R</w:t>
      </w:r>
      <w:r w:rsidRPr="00705394">
        <w:t>evised leadership</w:t>
      </w:r>
    </w:p>
    <w:p w14:paraId="4579491E" w14:textId="77777777" w:rsidR="00F45954" w:rsidRPr="00705394" w:rsidRDefault="00185902" w:rsidP="00BF06AB">
      <w:pPr>
        <w:pStyle w:val="BodyTextIndent3"/>
        <w:jc w:val="both"/>
      </w:pPr>
      <w:r w:rsidRPr="00705394">
        <w:t>arrangements t</w:t>
      </w:r>
      <w:r w:rsidR="00361624" w:rsidRPr="00705394">
        <w:t>ook</w:t>
      </w:r>
      <w:r w:rsidR="00F45954" w:rsidRPr="00705394">
        <w:t xml:space="preserve"> </w:t>
      </w:r>
      <w:r w:rsidRPr="00705394">
        <w:t xml:space="preserve">effect for all appointments </w:t>
      </w:r>
      <w:r w:rsidR="00361624" w:rsidRPr="00705394">
        <w:t xml:space="preserve">on the same date and these </w:t>
      </w:r>
      <w:r w:rsidR="00BF06AB" w:rsidRPr="00705394">
        <w:t>have previously</w:t>
      </w:r>
    </w:p>
    <w:p w14:paraId="0B56B096" w14:textId="1C5EB1C5" w:rsidR="006A617A" w:rsidRPr="00705394" w:rsidRDefault="00BF06AB" w:rsidP="00F45954">
      <w:pPr>
        <w:pStyle w:val="BodyTextIndent3"/>
        <w:jc w:val="both"/>
      </w:pPr>
      <w:r w:rsidRPr="00705394">
        <w:t xml:space="preserve">been </w:t>
      </w:r>
      <w:r w:rsidR="00C17EDC" w:rsidRPr="00705394">
        <w:t>incorporated</w:t>
      </w:r>
      <w:r w:rsidR="00F45954" w:rsidRPr="00705394">
        <w:t xml:space="preserve"> </w:t>
      </w:r>
      <w:r w:rsidR="00361624" w:rsidRPr="00705394">
        <w:t>into the policy and appendices</w:t>
      </w:r>
      <w:r w:rsidR="00185902" w:rsidRPr="00705394">
        <w:t>.</w:t>
      </w:r>
    </w:p>
    <w:p w14:paraId="0FDAD9E7" w14:textId="77777777" w:rsidR="006A617A" w:rsidRPr="00705394" w:rsidRDefault="006A617A" w:rsidP="006A617A">
      <w:pPr>
        <w:pStyle w:val="BodyTextIndent3"/>
        <w:ind w:left="0" w:firstLine="0"/>
        <w:jc w:val="both"/>
      </w:pPr>
    </w:p>
    <w:p w14:paraId="24477CC2" w14:textId="07FE0BAB" w:rsidR="006A617A" w:rsidRPr="00705394" w:rsidRDefault="006A617A" w:rsidP="006A617A">
      <w:pPr>
        <w:pStyle w:val="BodyTextIndent3"/>
        <w:ind w:left="0" w:firstLine="0"/>
        <w:jc w:val="both"/>
      </w:pPr>
      <w:r w:rsidRPr="00705394">
        <w:t>T</w:t>
      </w:r>
      <w:r w:rsidR="00BF06AB" w:rsidRPr="00705394">
        <w:t xml:space="preserve">he pay policy introduction paragraph 1.4 sets out the changes to the STPCD </w:t>
      </w:r>
      <w:r w:rsidR="009176AD">
        <w:t xml:space="preserve">since </w:t>
      </w:r>
      <w:r w:rsidR="00BF06AB" w:rsidRPr="00705394">
        <w:t>1</w:t>
      </w:r>
    </w:p>
    <w:p w14:paraId="1EE89F95" w14:textId="40DA6328" w:rsidR="006A617A" w:rsidRPr="00705394" w:rsidRDefault="00BF06AB" w:rsidP="00BF06AB">
      <w:pPr>
        <w:pStyle w:val="BodyTextIndent3"/>
        <w:jc w:val="both"/>
      </w:pPr>
      <w:r w:rsidRPr="00705394">
        <w:t xml:space="preserve">September 2024. </w:t>
      </w:r>
      <w:r w:rsidR="009176AD">
        <w:t xml:space="preserve">Since </w:t>
      </w:r>
      <w:r w:rsidRPr="00705394">
        <w:t>the start of the 2024-25 academic year, the requirement for</w:t>
      </w:r>
    </w:p>
    <w:p w14:paraId="273CD3AD" w14:textId="1D9FB1C4" w:rsidR="006A617A" w:rsidRPr="00705394" w:rsidRDefault="00BF06AB" w:rsidP="00BF06AB">
      <w:pPr>
        <w:pStyle w:val="BodyTextIndent3"/>
        <w:jc w:val="both"/>
      </w:pPr>
      <w:r w:rsidRPr="00705394">
        <w:t xml:space="preserve">appraisal objectives and the appraisal process to lead to performance related pay </w:t>
      </w:r>
      <w:r w:rsidR="00C17EDC" w:rsidRPr="00705394">
        <w:t>outcomes</w:t>
      </w:r>
    </w:p>
    <w:p w14:paraId="4E39FF1B" w14:textId="655D67D5" w:rsidR="006A617A" w:rsidRPr="00705394" w:rsidRDefault="00BF06AB" w:rsidP="00BF06AB">
      <w:pPr>
        <w:pStyle w:val="BodyTextIndent3"/>
        <w:jc w:val="both"/>
      </w:pPr>
      <w:r w:rsidRPr="00705394">
        <w:t>for teachers and leaders has been removed from the School Teacher’s Pay and</w:t>
      </w:r>
    </w:p>
    <w:p w14:paraId="0F40EB17" w14:textId="22BC5EF1" w:rsidR="009176AD" w:rsidRDefault="00BF06AB" w:rsidP="00BF06AB">
      <w:pPr>
        <w:pStyle w:val="BodyTextIndent3"/>
        <w:jc w:val="both"/>
      </w:pPr>
      <w:r w:rsidRPr="00705394">
        <w:t>Conditions Document (STPCD)</w:t>
      </w:r>
      <w:r w:rsidR="009176AD">
        <w:t xml:space="preserve"> and is </w:t>
      </w:r>
      <w:r w:rsidRPr="00705394">
        <w:t>intended to minimise the impact</w:t>
      </w:r>
      <w:r w:rsidR="00C17EDC" w:rsidRPr="00705394">
        <w:t xml:space="preserve"> </w:t>
      </w:r>
      <w:r w:rsidRPr="00705394">
        <w:t>on workload for</w:t>
      </w:r>
    </w:p>
    <w:p w14:paraId="3AB1D310" w14:textId="6A1D5A4B" w:rsidR="006A617A" w:rsidRPr="00705394" w:rsidRDefault="00BF06AB" w:rsidP="00BF06AB">
      <w:pPr>
        <w:pStyle w:val="BodyTextIndent3"/>
        <w:jc w:val="both"/>
      </w:pPr>
      <w:r w:rsidRPr="00705394">
        <w:t>individual teachers, line managers, school</w:t>
      </w:r>
      <w:r w:rsidR="009176AD">
        <w:t xml:space="preserve"> </w:t>
      </w:r>
      <w:r w:rsidRPr="00705394">
        <w:t>leaders and governors</w:t>
      </w:r>
      <w:r w:rsidR="006A617A" w:rsidRPr="00705394">
        <w:t xml:space="preserve">. </w:t>
      </w:r>
    </w:p>
    <w:p w14:paraId="7B9B06ED" w14:textId="77777777" w:rsidR="006A617A" w:rsidRPr="00705394" w:rsidRDefault="006A617A" w:rsidP="00BF06AB">
      <w:pPr>
        <w:pStyle w:val="BodyTextIndent3"/>
        <w:jc w:val="both"/>
      </w:pPr>
    </w:p>
    <w:p w14:paraId="70F7F772" w14:textId="77777777" w:rsidR="006A617A" w:rsidRPr="00705394" w:rsidRDefault="00BF06AB" w:rsidP="00BF06AB">
      <w:pPr>
        <w:pStyle w:val="BodyTextIndent3"/>
        <w:jc w:val="both"/>
      </w:pPr>
      <w:r w:rsidRPr="00705394">
        <w:t>There is no change to the statutory requirement for teacher appraisal as set out in the</w:t>
      </w:r>
    </w:p>
    <w:p w14:paraId="78281B8F" w14:textId="0A55B4C8" w:rsidR="006A617A" w:rsidRPr="00705394" w:rsidRDefault="00BF06AB" w:rsidP="00BF06AB">
      <w:pPr>
        <w:pStyle w:val="BodyTextIndent3"/>
        <w:jc w:val="both"/>
      </w:pPr>
      <w:r w:rsidRPr="00705394">
        <w:t xml:space="preserve">Appraisal Regulations 2012, </w:t>
      </w:r>
      <w:r w:rsidR="009176AD">
        <w:t xml:space="preserve">and the current </w:t>
      </w:r>
      <w:r w:rsidRPr="00705394">
        <w:t xml:space="preserve">School Appraisal Policy, Guidance and Toolkit </w:t>
      </w:r>
    </w:p>
    <w:p w14:paraId="285DF50F" w14:textId="7CD2140B" w:rsidR="006A617A" w:rsidRPr="00705394" w:rsidRDefault="00BF06AB" w:rsidP="00BF06AB">
      <w:pPr>
        <w:pStyle w:val="BodyTextIndent3"/>
        <w:jc w:val="both"/>
      </w:pPr>
      <w:r w:rsidRPr="00705394">
        <w:t>Documents have been updated in line with this new approach. The statutory</w:t>
      </w:r>
    </w:p>
    <w:p w14:paraId="053B99BA" w14:textId="40A90E2E" w:rsidR="006A617A" w:rsidRPr="00705394" w:rsidRDefault="00BF06AB" w:rsidP="00BF06AB">
      <w:pPr>
        <w:pStyle w:val="BodyTextIndent3"/>
        <w:jc w:val="both"/>
      </w:pPr>
      <w:r w:rsidRPr="00705394">
        <w:t>requirement to make a pay decision for every teacher and leader following the completion</w:t>
      </w:r>
    </w:p>
    <w:p w14:paraId="46F363C0" w14:textId="3091CB2F" w:rsidR="00BF06AB" w:rsidRPr="00705394" w:rsidRDefault="00BF06AB" w:rsidP="00BF06AB">
      <w:pPr>
        <w:pStyle w:val="BodyTextIndent3"/>
        <w:jc w:val="both"/>
      </w:pPr>
      <w:r w:rsidRPr="00705394">
        <w:lastRenderedPageBreak/>
        <w:t>of the appraisal process remains. The following points are important:</w:t>
      </w:r>
    </w:p>
    <w:p w14:paraId="02468CED" w14:textId="77777777" w:rsidR="00BF06AB" w:rsidRPr="00705394" w:rsidRDefault="00BF06AB" w:rsidP="00BF06AB">
      <w:pPr>
        <w:pStyle w:val="BodyTextIndent3"/>
        <w:jc w:val="both"/>
      </w:pPr>
    </w:p>
    <w:p w14:paraId="67992135" w14:textId="43D1EF5E" w:rsidR="00BF06AB" w:rsidRPr="00705394" w:rsidRDefault="00BF06AB" w:rsidP="00BF06AB">
      <w:pPr>
        <w:pStyle w:val="BodyTextIndent3"/>
        <w:numPr>
          <w:ilvl w:val="0"/>
          <w:numId w:val="36"/>
        </w:numPr>
        <w:jc w:val="both"/>
      </w:pPr>
      <w:r w:rsidRPr="00705394">
        <w:t xml:space="preserve">Pay decisions for the outcome of the 2023-24 academic year, </w:t>
      </w:r>
      <w:r w:rsidR="009176AD">
        <w:t>were based o</w:t>
      </w:r>
      <w:r w:rsidRPr="00705394">
        <w:t>n the requirement for performance related pay progression as set out in the September 2023 Pay Policy and in accordance with the School Teachers Pay and Conditions Document 2023.</w:t>
      </w:r>
    </w:p>
    <w:p w14:paraId="789BE889" w14:textId="63EE75C8" w:rsidR="00BF06AB" w:rsidRPr="00705394" w:rsidRDefault="00C81F2F" w:rsidP="00BF06AB">
      <w:pPr>
        <w:pStyle w:val="BodyTextIndent3"/>
        <w:numPr>
          <w:ilvl w:val="0"/>
          <w:numId w:val="36"/>
        </w:numPr>
        <w:jc w:val="both"/>
      </w:pPr>
      <w:r>
        <w:t>The Pay Policy 2024 set out the arrangements for</w:t>
      </w:r>
      <w:r w:rsidR="00BF06AB" w:rsidRPr="00705394">
        <w:t xml:space="preserve"> pay decisions resulting from the outcomes of appraisal </w:t>
      </w:r>
      <w:r>
        <w:t>from the start of the academic year 2024-25 (</w:t>
      </w:r>
      <w:proofErr w:type="spellStart"/>
      <w:r>
        <w:t>ie</w:t>
      </w:r>
      <w:proofErr w:type="spellEnd"/>
      <w:r>
        <w:t xml:space="preserve"> from 1 September 2025) and all schools are </w:t>
      </w:r>
      <w:r w:rsidR="00BF06AB" w:rsidRPr="00705394">
        <w:t>strongly recommended to adopt th</w:t>
      </w:r>
      <w:r>
        <w:t>e Pay Policy 2025</w:t>
      </w:r>
      <w:r w:rsidR="00BF06AB" w:rsidRPr="00705394">
        <w:t xml:space="preserve"> and associated guidance and toolkit. This means that the requirement to manage a process of performance related pay is removed and where performance concerns are identified, support as set out in the appraisal and capability policy will be provided. Pay progression will not be awarded to teachers </w:t>
      </w:r>
      <w:r w:rsidR="004E5495" w:rsidRPr="00705394">
        <w:t>w</w:t>
      </w:r>
      <w:r w:rsidR="00FB4AA0" w:rsidRPr="00705394">
        <w:t>h</w:t>
      </w:r>
      <w:r w:rsidR="004E5495" w:rsidRPr="00705394">
        <w:t>ere</w:t>
      </w:r>
      <w:r w:rsidR="00FB4AA0" w:rsidRPr="00705394">
        <w:t>, within the school year, serious</w:t>
      </w:r>
      <w:r w:rsidR="004E5495" w:rsidRPr="00705394">
        <w:t xml:space="preserve"> performance difficulties are </w:t>
      </w:r>
      <w:r w:rsidR="001E02CF" w:rsidRPr="00705394">
        <w:t>identified,</w:t>
      </w:r>
      <w:r w:rsidR="004E5495" w:rsidRPr="00705394">
        <w:t xml:space="preserve"> and </w:t>
      </w:r>
      <w:r w:rsidR="00FB4AA0" w:rsidRPr="00705394">
        <w:t xml:space="preserve">the teacher is in </w:t>
      </w:r>
      <w:r w:rsidR="004E5495" w:rsidRPr="00705394">
        <w:t>receipt of focussed</w:t>
      </w:r>
      <w:r w:rsidR="00FB4AA0" w:rsidRPr="00705394">
        <w:t xml:space="preserve"> </w:t>
      </w:r>
      <w:r w:rsidR="004E5495" w:rsidRPr="00705394">
        <w:t xml:space="preserve">support within appraisal or </w:t>
      </w:r>
      <w:r w:rsidR="00BF06AB" w:rsidRPr="00705394">
        <w:t xml:space="preserve">who are </w:t>
      </w:r>
      <w:r w:rsidR="004E5495" w:rsidRPr="00705394">
        <w:t xml:space="preserve">in </w:t>
      </w:r>
      <w:r w:rsidR="00BF06AB" w:rsidRPr="00705394">
        <w:t xml:space="preserve">subject to the formal capability procedure. </w:t>
      </w:r>
    </w:p>
    <w:p w14:paraId="02C3E161" w14:textId="77777777" w:rsidR="00B803D4" w:rsidRPr="00705394" w:rsidRDefault="00B803D4" w:rsidP="00FB4AA0">
      <w:pPr>
        <w:pStyle w:val="BodyTextIndent3"/>
      </w:pPr>
    </w:p>
    <w:p w14:paraId="06B5E9FD" w14:textId="4BF4CBCB" w:rsidR="00B803D4" w:rsidRPr="00705394" w:rsidRDefault="00B803D4" w:rsidP="00FB4AA0">
      <w:pPr>
        <w:pStyle w:val="BodyTextIndent3"/>
      </w:pPr>
      <w:r w:rsidRPr="00705394">
        <w:t xml:space="preserve">Headteachers and Governors should be aware that </w:t>
      </w:r>
      <w:r w:rsidR="00111CE2" w:rsidRPr="00705394">
        <w:t>lower-level</w:t>
      </w:r>
      <w:r w:rsidRPr="00705394">
        <w:t xml:space="preserve"> performance concerns may</w:t>
      </w:r>
    </w:p>
    <w:p w14:paraId="3B29AA03" w14:textId="77777777" w:rsidR="00B803D4" w:rsidRPr="00705394" w:rsidRDefault="00B803D4" w:rsidP="00FB4AA0">
      <w:pPr>
        <w:pStyle w:val="BodyTextIndent3"/>
      </w:pPr>
      <w:r w:rsidRPr="00705394">
        <w:t>develop into serious performance concerns where there is evidence to demonstrate that in</w:t>
      </w:r>
    </w:p>
    <w:p w14:paraId="33AC0029" w14:textId="77777777" w:rsidR="00C17EDC" w:rsidRPr="00705394" w:rsidRDefault="00B803D4" w:rsidP="00FB4AA0">
      <w:pPr>
        <w:pStyle w:val="BodyTextIndent3"/>
      </w:pPr>
      <w:r w:rsidRPr="00705394">
        <w:t xml:space="preserve">spite of appropriate support they remain persistent to </w:t>
      </w:r>
      <w:r w:rsidR="00C17EDC" w:rsidRPr="00705394">
        <w:t xml:space="preserve">the required </w:t>
      </w:r>
      <w:r w:rsidRPr="00705394">
        <w:t xml:space="preserve">improvement </w:t>
      </w:r>
      <w:r w:rsidR="00C17EDC" w:rsidRPr="00705394">
        <w:t>in</w:t>
      </w:r>
    </w:p>
    <w:p w14:paraId="1034D166" w14:textId="688EFB23" w:rsidR="00BF06AB" w:rsidRPr="00705394" w:rsidRDefault="00C17EDC" w:rsidP="00FB4AA0">
      <w:pPr>
        <w:pStyle w:val="BodyTextIndent3"/>
      </w:pPr>
      <w:r w:rsidRPr="00705394">
        <w:t xml:space="preserve">performance </w:t>
      </w:r>
      <w:r w:rsidR="00B803D4" w:rsidRPr="00705394">
        <w:t>over time.</w:t>
      </w:r>
      <w:r w:rsidR="00BF06AB" w:rsidRPr="00705394">
        <w:t xml:space="preserve">  </w:t>
      </w:r>
    </w:p>
    <w:p w14:paraId="67C73260" w14:textId="77777777" w:rsidR="006A617A" w:rsidRPr="00705394" w:rsidRDefault="006A617A" w:rsidP="00396DA7">
      <w:pPr>
        <w:spacing w:after="0"/>
        <w:jc w:val="both"/>
        <w:rPr>
          <w:u w:val="none"/>
        </w:rPr>
      </w:pPr>
    </w:p>
    <w:p w14:paraId="71397343" w14:textId="6D46DCDC" w:rsidR="00C35725" w:rsidRPr="00705394" w:rsidRDefault="00185902" w:rsidP="00396DA7">
      <w:pPr>
        <w:spacing w:after="0"/>
        <w:jc w:val="both"/>
        <w:rPr>
          <w:strike/>
          <w:u w:val="none"/>
        </w:rPr>
      </w:pPr>
      <w:r w:rsidRPr="00705394">
        <w:rPr>
          <w:u w:val="none"/>
        </w:rPr>
        <w:t>There is no requirement for the governing</w:t>
      </w:r>
      <w:r w:rsidR="0075269E" w:rsidRPr="00705394">
        <w:rPr>
          <w:u w:val="none"/>
        </w:rPr>
        <w:t xml:space="preserve"> body</w:t>
      </w:r>
      <w:r w:rsidRPr="00705394">
        <w:rPr>
          <w:u w:val="none"/>
        </w:rPr>
        <w:t xml:space="preserve"> to revisit the </w:t>
      </w:r>
      <w:r w:rsidR="00515709" w:rsidRPr="00705394">
        <w:rPr>
          <w:u w:val="none"/>
        </w:rPr>
        <w:t xml:space="preserve">pay for </w:t>
      </w:r>
      <w:r w:rsidRPr="00705394">
        <w:rPr>
          <w:u w:val="none"/>
        </w:rPr>
        <w:t>leadership arrangements in place</w:t>
      </w:r>
      <w:r w:rsidR="00777A61" w:rsidRPr="00705394">
        <w:rPr>
          <w:u w:val="none"/>
        </w:rPr>
        <w:t xml:space="preserve"> unless there are significant changes to the duties and responsibilities of the post</w:t>
      </w:r>
      <w:r w:rsidRPr="00705394">
        <w:rPr>
          <w:u w:val="none"/>
        </w:rPr>
        <w:t>. It is critical, therefore, that the pay policy sets out clearly the pay scales for all employees and establishes fair criteria for pay progression for all teachers</w:t>
      </w:r>
      <w:r w:rsidR="00C81F2F">
        <w:rPr>
          <w:u w:val="none"/>
        </w:rPr>
        <w:t xml:space="preserve"> and support staff</w:t>
      </w:r>
      <w:r w:rsidR="00C33112" w:rsidRPr="00705394">
        <w:rPr>
          <w:u w:val="none"/>
        </w:rPr>
        <w:t xml:space="preserve">. </w:t>
      </w:r>
      <w:r w:rsidRPr="00705394">
        <w:rPr>
          <w:u w:val="none"/>
        </w:rPr>
        <w:t xml:space="preserve"> </w:t>
      </w:r>
    </w:p>
    <w:p w14:paraId="4407B778" w14:textId="77777777" w:rsidR="00997EF6" w:rsidRPr="00705394" w:rsidRDefault="00997EF6" w:rsidP="00396DA7">
      <w:pPr>
        <w:spacing w:after="0"/>
        <w:jc w:val="both"/>
      </w:pPr>
    </w:p>
    <w:p w14:paraId="7716403F" w14:textId="2E9E1D25" w:rsidR="00185902" w:rsidRPr="00F406FB" w:rsidRDefault="00185902" w:rsidP="00396DA7">
      <w:pPr>
        <w:spacing w:after="0"/>
        <w:jc w:val="both"/>
        <w:rPr>
          <w:u w:val="none"/>
        </w:rPr>
      </w:pPr>
      <w:r w:rsidRPr="00705394">
        <w:rPr>
          <w:u w:val="none"/>
        </w:rPr>
        <w:t xml:space="preserve">The headteacher should </w:t>
      </w:r>
      <w:r w:rsidR="00AB634E" w:rsidRPr="00705394">
        <w:rPr>
          <w:u w:val="none"/>
        </w:rPr>
        <w:t>ensure th</w:t>
      </w:r>
      <w:r w:rsidR="00C33112" w:rsidRPr="00705394">
        <w:rPr>
          <w:u w:val="none"/>
        </w:rPr>
        <w:t xml:space="preserve">at appraisal and pay </w:t>
      </w:r>
      <w:r w:rsidR="00AB634E" w:rsidRPr="00705394">
        <w:rPr>
          <w:u w:val="none"/>
        </w:rPr>
        <w:t>a</w:t>
      </w:r>
      <w:r w:rsidRPr="00705394">
        <w:rPr>
          <w:u w:val="none"/>
        </w:rPr>
        <w:t xml:space="preserve">rrangements </w:t>
      </w:r>
      <w:r w:rsidR="00AB634E" w:rsidRPr="00705394">
        <w:rPr>
          <w:u w:val="none"/>
        </w:rPr>
        <w:t xml:space="preserve">are understood by </w:t>
      </w:r>
      <w:r w:rsidR="00111CE2" w:rsidRPr="00705394">
        <w:rPr>
          <w:u w:val="none"/>
        </w:rPr>
        <w:t xml:space="preserve">all teachers </w:t>
      </w:r>
      <w:r w:rsidR="00AB634E" w:rsidRPr="00705394">
        <w:rPr>
          <w:u w:val="none"/>
        </w:rPr>
        <w:t>as part of the</w:t>
      </w:r>
      <w:r w:rsidR="00C33112" w:rsidRPr="00705394">
        <w:rPr>
          <w:u w:val="none"/>
        </w:rPr>
        <w:t xml:space="preserve">ir induction. </w:t>
      </w:r>
      <w:r w:rsidRPr="00705394">
        <w:rPr>
          <w:u w:val="none"/>
        </w:rPr>
        <w:t xml:space="preserve">A copy </w:t>
      </w:r>
      <w:r w:rsidR="00AA5911" w:rsidRPr="00705394">
        <w:rPr>
          <w:u w:val="none"/>
        </w:rPr>
        <w:t xml:space="preserve">of the revised policy </w:t>
      </w:r>
      <w:r w:rsidRPr="00705394">
        <w:rPr>
          <w:u w:val="none"/>
        </w:rPr>
        <w:t xml:space="preserve">should therefore be made available to all </w:t>
      </w:r>
      <w:r w:rsidR="00705394" w:rsidRPr="00705394">
        <w:rPr>
          <w:u w:val="none"/>
        </w:rPr>
        <w:t>staff,</w:t>
      </w:r>
      <w:r w:rsidRPr="00705394">
        <w:rPr>
          <w:u w:val="none"/>
        </w:rPr>
        <w:t xml:space="preserve"> and they should b</w:t>
      </w:r>
      <w:r w:rsidR="0075269E" w:rsidRPr="00705394">
        <w:rPr>
          <w:u w:val="none"/>
        </w:rPr>
        <w:t>e</w:t>
      </w:r>
      <w:r w:rsidRPr="00705394">
        <w:rPr>
          <w:u w:val="none"/>
        </w:rPr>
        <w:t xml:space="preserve"> consulted</w:t>
      </w:r>
      <w:r w:rsidR="0075269E" w:rsidRPr="00705394">
        <w:rPr>
          <w:u w:val="none"/>
        </w:rPr>
        <w:t xml:space="preserve"> </w:t>
      </w:r>
      <w:r w:rsidRPr="00705394">
        <w:rPr>
          <w:u w:val="none"/>
        </w:rPr>
        <w:t>on the revisions to the policy and the guidance.</w:t>
      </w:r>
      <w:r w:rsidR="0075269E" w:rsidRPr="00705394">
        <w:rPr>
          <w:u w:val="none"/>
        </w:rPr>
        <w:t xml:space="preserve"> </w:t>
      </w:r>
      <w:r w:rsidRPr="00705394">
        <w:rPr>
          <w:u w:val="none"/>
        </w:rPr>
        <w:t>As soon as individual schools have completed their consideration of the policy</w:t>
      </w:r>
      <w:r w:rsidR="00302205" w:rsidRPr="00705394">
        <w:rPr>
          <w:u w:val="none"/>
        </w:rPr>
        <w:t>, toolkit</w:t>
      </w:r>
      <w:r w:rsidRPr="00705394">
        <w:rPr>
          <w:u w:val="none"/>
        </w:rPr>
        <w:t xml:space="preserve"> and guidance, the documents should be referred to the appropriate committee of the governing body for adoption and approval.</w:t>
      </w:r>
      <w:r w:rsidR="00302205" w:rsidRPr="00705394">
        <w:rPr>
          <w:u w:val="none"/>
        </w:rPr>
        <w:t xml:space="preserve"> </w:t>
      </w:r>
      <w:r w:rsidRPr="00705394">
        <w:rPr>
          <w:u w:val="none"/>
        </w:rPr>
        <w:t xml:space="preserve">Once agreed, it will not be necessary for the policy to distinguish between emboldened and other text in the final school version. The school should complete </w:t>
      </w:r>
      <w:r w:rsidR="00705394" w:rsidRPr="00705394">
        <w:rPr>
          <w:u w:val="none"/>
        </w:rPr>
        <w:t>all</w:t>
      </w:r>
      <w:r w:rsidRPr="00705394">
        <w:rPr>
          <w:u w:val="none"/>
        </w:rPr>
        <w:t xml:space="preserve"> the</w:t>
      </w:r>
      <w:r w:rsidRPr="00C17EDC">
        <w:rPr>
          <w:u w:val="none"/>
        </w:rPr>
        <w:t xml:space="preserve"> </w:t>
      </w:r>
      <w:r w:rsidR="00C33112" w:rsidRPr="00C17EDC">
        <w:rPr>
          <w:color w:val="0070C0"/>
          <w:u w:val="none"/>
        </w:rPr>
        <w:t>blue</w:t>
      </w:r>
      <w:r w:rsidR="00C33112" w:rsidRPr="00C17EDC">
        <w:rPr>
          <w:u w:val="none"/>
        </w:rPr>
        <w:t xml:space="preserve"> </w:t>
      </w:r>
      <w:r w:rsidRPr="00C17EDC">
        <w:rPr>
          <w:u w:val="none"/>
        </w:rPr>
        <w:t>italic sections</w:t>
      </w:r>
      <w:r w:rsidRPr="00F406FB">
        <w:rPr>
          <w:u w:val="none"/>
        </w:rPr>
        <w:t xml:space="preserve"> of the policy, </w:t>
      </w:r>
      <w:r w:rsidR="00C17EDC">
        <w:rPr>
          <w:u w:val="none"/>
        </w:rPr>
        <w:t xml:space="preserve">as set out </w:t>
      </w:r>
      <w:r w:rsidR="00FC799D">
        <w:rPr>
          <w:u w:val="none"/>
        </w:rPr>
        <w:t xml:space="preserve">in the Governing Body- Policy Decision Planner </w:t>
      </w:r>
      <w:r w:rsidR="00C17EDC">
        <w:rPr>
          <w:u w:val="none"/>
        </w:rPr>
        <w:t>on the inset page to the</w:t>
      </w:r>
      <w:r w:rsidR="00111CE2">
        <w:rPr>
          <w:u w:val="none"/>
        </w:rPr>
        <w:t xml:space="preserve"> Policy </w:t>
      </w:r>
      <w:r w:rsidR="00C17EDC">
        <w:rPr>
          <w:u w:val="none"/>
        </w:rPr>
        <w:t xml:space="preserve">front cover. </w:t>
      </w:r>
      <w:r w:rsidR="00C33112">
        <w:rPr>
          <w:u w:val="none"/>
        </w:rPr>
        <w:t xml:space="preserve"> </w:t>
      </w:r>
    </w:p>
    <w:p w14:paraId="2BAB9FEF" w14:textId="77777777" w:rsidR="00266A41" w:rsidRPr="00F406FB" w:rsidRDefault="00266A41" w:rsidP="00396DA7">
      <w:pPr>
        <w:spacing w:after="0"/>
        <w:jc w:val="both"/>
        <w:rPr>
          <w:u w:val="none"/>
        </w:rPr>
      </w:pPr>
    </w:p>
    <w:p w14:paraId="72234ECA" w14:textId="02D0EFB5" w:rsidR="00266A41" w:rsidRPr="00F406FB" w:rsidRDefault="00266A41" w:rsidP="00302205">
      <w:pPr>
        <w:jc w:val="both"/>
        <w:rPr>
          <w:rFonts w:ascii="Calibri" w:hAnsi="Calibri" w:cs="Times New Roman"/>
          <w:sz w:val="22"/>
          <w:szCs w:val="22"/>
          <w:u w:val="none"/>
        </w:rPr>
      </w:pPr>
      <w:r w:rsidRPr="00F406FB">
        <w:rPr>
          <w:u w:val="none"/>
        </w:rPr>
        <w:t xml:space="preserve">The governing body recognises that all relevant senior leaders will need an understanding of their role, and have access to appropriate support, advice and training, in the application of these procedures. The headteacher, in conjunction with the chair of </w:t>
      </w:r>
      <w:r w:rsidR="00302205" w:rsidRPr="00F406FB">
        <w:rPr>
          <w:u w:val="none"/>
        </w:rPr>
        <w:t>g</w:t>
      </w:r>
      <w:r w:rsidRPr="00F406FB">
        <w:rPr>
          <w:u w:val="none"/>
        </w:rPr>
        <w:t>overnors and the training co-ordinator, where appropriate, will ensure that, in discharging their duties and responsibilities, governors have access to support, advice and training as appropriate.</w:t>
      </w:r>
    </w:p>
    <w:p w14:paraId="461FBE8C" w14:textId="77777777" w:rsidR="00236566" w:rsidRPr="00F406FB" w:rsidRDefault="00236566" w:rsidP="00396DA7">
      <w:pPr>
        <w:spacing w:after="0"/>
        <w:jc w:val="both"/>
      </w:pPr>
      <w:r w:rsidRPr="00F406FB">
        <w:t>Current School Profile</w:t>
      </w:r>
    </w:p>
    <w:p w14:paraId="4ADDDC1F" w14:textId="77777777" w:rsidR="00C35725" w:rsidRPr="00F406FB" w:rsidRDefault="00C35725" w:rsidP="00396DA7">
      <w:pPr>
        <w:spacing w:after="0"/>
        <w:jc w:val="both"/>
      </w:pPr>
    </w:p>
    <w:p w14:paraId="3C52743E" w14:textId="291BF92E" w:rsidR="00236566" w:rsidRPr="00F406FB" w:rsidRDefault="00236566" w:rsidP="00396DA7">
      <w:pPr>
        <w:spacing w:after="0"/>
        <w:jc w:val="both"/>
        <w:rPr>
          <w:u w:val="none"/>
        </w:rPr>
      </w:pPr>
      <w:proofErr w:type="gramStart"/>
      <w:r w:rsidRPr="00F406FB">
        <w:rPr>
          <w:u w:val="none"/>
        </w:rPr>
        <w:t>In order to</w:t>
      </w:r>
      <w:proofErr w:type="gramEnd"/>
      <w:r w:rsidRPr="00F406FB">
        <w:rPr>
          <w:u w:val="none"/>
        </w:rPr>
        <w:t xml:space="preserve"> assess the impact of future pay </w:t>
      </w:r>
      <w:r w:rsidR="00705394" w:rsidRPr="00F406FB">
        <w:rPr>
          <w:u w:val="none"/>
        </w:rPr>
        <w:t>decisions,</w:t>
      </w:r>
      <w:r w:rsidRPr="00F406FB">
        <w:rPr>
          <w:u w:val="none"/>
        </w:rPr>
        <w:t xml:space="preserve"> schools should undertake an analysis of their current teacher profile </w:t>
      </w:r>
      <w:r w:rsidR="00777A61" w:rsidRPr="00F406FB">
        <w:rPr>
          <w:u w:val="none"/>
        </w:rPr>
        <w:t>particularly in the light of difficult budgetary conditions</w:t>
      </w:r>
      <w:r w:rsidRPr="00F406FB">
        <w:rPr>
          <w:u w:val="none"/>
        </w:rPr>
        <w:t xml:space="preserve">. </w:t>
      </w:r>
      <w:r w:rsidR="00050EC9" w:rsidRPr="00F406FB">
        <w:rPr>
          <w:u w:val="none"/>
        </w:rPr>
        <w:t xml:space="preserve"> </w:t>
      </w:r>
      <w:r w:rsidRPr="00F406FB">
        <w:rPr>
          <w:u w:val="none"/>
        </w:rPr>
        <w:t xml:space="preserve">Understanding the number of teachers on each </w:t>
      </w:r>
      <w:r w:rsidR="00AB634E" w:rsidRPr="00F406FB">
        <w:rPr>
          <w:u w:val="none"/>
        </w:rPr>
        <w:t xml:space="preserve">pay </w:t>
      </w:r>
      <w:r w:rsidRPr="00F406FB">
        <w:rPr>
          <w:u w:val="none"/>
        </w:rPr>
        <w:t xml:space="preserve">range and pay point will show how the current budget is distributed. Turnover rates and age profiles </w:t>
      </w:r>
      <w:r w:rsidR="00DB29FF" w:rsidRPr="00F406FB">
        <w:rPr>
          <w:u w:val="none"/>
        </w:rPr>
        <w:t>will provide the governing body with an</w:t>
      </w:r>
      <w:r w:rsidR="00777A61" w:rsidRPr="00F406FB">
        <w:rPr>
          <w:u w:val="none"/>
        </w:rPr>
        <w:t xml:space="preserve"> opportunity to undertake an Equality Impact Assessment </w:t>
      </w:r>
      <w:r w:rsidR="00777A61" w:rsidRPr="00F406FB">
        <w:rPr>
          <w:b/>
          <w:u w:val="none"/>
        </w:rPr>
        <w:t xml:space="preserve">(see </w:t>
      </w:r>
      <w:r w:rsidR="00FC7927" w:rsidRPr="00F406FB">
        <w:rPr>
          <w:b/>
          <w:u w:val="none"/>
        </w:rPr>
        <w:t xml:space="preserve">School Pay Policy </w:t>
      </w:r>
      <w:r w:rsidR="00FC7927" w:rsidRPr="00F406FB">
        <w:rPr>
          <w:b/>
          <w:u w:val="none"/>
        </w:rPr>
        <w:lastRenderedPageBreak/>
        <w:t xml:space="preserve">Toolkit </w:t>
      </w:r>
      <w:r w:rsidR="00777A61" w:rsidRPr="00F406FB">
        <w:rPr>
          <w:b/>
          <w:u w:val="none"/>
        </w:rPr>
        <w:t xml:space="preserve">Appendix 9) </w:t>
      </w:r>
      <w:r w:rsidR="00777A61" w:rsidRPr="00F406FB">
        <w:rPr>
          <w:u w:val="none"/>
        </w:rPr>
        <w:t>and provide an</w:t>
      </w:r>
      <w:r w:rsidR="00DB29FF" w:rsidRPr="00F406FB">
        <w:rPr>
          <w:u w:val="none"/>
        </w:rPr>
        <w:t xml:space="preserve"> indication as to how the complement of </w:t>
      </w:r>
      <w:r w:rsidR="00777A61" w:rsidRPr="00F406FB">
        <w:rPr>
          <w:u w:val="none"/>
        </w:rPr>
        <w:t>teachers is likely to change</w:t>
      </w:r>
      <w:r w:rsidR="00111CE2">
        <w:rPr>
          <w:u w:val="none"/>
        </w:rPr>
        <w:t xml:space="preserve"> and </w:t>
      </w:r>
      <w:r w:rsidR="00DB29FF" w:rsidRPr="00F406FB">
        <w:rPr>
          <w:u w:val="none"/>
        </w:rPr>
        <w:t xml:space="preserve">impact financially in future years. </w:t>
      </w:r>
      <w:r w:rsidRPr="00F406FB">
        <w:rPr>
          <w:u w:val="none"/>
        </w:rPr>
        <w:t xml:space="preserve"> </w:t>
      </w:r>
    </w:p>
    <w:p w14:paraId="42424657" w14:textId="77777777" w:rsidR="00302205" w:rsidRPr="00F406FB" w:rsidRDefault="00302205" w:rsidP="00302205">
      <w:pPr>
        <w:spacing w:after="0"/>
        <w:ind w:right="-1"/>
        <w:jc w:val="both"/>
        <w:rPr>
          <w:b/>
          <w:u w:val="none"/>
        </w:rPr>
      </w:pPr>
    </w:p>
    <w:p w14:paraId="03914CF4" w14:textId="77777777" w:rsidR="00302205" w:rsidRPr="00F406FB" w:rsidRDefault="00302205" w:rsidP="00302205">
      <w:pPr>
        <w:spacing w:after="0"/>
        <w:ind w:right="-1"/>
        <w:jc w:val="both"/>
        <w:rPr>
          <w:b/>
          <w:u w:val="none"/>
        </w:rPr>
      </w:pPr>
      <w:r w:rsidRPr="00F406FB">
        <w:rPr>
          <w:b/>
          <w:u w:val="none"/>
        </w:rPr>
        <w:t>Work/life Balance</w:t>
      </w:r>
    </w:p>
    <w:p w14:paraId="7841DBD8" w14:textId="77777777" w:rsidR="00302205" w:rsidRPr="00F406FB" w:rsidRDefault="00302205" w:rsidP="00302205">
      <w:pPr>
        <w:spacing w:after="0"/>
        <w:ind w:right="-1"/>
        <w:jc w:val="both"/>
        <w:rPr>
          <w:u w:val="none"/>
        </w:rPr>
      </w:pPr>
    </w:p>
    <w:p w14:paraId="119BD7F2" w14:textId="503522C2" w:rsidR="00302205" w:rsidRPr="00F406FB" w:rsidRDefault="00302205" w:rsidP="00302205">
      <w:pPr>
        <w:spacing w:after="0"/>
        <w:ind w:right="-1"/>
        <w:jc w:val="both"/>
        <w:rPr>
          <w:u w:val="none"/>
        </w:rPr>
      </w:pPr>
      <w:r w:rsidRPr="00F406FB">
        <w:rPr>
          <w:u w:val="none"/>
        </w:rPr>
        <w:t xml:space="preserve">Schools should always seek to approve policies and processes that avoid unnecessary bureaucracy for all parties concerned by, for example, reviewing the process for collecting evidence for appraisal. Policies and processes should be proportionate and be able to support robust decisions and use evidence in appraisal decisions that is readily available from </w:t>
      </w:r>
      <w:r w:rsidR="00111CE2" w:rsidRPr="00F406FB">
        <w:rPr>
          <w:u w:val="none"/>
        </w:rPr>
        <w:t>day-to-day</w:t>
      </w:r>
      <w:r w:rsidRPr="00F406FB">
        <w:rPr>
          <w:u w:val="none"/>
        </w:rPr>
        <w:t xml:space="preserve"> practice. </w:t>
      </w:r>
    </w:p>
    <w:p w14:paraId="22B816BD" w14:textId="77777777" w:rsidR="00302205" w:rsidRPr="00F406FB" w:rsidRDefault="00302205" w:rsidP="00302205">
      <w:pPr>
        <w:spacing w:after="0"/>
        <w:ind w:right="-1"/>
        <w:jc w:val="both"/>
        <w:rPr>
          <w:u w:val="none"/>
        </w:rPr>
      </w:pPr>
    </w:p>
    <w:p w14:paraId="0B4D1081" w14:textId="202C74B5" w:rsidR="00302205" w:rsidRPr="00F406FB" w:rsidRDefault="00302205" w:rsidP="00302205">
      <w:pPr>
        <w:spacing w:after="0"/>
        <w:ind w:right="-1"/>
        <w:jc w:val="both"/>
        <w:rPr>
          <w:u w:val="none"/>
        </w:rPr>
      </w:pPr>
      <w:r w:rsidRPr="00F406FB">
        <w:rPr>
          <w:u w:val="none"/>
        </w:rPr>
        <w:t xml:space="preserve">The STPCD, paragraph </w:t>
      </w:r>
      <w:r w:rsidR="003E193A" w:rsidRPr="00F406FB">
        <w:rPr>
          <w:u w:val="none"/>
        </w:rPr>
        <w:t>5</w:t>
      </w:r>
      <w:r w:rsidRPr="00F406FB">
        <w:rPr>
          <w:u w:val="none"/>
        </w:rPr>
        <w:t>2.4, states:  Governing bodies and headteachers, in carrying out their duties must have regard to the need for the headteacher and teachers at the school to be able to achieve a satisfactory balance between the time required to discharge their professional duties including in particular, the case of teachers to whom paragraphs 5</w:t>
      </w:r>
      <w:r w:rsidR="003E193A" w:rsidRPr="00F406FB">
        <w:rPr>
          <w:u w:val="none"/>
        </w:rPr>
        <w:t>1</w:t>
      </w:r>
      <w:r w:rsidRPr="00F406FB">
        <w:rPr>
          <w:u w:val="none"/>
        </w:rPr>
        <w:t>.2-5</w:t>
      </w:r>
      <w:r w:rsidR="003E193A" w:rsidRPr="00F406FB">
        <w:rPr>
          <w:u w:val="none"/>
        </w:rPr>
        <w:t>1</w:t>
      </w:r>
      <w:r w:rsidRPr="00F406FB">
        <w:rPr>
          <w:u w:val="none"/>
        </w:rPr>
        <w:t>.12 apply, their duties under paragraph 51.7, and the time required to pursue their personal interests outside work. In having regard to this, governing bodies and headteachers should ensure that they adhere to the working limits set out in the Working Time Regulations 1998.</w:t>
      </w:r>
    </w:p>
    <w:p w14:paraId="267ECF0D" w14:textId="77777777" w:rsidR="00302205" w:rsidRPr="00F406FB" w:rsidRDefault="00302205" w:rsidP="00302205">
      <w:pPr>
        <w:spacing w:after="0"/>
        <w:ind w:right="-1"/>
        <w:jc w:val="both"/>
        <w:rPr>
          <w:u w:val="none"/>
        </w:rPr>
      </w:pPr>
    </w:p>
    <w:p w14:paraId="69D9E350" w14:textId="6486149A" w:rsidR="00302205" w:rsidRPr="00C33112" w:rsidRDefault="00302205" w:rsidP="00302205">
      <w:pPr>
        <w:spacing w:after="0"/>
        <w:ind w:right="-1"/>
        <w:jc w:val="both"/>
        <w:rPr>
          <w:strike/>
          <w:u w:val="none"/>
        </w:rPr>
      </w:pPr>
      <w:r w:rsidRPr="00F406FB">
        <w:rPr>
          <w:u w:val="none"/>
        </w:rPr>
        <w:t>Additionally, headteachers have a duty of care to protect the health, safety and welfare of their staff under Health and Safety at Work 1984 and should ensure that staff wellbeing is routinely considered in setting appraisal objectives</w:t>
      </w:r>
      <w:r w:rsidR="00C33112">
        <w:rPr>
          <w:u w:val="none"/>
        </w:rPr>
        <w:t xml:space="preserve">. </w:t>
      </w:r>
      <w:r w:rsidRPr="00F406FB">
        <w:rPr>
          <w:u w:val="none"/>
        </w:rPr>
        <w:t xml:space="preserve"> </w:t>
      </w:r>
    </w:p>
    <w:p w14:paraId="66F259BD" w14:textId="52319089" w:rsidR="00302205" w:rsidRPr="00F406FB" w:rsidRDefault="00302205" w:rsidP="00302205">
      <w:pPr>
        <w:spacing w:after="0"/>
        <w:ind w:right="-1"/>
        <w:jc w:val="both"/>
        <w:rPr>
          <w:u w:val="none"/>
        </w:rPr>
      </w:pPr>
    </w:p>
    <w:p w14:paraId="7A699427" w14:textId="2488AF5F" w:rsidR="00302205" w:rsidRPr="00F406FB" w:rsidRDefault="00C33112" w:rsidP="00302205">
      <w:pPr>
        <w:spacing w:after="0"/>
        <w:jc w:val="both"/>
        <w:rPr>
          <w:u w:val="none"/>
        </w:rPr>
      </w:pPr>
      <w:r w:rsidRPr="00073F29">
        <w:rPr>
          <w:u w:val="none"/>
        </w:rPr>
        <w:t xml:space="preserve">Since 2018, schools have been reminded </w:t>
      </w:r>
      <w:r w:rsidR="00302205" w:rsidRPr="00073F29">
        <w:rPr>
          <w:u w:val="none"/>
        </w:rPr>
        <w:t>that appraisal guidance “should be amended to ensure objectives and performance management discussions should not be based on teacher generated data and predictions or solely on the assessment data for single group appraisals; that tackling teacher workload and ensuring headteacher and staff wellbeing issues are addressed and managed effectively in the school. Pay and appraisal policies should minimise the impact on the workload for individual teachers, line managers, headteachers and governing bodies”.</w:t>
      </w:r>
    </w:p>
    <w:p w14:paraId="720C0722" w14:textId="77777777" w:rsidR="00C33112" w:rsidRDefault="00C33112" w:rsidP="00396DA7">
      <w:pPr>
        <w:jc w:val="both"/>
        <w:rPr>
          <w:b/>
          <w:bCs/>
          <w:u w:val="none"/>
        </w:rPr>
      </w:pPr>
    </w:p>
    <w:p w14:paraId="3843B93A" w14:textId="790FE689" w:rsidR="00185902" w:rsidRPr="00F406FB" w:rsidRDefault="00185902" w:rsidP="00396DA7">
      <w:pPr>
        <w:jc w:val="both"/>
        <w:rPr>
          <w:b/>
          <w:bCs/>
          <w:u w:val="none"/>
        </w:rPr>
      </w:pPr>
      <w:r w:rsidRPr="00F406FB">
        <w:rPr>
          <w:b/>
          <w:bCs/>
          <w:u w:val="none"/>
        </w:rPr>
        <w:t>Roles and Responsibilities</w:t>
      </w:r>
    </w:p>
    <w:p w14:paraId="1925A576" w14:textId="77777777" w:rsidR="00050EC9" w:rsidRPr="00F406FB" w:rsidRDefault="00185902" w:rsidP="00396DA7">
      <w:pPr>
        <w:spacing w:after="0"/>
        <w:rPr>
          <w:u w:val="none"/>
        </w:rPr>
      </w:pPr>
      <w:r w:rsidRPr="00F406FB">
        <w:t xml:space="preserve">Governing Body </w:t>
      </w:r>
      <w:r w:rsidRPr="00F406FB">
        <w:br/>
      </w:r>
    </w:p>
    <w:p w14:paraId="54496CF8" w14:textId="02B8FF46" w:rsidR="00185902" w:rsidRPr="00F406FB" w:rsidRDefault="00185902" w:rsidP="00396DA7">
      <w:pPr>
        <w:spacing w:after="0"/>
        <w:rPr>
          <w:u w:val="none"/>
        </w:rPr>
      </w:pPr>
      <w:r w:rsidRPr="00F406FB">
        <w:rPr>
          <w:u w:val="none"/>
        </w:rPr>
        <w:t>The governing body</w:t>
      </w:r>
      <w:r w:rsidR="00050EC9" w:rsidRPr="00F406FB">
        <w:rPr>
          <w:u w:val="none"/>
        </w:rPr>
        <w:t xml:space="preserve"> must fulfil its obligations </w:t>
      </w:r>
      <w:r w:rsidR="00705394" w:rsidRPr="00F406FB">
        <w:rPr>
          <w:u w:val="none"/>
        </w:rPr>
        <w:t>to</w:t>
      </w:r>
      <w:r w:rsidR="00705394">
        <w:rPr>
          <w:u w:val="none"/>
        </w:rPr>
        <w:t>:</w:t>
      </w:r>
    </w:p>
    <w:p w14:paraId="1FE63C6A" w14:textId="77777777" w:rsidR="00050EC9" w:rsidRPr="00F406FB" w:rsidRDefault="00050EC9" w:rsidP="00396DA7">
      <w:pPr>
        <w:spacing w:after="0"/>
        <w:rPr>
          <w:u w:val="none"/>
        </w:rPr>
      </w:pPr>
    </w:p>
    <w:p w14:paraId="5EA86B93" w14:textId="77777777" w:rsidR="00185902" w:rsidRPr="00F406FB" w:rsidRDefault="00185902" w:rsidP="00AB634E">
      <w:pPr>
        <w:pStyle w:val="ListParagraph"/>
        <w:numPr>
          <w:ilvl w:val="0"/>
          <w:numId w:val="1"/>
        </w:numPr>
        <w:spacing w:after="0"/>
        <w:ind w:left="709" w:hanging="425"/>
        <w:rPr>
          <w:u w:val="none"/>
        </w:rPr>
      </w:pPr>
      <w:r w:rsidRPr="00F406FB">
        <w:rPr>
          <w:u w:val="none"/>
        </w:rPr>
        <w:t>Teachers, as set out in the STPCD and the Burgundy Book – Conditions of Service for School Teachers in England and Wales; and</w:t>
      </w:r>
    </w:p>
    <w:p w14:paraId="7E33C1A9" w14:textId="77777777" w:rsidR="00185902" w:rsidRPr="00F406FB" w:rsidRDefault="00185902" w:rsidP="00AB634E">
      <w:pPr>
        <w:pStyle w:val="ListParagraph"/>
        <w:numPr>
          <w:ilvl w:val="0"/>
          <w:numId w:val="1"/>
        </w:numPr>
        <w:spacing w:after="0"/>
        <w:ind w:left="709" w:hanging="425"/>
        <w:rPr>
          <w:u w:val="none"/>
        </w:rPr>
      </w:pPr>
      <w:r w:rsidRPr="00F406FB">
        <w:rPr>
          <w:u w:val="none"/>
        </w:rPr>
        <w:t>Support Staff, as set out in the NJC Green Book – Local Government Services National Agreement on Pay and Conditions</w:t>
      </w:r>
      <w:r w:rsidR="00835FA5" w:rsidRPr="00F406FB">
        <w:rPr>
          <w:u w:val="none"/>
        </w:rPr>
        <w:t xml:space="preserve"> and the application of the Nottinghamshire Job </w:t>
      </w:r>
      <w:r w:rsidR="00050EC9" w:rsidRPr="00F406FB">
        <w:rPr>
          <w:u w:val="none"/>
        </w:rPr>
        <w:t>E</w:t>
      </w:r>
      <w:r w:rsidR="00835FA5" w:rsidRPr="00F406FB">
        <w:rPr>
          <w:u w:val="none"/>
        </w:rPr>
        <w:t>valuation Scheme</w:t>
      </w:r>
      <w:r w:rsidRPr="00F406FB">
        <w:rPr>
          <w:u w:val="none"/>
        </w:rPr>
        <w:t xml:space="preserve">.   </w:t>
      </w:r>
    </w:p>
    <w:p w14:paraId="229979BD" w14:textId="77777777" w:rsidR="00050EC9" w:rsidRPr="00F406FB" w:rsidRDefault="00050EC9" w:rsidP="00396DA7">
      <w:pPr>
        <w:spacing w:after="0"/>
        <w:jc w:val="both"/>
        <w:rPr>
          <w:u w:val="none"/>
        </w:rPr>
      </w:pPr>
    </w:p>
    <w:p w14:paraId="74E01F8C" w14:textId="77777777" w:rsidR="00185902" w:rsidRPr="00F406FB" w:rsidRDefault="00185902" w:rsidP="00AB634E">
      <w:pPr>
        <w:spacing w:after="0"/>
        <w:rPr>
          <w:u w:val="none"/>
        </w:rPr>
      </w:pPr>
      <w:r w:rsidRPr="00F406FB">
        <w:rPr>
          <w:u w:val="none"/>
        </w:rPr>
        <w:t>The governing body has the following resp</w:t>
      </w:r>
      <w:r w:rsidR="00050EC9" w:rsidRPr="00F406FB">
        <w:rPr>
          <w:u w:val="none"/>
        </w:rPr>
        <w:t xml:space="preserve">onsibilities in determining </w:t>
      </w:r>
      <w:proofErr w:type="gramStart"/>
      <w:r w:rsidR="00050EC9" w:rsidRPr="00F406FB">
        <w:rPr>
          <w:u w:val="none"/>
        </w:rPr>
        <w:t>pay;</w:t>
      </w:r>
      <w:proofErr w:type="gramEnd"/>
    </w:p>
    <w:p w14:paraId="55274089" w14:textId="77777777" w:rsidR="00050EC9" w:rsidRPr="00F406FB" w:rsidRDefault="00050EC9" w:rsidP="00AB634E">
      <w:pPr>
        <w:spacing w:after="0"/>
        <w:ind w:left="284"/>
        <w:rPr>
          <w:u w:val="none"/>
        </w:rPr>
      </w:pPr>
    </w:p>
    <w:p w14:paraId="5DE39937" w14:textId="2FB422E4" w:rsidR="00185902" w:rsidRPr="00F406FB" w:rsidRDefault="00185902" w:rsidP="00AB634E">
      <w:pPr>
        <w:pStyle w:val="ListParagraph"/>
        <w:numPr>
          <w:ilvl w:val="0"/>
          <w:numId w:val="8"/>
        </w:numPr>
        <w:spacing w:after="0"/>
        <w:ind w:left="284" w:hanging="284"/>
        <w:rPr>
          <w:u w:val="none"/>
        </w:rPr>
      </w:pPr>
      <w:r w:rsidRPr="00F406FB">
        <w:rPr>
          <w:u w:val="none"/>
        </w:rPr>
        <w:lastRenderedPageBreak/>
        <w:t xml:space="preserve">Consider and adopt appraisal and pay policies </w:t>
      </w:r>
      <w:r w:rsidR="00F839F7" w:rsidRPr="00F406FB">
        <w:rPr>
          <w:u w:val="none"/>
        </w:rPr>
        <w:t xml:space="preserve">and any updates </w:t>
      </w:r>
      <w:r w:rsidR="003A1A92">
        <w:rPr>
          <w:u w:val="none"/>
        </w:rPr>
        <w:t xml:space="preserve">which </w:t>
      </w:r>
      <w:r w:rsidRPr="00F406FB">
        <w:rPr>
          <w:u w:val="none"/>
        </w:rPr>
        <w:t>a</w:t>
      </w:r>
      <w:r w:rsidR="00050EC9" w:rsidRPr="00F406FB">
        <w:rPr>
          <w:u w:val="none"/>
        </w:rPr>
        <w:t>re robust, transparent and fair.</w:t>
      </w:r>
    </w:p>
    <w:p w14:paraId="7F79BDD3" w14:textId="70B97419" w:rsidR="0055722F" w:rsidRPr="00F406FB" w:rsidRDefault="0055722F" w:rsidP="00AB634E">
      <w:pPr>
        <w:pStyle w:val="ListParagraph"/>
        <w:numPr>
          <w:ilvl w:val="0"/>
          <w:numId w:val="8"/>
        </w:numPr>
        <w:spacing w:after="0"/>
        <w:ind w:left="284" w:hanging="284"/>
        <w:rPr>
          <w:u w:val="none"/>
        </w:rPr>
      </w:pPr>
      <w:r w:rsidRPr="00F406FB">
        <w:rPr>
          <w:u w:val="none"/>
        </w:rPr>
        <w:t>Ensure appraisal and pay policies minimise the impact on headteachers and teacher workload.</w:t>
      </w:r>
    </w:p>
    <w:p w14:paraId="7C74489A" w14:textId="65AD2EEB" w:rsidR="00185902" w:rsidRPr="00F406FB" w:rsidRDefault="00835FA5" w:rsidP="00AB634E">
      <w:pPr>
        <w:pStyle w:val="ListParagraph"/>
        <w:numPr>
          <w:ilvl w:val="0"/>
          <w:numId w:val="8"/>
        </w:numPr>
        <w:spacing w:after="0"/>
        <w:ind w:left="284" w:hanging="284"/>
        <w:rPr>
          <w:u w:val="none"/>
        </w:rPr>
      </w:pPr>
      <w:r w:rsidRPr="00F406FB">
        <w:rPr>
          <w:u w:val="none"/>
        </w:rPr>
        <w:t>Consider recommendations from the headteacher and d</w:t>
      </w:r>
      <w:r w:rsidR="00185902" w:rsidRPr="00F406FB">
        <w:rPr>
          <w:u w:val="none"/>
        </w:rPr>
        <w:t>etermine the extent to which specific functions should be delegated to the appraiser, the headteacher and the governing body.</w:t>
      </w:r>
    </w:p>
    <w:p w14:paraId="14122D04" w14:textId="77777777" w:rsidR="003B7756" w:rsidRPr="00F406FB" w:rsidRDefault="003B7756" w:rsidP="00396DA7">
      <w:pPr>
        <w:pStyle w:val="ListParagraph"/>
        <w:spacing w:after="0"/>
        <w:ind w:left="284"/>
        <w:jc w:val="both"/>
        <w:rPr>
          <w:u w:val="none"/>
        </w:rPr>
      </w:pPr>
    </w:p>
    <w:p w14:paraId="1855A9AE" w14:textId="77777777" w:rsidR="00835FA5" w:rsidRPr="00F406FB" w:rsidRDefault="00835FA5" w:rsidP="00AB634E">
      <w:pPr>
        <w:pStyle w:val="ListParagraph"/>
        <w:spacing w:after="0"/>
        <w:ind w:left="284"/>
        <w:rPr>
          <w:u w:val="none"/>
        </w:rPr>
      </w:pPr>
      <w:r w:rsidRPr="00F406FB">
        <w:rPr>
          <w:u w:val="none"/>
        </w:rPr>
        <w:t xml:space="preserve">The governing body </w:t>
      </w:r>
      <w:r w:rsidR="0024100E" w:rsidRPr="00F406FB">
        <w:rPr>
          <w:u w:val="none"/>
        </w:rPr>
        <w:t>should</w:t>
      </w:r>
      <w:r w:rsidRPr="00F406FB">
        <w:rPr>
          <w:u w:val="none"/>
        </w:rPr>
        <w:t xml:space="preserve"> est</w:t>
      </w:r>
      <w:r w:rsidR="00050EC9" w:rsidRPr="00F406FB">
        <w:rPr>
          <w:u w:val="none"/>
        </w:rPr>
        <w:t xml:space="preserve">ablish the following </w:t>
      </w:r>
      <w:proofErr w:type="gramStart"/>
      <w:r w:rsidR="00050EC9" w:rsidRPr="00F406FB">
        <w:rPr>
          <w:u w:val="none"/>
        </w:rPr>
        <w:t>committees;</w:t>
      </w:r>
      <w:proofErr w:type="gramEnd"/>
    </w:p>
    <w:p w14:paraId="295B26AB" w14:textId="77777777" w:rsidR="003B7756" w:rsidRPr="00F406FB" w:rsidRDefault="003B7756" w:rsidP="00AB634E">
      <w:pPr>
        <w:pStyle w:val="ListParagraph"/>
        <w:spacing w:after="0"/>
        <w:ind w:left="284"/>
        <w:rPr>
          <w:u w:val="none"/>
        </w:rPr>
      </w:pPr>
    </w:p>
    <w:p w14:paraId="28E73947" w14:textId="45C43CB0" w:rsidR="00050EC9" w:rsidRPr="00705394" w:rsidRDefault="00835FA5" w:rsidP="00AB634E">
      <w:pPr>
        <w:pStyle w:val="ListParagraph"/>
        <w:numPr>
          <w:ilvl w:val="0"/>
          <w:numId w:val="18"/>
        </w:numPr>
        <w:spacing w:after="0"/>
        <w:ind w:left="709" w:hanging="283"/>
        <w:rPr>
          <w:rFonts w:eastAsia="Times New Roman"/>
          <w:snapToGrid w:val="0"/>
          <w:u w:val="none"/>
        </w:rPr>
      </w:pPr>
      <w:r w:rsidRPr="00F406FB">
        <w:rPr>
          <w:b/>
          <w:u w:val="none"/>
        </w:rPr>
        <w:t xml:space="preserve">Pay Committee </w:t>
      </w:r>
      <w:r w:rsidRPr="00F406FB">
        <w:rPr>
          <w:u w:val="none"/>
        </w:rPr>
        <w:t>– set up in accordance with the school delegated Decision Planner</w:t>
      </w:r>
      <w:r w:rsidR="00050EC9" w:rsidRPr="00F406FB">
        <w:rPr>
          <w:u w:val="none"/>
        </w:rPr>
        <w:t>.</w:t>
      </w:r>
      <w:r w:rsidRPr="00F406FB">
        <w:rPr>
          <w:u w:val="none"/>
        </w:rPr>
        <w:t xml:space="preserve"> </w:t>
      </w:r>
      <w:r w:rsidR="00050EC9" w:rsidRPr="00F406FB">
        <w:rPr>
          <w:u w:val="none"/>
        </w:rPr>
        <w:t xml:space="preserve"> </w:t>
      </w:r>
      <w:r w:rsidR="009B7BAA" w:rsidRPr="00F406FB">
        <w:rPr>
          <w:rFonts w:eastAsia="Times New Roman"/>
          <w:snapToGrid w:val="0"/>
          <w:u w:val="none"/>
        </w:rPr>
        <w:t xml:space="preserve">The terms of reference for the </w:t>
      </w:r>
      <w:r w:rsidR="009B7BAA" w:rsidRPr="00F406FB">
        <w:rPr>
          <w:rFonts w:eastAsia="Times New Roman" w:cs="Times New Roman"/>
          <w:snapToGrid w:val="0"/>
          <w:u w:val="none"/>
        </w:rPr>
        <w:t xml:space="preserve">Pay </w:t>
      </w:r>
      <w:r w:rsidR="009B7BAA" w:rsidRPr="00F406FB">
        <w:rPr>
          <w:rFonts w:eastAsia="Times New Roman"/>
          <w:snapToGrid w:val="0"/>
          <w:u w:val="none"/>
        </w:rPr>
        <w:t xml:space="preserve">Committee are set </w:t>
      </w:r>
      <w:r w:rsidR="009B7BAA" w:rsidRPr="00705394">
        <w:rPr>
          <w:rFonts w:eastAsia="Times New Roman"/>
          <w:snapToGrid w:val="0"/>
          <w:u w:val="none"/>
        </w:rPr>
        <w:t xml:space="preserve">out in </w:t>
      </w:r>
      <w:r w:rsidR="00A14334" w:rsidRPr="00705394">
        <w:rPr>
          <w:rFonts w:eastAsia="Times New Roman"/>
          <w:snapToGrid w:val="0"/>
          <w:u w:val="none"/>
        </w:rPr>
        <w:t xml:space="preserve">Pay Policy </w:t>
      </w:r>
      <w:r w:rsidR="003E193A" w:rsidRPr="00705394">
        <w:rPr>
          <w:rFonts w:eastAsia="Times New Roman"/>
          <w:snapToGrid w:val="0"/>
          <w:u w:val="none"/>
        </w:rPr>
        <w:t xml:space="preserve">Toolkit </w:t>
      </w:r>
      <w:r w:rsidR="009B7BAA" w:rsidRPr="00705394">
        <w:rPr>
          <w:rFonts w:eastAsia="Times New Roman"/>
          <w:snapToGrid w:val="0"/>
          <w:u w:val="none"/>
        </w:rPr>
        <w:t>Appendix 1</w:t>
      </w:r>
      <w:r w:rsidR="00AA5911" w:rsidRPr="00705394">
        <w:rPr>
          <w:rFonts w:eastAsia="Times New Roman"/>
          <w:snapToGrid w:val="0"/>
          <w:u w:val="none"/>
        </w:rPr>
        <w:t>3</w:t>
      </w:r>
      <w:r w:rsidR="00050EC9" w:rsidRPr="00705394">
        <w:rPr>
          <w:rFonts w:eastAsia="Times New Roman"/>
          <w:snapToGrid w:val="0"/>
          <w:u w:val="none"/>
        </w:rPr>
        <w:t>.</w:t>
      </w:r>
    </w:p>
    <w:p w14:paraId="498D1363" w14:textId="77777777" w:rsidR="00050EC9" w:rsidRPr="00705394" w:rsidRDefault="00835FA5" w:rsidP="00AB634E">
      <w:pPr>
        <w:pStyle w:val="ListParagraph"/>
        <w:numPr>
          <w:ilvl w:val="0"/>
          <w:numId w:val="18"/>
        </w:numPr>
        <w:spacing w:after="0"/>
        <w:ind w:left="709" w:hanging="283"/>
        <w:rPr>
          <w:rFonts w:eastAsia="Times New Roman"/>
          <w:snapToGrid w:val="0"/>
          <w:u w:val="none"/>
        </w:rPr>
      </w:pPr>
      <w:r w:rsidRPr="00705394">
        <w:rPr>
          <w:b/>
          <w:u w:val="none"/>
        </w:rPr>
        <w:t>Pay Appeal Committee</w:t>
      </w:r>
      <w:r w:rsidRPr="00705394">
        <w:rPr>
          <w:u w:val="none"/>
        </w:rPr>
        <w:t xml:space="preserve"> – </w:t>
      </w:r>
      <w:r w:rsidR="00050EC9" w:rsidRPr="00705394">
        <w:rPr>
          <w:u w:val="none"/>
        </w:rPr>
        <w:t xml:space="preserve">specifically for </w:t>
      </w:r>
      <w:r w:rsidRPr="00705394">
        <w:rPr>
          <w:u w:val="none"/>
        </w:rPr>
        <w:t>Sta</w:t>
      </w:r>
      <w:r w:rsidR="00050EC9" w:rsidRPr="00705394">
        <w:rPr>
          <w:u w:val="none"/>
        </w:rPr>
        <w:t xml:space="preserve">ge 3 of the Pay Appeals Process.  </w:t>
      </w:r>
      <w:r w:rsidR="009B7BAA" w:rsidRPr="00705394">
        <w:rPr>
          <w:u w:val="none"/>
        </w:rPr>
        <w:t xml:space="preserve">The terms of reference for the </w:t>
      </w:r>
      <w:r w:rsidR="009B7BAA" w:rsidRPr="00705394">
        <w:rPr>
          <w:rFonts w:eastAsia="Times New Roman" w:cs="Times New Roman"/>
          <w:snapToGrid w:val="0"/>
          <w:u w:val="none"/>
        </w:rPr>
        <w:t xml:space="preserve">Pay </w:t>
      </w:r>
      <w:r w:rsidR="009B7BAA" w:rsidRPr="00705394">
        <w:rPr>
          <w:rFonts w:eastAsia="Times New Roman"/>
          <w:snapToGrid w:val="0"/>
          <w:u w:val="none"/>
        </w:rPr>
        <w:t xml:space="preserve">Appeals Committee are set out in </w:t>
      </w:r>
      <w:r w:rsidR="003E193A" w:rsidRPr="00705394">
        <w:rPr>
          <w:rFonts w:eastAsia="Times New Roman"/>
          <w:snapToGrid w:val="0"/>
          <w:u w:val="none"/>
        </w:rPr>
        <w:t xml:space="preserve">Toolkit </w:t>
      </w:r>
      <w:r w:rsidR="009B7BAA" w:rsidRPr="00705394">
        <w:rPr>
          <w:rFonts w:eastAsia="Times New Roman"/>
          <w:snapToGrid w:val="0"/>
          <w:u w:val="none"/>
        </w:rPr>
        <w:t xml:space="preserve">Appendix </w:t>
      </w:r>
      <w:r w:rsidR="00AA5911" w:rsidRPr="00705394">
        <w:rPr>
          <w:rFonts w:eastAsia="Times New Roman"/>
          <w:snapToGrid w:val="0"/>
          <w:u w:val="none"/>
        </w:rPr>
        <w:t>14</w:t>
      </w:r>
    </w:p>
    <w:p w14:paraId="442D9874" w14:textId="7E707452" w:rsidR="00835FA5" w:rsidRPr="00705394" w:rsidRDefault="00835FA5" w:rsidP="00AB634E">
      <w:pPr>
        <w:pStyle w:val="ListParagraph"/>
        <w:numPr>
          <w:ilvl w:val="0"/>
          <w:numId w:val="18"/>
        </w:numPr>
        <w:spacing w:after="0"/>
        <w:ind w:left="709" w:hanging="283"/>
        <w:rPr>
          <w:rFonts w:eastAsia="Times New Roman"/>
          <w:snapToGrid w:val="0"/>
          <w:u w:val="none"/>
        </w:rPr>
      </w:pPr>
      <w:r w:rsidRPr="00705394">
        <w:rPr>
          <w:b/>
          <w:u w:val="none"/>
        </w:rPr>
        <w:t>Head</w:t>
      </w:r>
      <w:r w:rsidR="00A14334" w:rsidRPr="00705394">
        <w:rPr>
          <w:b/>
          <w:u w:val="none"/>
        </w:rPr>
        <w:t>t</w:t>
      </w:r>
      <w:r w:rsidRPr="00705394">
        <w:rPr>
          <w:b/>
          <w:u w:val="none"/>
        </w:rPr>
        <w:t xml:space="preserve">eacher Appraisal Committee   </w:t>
      </w:r>
    </w:p>
    <w:p w14:paraId="243E6BAA" w14:textId="77777777" w:rsidR="003B7756" w:rsidRPr="00705394" w:rsidRDefault="003B7756" w:rsidP="00AB634E">
      <w:pPr>
        <w:pStyle w:val="ListParagraph"/>
        <w:spacing w:after="0"/>
        <w:ind w:left="284"/>
        <w:rPr>
          <w:b/>
          <w:u w:val="none"/>
        </w:rPr>
      </w:pPr>
    </w:p>
    <w:p w14:paraId="09B52437" w14:textId="46F4E107" w:rsidR="00185902" w:rsidRPr="00705394" w:rsidRDefault="00185902" w:rsidP="00AB634E">
      <w:pPr>
        <w:spacing w:after="0"/>
        <w:ind w:left="284"/>
        <w:rPr>
          <w:u w:val="none"/>
        </w:rPr>
      </w:pPr>
      <w:r w:rsidRPr="00705394">
        <w:rPr>
          <w:u w:val="none"/>
        </w:rPr>
        <w:t xml:space="preserve">The School Governance (Procedures) (England) Regulations 2003 allow the governing body to delegate pay </w:t>
      </w:r>
      <w:r w:rsidR="00C21432" w:rsidRPr="00705394">
        <w:rPr>
          <w:u w:val="none"/>
        </w:rPr>
        <w:t xml:space="preserve">recommendations, based on the outcome of the appraisal cycle </w:t>
      </w:r>
      <w:r w:rsidRPr="00705394">
        <w:rPr>
          <w:u w:val="none"/>
        </w:rPr>
        <w:t xml:space="preserve">to the headteacher or a single governor.  Governing bodies should consult their articles of governance to ensure that arrangements are properly set up for the school and the local authority advice is that the governing body should delegate the powers to a committee, comprising of three governors (the Pay Committee), who should </w:t>
      </w:r>
      <w:r w:rsidR="00A14334" w:rsidRPr="00705394">
        <w:rPr>
          <w:u w:val="none"/>
        </w:rPr>
        <w:t xml:space="preserve">make decisions </w:t>
      </w:r>
      <w:r w:rsidRPr="00705394">
        <w:rPr>
          <w:u w:val="none"/>
        </w:rPr>
        <w:t>in accordance with the school pay policy.</w:t>
      </w:r>
    </w:p>
    <w:p w14:paraId="053B0217" w14:textId="77777777" w:rsidR="003B7756" w:rsidRPr="00705394" w:rsidRDefault="003B7756" w:rsidP="00396DA7">
      <w:pPr>
        <w:spacing w:after="0"/>
        <w:ind w:left="426" w:firstLine="284"/>
        <w:jc w:val="both"/>
        <w:rPr>
          <w:u w:val="none"/>
        </w:rPr>
      </w:pPr>
    </w:p>
    <w:p w14:paraId="43CBD0FF" w14:textId="6367AF2B" w:rsidR="00185902" w:rsidRPr="00705394" w:rsidRDefault="00185902" w:rsidP="007D11E0">
      <w:pPr>
        <w:spacing w:after="0"/>
        <w:ind w:left="284"/>
        <w:rPr>
          <w:rFonts w:eastAsia="Times New Roman" w:cs="Times New Roman"/>
          <w:snapToGrid w:val="0"/>
          <w:u w:val="none"/>
        </w:rPr>
      </w:pPr>
      <w:r w:rsidRPr="00705394">
        <w:rPr>
          <w:u w:val="none"/>
        </w:rPr>
        <w:t xml:space="preserve">There is no requirement for the composition of the governing body pay committee (if there is one already established) to be revised </w:t>
      </w:r>
      <w:r w:rsidR="00601CA1" w:rsidRPr="00705394">
        <w:rPr>
          <w:u w:val="none"/>
        </w:rPr>
        <w:t>because of</w:t>
      </w:r>
      <w:r w:rsidRPr="00705394">
        <w:rPr>
          <w:u w:val="none"/>
        </w:rPr>
        <w:t xml:space="preserve"> the</w:t>
      </w:r>
      <w:r w:rsidR="004E433E" w:rsidRPr="00705394">
        <w:rPr>
          <w:u w:val="none"/>
        </w:rPr>
        <w:t>se responsibilities</w:t>
      </w:r>
      <w:r w:rsidRPr="00705394">
        <w:rPr>
          <w:u w:val="none"/>
        </w:rPr>
        <w:t xml:space="preserve">.  All members of the governing body, including teachers and support staff governors, carry equal responsibility for decisions taken by the governing body. </w:t>
      </w:r>
      <w:r w:rsidR="0039570F" w:rsidRPr="00705394">
        <w:rPr>
          <w:u w:val="none"/>
        </w:rPr>
        <w:t xml:space="preserve"> </w:t>
      </w:r>
      <w:r w:rsidRPr="00705394">
        <w:rPr>
          <w:u w:val="none"/>
        </w:rPr>
        <w:t xml:space="preserve">However, consideration should be given to any issues relating to potential conflict of interest. </w:t>
      </w:r>
      <w:r w:rsidR="0039570F" w:rsidRPr="00705394">
        <w:rPr>
          <w:u w:val="none"/>
        </w:rPr>
        <w:t xml:space="preserve"> </w:t>
      </w:r>
      <w:r w:rsidRPr="00705394">
        <w:rPr>
          <w:u w:val="none"/>
        </w:rPr>
        <w:t>In general, staff governors should not be excluded from meetings or given restricted voting rights, where matters relating to pay are discussed unless this refers to named individual(s).</w:t>
      </w:r>
      <w:r w:rsidR="0039570F" w:rsidRPr="00705394">
        <w:rPr>
          <w:u w:val="none"/>
        </w:rPr>
        <w:t xml:space="preserve">  </w:t>
      </w:r>
      <w:r w:rsidR="00AA5911" w:rsidRPr="00705394">
        <w:rPr>
          <w:u w:val="none"/>
        </w:rPr>
        <w:t xml:space="preserve">For this reason, </w:t>
      </w:r>
      <w:r w:rsidRPr="00705394">
        <w:rPr>
          <w:u w:val="none"/>
        </w:rPr>
        <w:t>staff governors</w:t>
      </w:r>
      <w:r w:rsidR="0039570F" w:rsidRPr="00705394">
        <w:rPr>
          <w:u w:val="none"/>
        </w:rPr>
        <w:t>,</w:t>
      </w:r>
      <w:r w:rsidRPr="00705394">
        <w:rPr>
          <w:u w:val="none"/>
        </w:rPr>
        <w:t xml:space="preserve"> </w:t>
      </w:r>
      <w:r w:rsidR="003B2F41" w:rsidRPr="00705394">
        <w:rPr>
          <w:u w:val="none"/>
        </w:rPr>
        <w:t>or relatives of staff</w:t>
      </w:r>
      <w:r w:rsidR="0039570F" w:rsidRPr="00705394">
        <w:rPr>
          <w:u w:val="none"/>
        </w:rPr>
        <w:t>,</w:t>
      </w:r>
      <w:r w:rsidR="003B2F41" w:rsidRPr="00705394">
        <w:rPr>
          <w:u w:val="none"/>
        </w:rPr>
        <w:t xml:space="preserve"> </w:t>
      </w:r>
      <w:r w:rsidR="00AB634E" w:rsidRPr="00705394">
        <w:rPr>
          <w:u w:val="none"/>
        </w:rPr>
        <w:t xml:space="preserve">should not be </w:t>
      </w:r>
      <w:r w:rsidRPr="00705394">
        <w:rPr>
          <w:u w:val="none"/>
        </w:rPr>
        <w:t>on the Pay Committee.</w:t>
      </w:r>
      <w:r w:rsidR="006E42C1" w:rsidRPr="00705394">
        <w:rPr>
          <w:u w:val="none"/>
        </w:rPr>
        <w:t xml:space="preserve"> </w:t>
      </w:r>
      <w:r w:rsidR="0039570F" w:rsidRPr="00705394">
        <w:rPr>
          <w:u w:val="none"/>
        </w:rPr>
        <w:t xml:space="preserve"> </w:t>
      </w:r>
      <w:r w:rsidR="006E42C1" w:rsidRPr="00705394">
        <w:rPr>
          <w:rFonts w:eastAsia="Times New Roman" w:cs="Times New Roman"/>
          <w:snapToGrid w:val="0"/>
          <w:u w:val="none"/>
        </w:rPr>
        <w:t xml:space="preserve">Governors should satisfy themselves that any recommendation/decision </w:t>
      </w:r>
      <w:r w:rsidR="00AB634E" w:rsidRPr="00705394">
        <w:rPr>
          <w:rFonts w:eastAsia="Times New Roman" w:cs="Times New Roman"/>
          <w:snapToGrid w:val="0"/>
          <w:u w:val="none"/>
        </w:rPr>
        <w:t xml:space="preserve">are made without any pecuniary interest </w:t>
      </w:r>
      <w:r w:rsidR="007D11E0" w:rsidRPr="00705394">
        <w:rPr>
          <w:rFonts w:eastAsia="Times New Roman" w:cs="Times New Roman"/>
          <w:snapToGrid w:val="0"/>
          <w:u w:val="none"/>
        </w:rPr>
        <w:t xml:space="preserve">and </w:t>
      </w:r>
      <w:r w:rsidR="00A14334" w:rsidRPr="00705394">
        <w:rPr>
          <w:rFonts w:eastAsia="Times New Roman" w:cs="Times New Roman"/>
          <w:snapToGrid w:val="0"/>
          <w:u w:val="none"/>
        </w:rPr>
        <w:t>based on</w:t>
      </w:r>
      <w:r w:rsidR="006E42C1" w:rsidRPr="00705394">
        <w:rPr>
          <w:rFonts w:eastAsia="Times New Roman" w:cs="Times New Roman"/>
          <w:snapToGrid w:val="0"/>
          <w:u w:val="none"/>
        </w:rPr>
        <w:t xml:space="preserve"> evidence and in accordance with this policy, and that correct procedures</w:t>
      </w:r>
      <w:r w:rsidR="0039570F" w:rsidRPr="00705394">
        <w:rPr>
          <w:rFonts w:eastAsia="Times New Roman" w:cs="Times New Roman"/>
          <w:snapToGrid w:val="0"/>
          <w:u w:val="none"/>
        </w:rPr>
        <w:t xml:space="preserve"> </w:t>
      </w:r>
      <w:r w:rsidR="00A14334" w:rsidRPr="00705394">
        <w:rPr>
          <w:rFonts w:eastAsia="Times New Roman" w:cs="Times New Roman"/>
          <w:snapToGrid w:val="0"/>
          <w:u w:val="none"/>
        </w:rPr>
        <w:t xml:space="preserve">are </w:t>
      </w:r>
      <w:r w:rsidR="006E42C1" w:rsidRPr="00705394">
        <w:rPr>
          <w:rFonts w:eastAsia="Times New Roman" w:cs="Times New Roman"/>
          <w:snapToGrid w:val="0"/>
          <w:u w:val="none"/>
        </w:rPr>
        <w:t xml:space="preserve">followed.  </w:t>
      </w:r>
    </w:p>
    <w:p w14:paraId="7D1D99A7" w14:textId="77777777" w:rsidR="003B7756" w:rsidRPr="00705394" w:rsidRDefault="003B7756" w:rsidP="007D11E0">
      <w:pPr>
        <w:spacing w:after="0"/>
        <w:ind w:firstLine="284"/>
        <w:rPr>
          <w:u w:val="none"/>
        </w:rPr>
      </w:pPr>
    </w:p>
    <w:p w14:paraId="43C00D26" w14:textId="00FC277B" w:rsidR="007D11E0" w:rsidRPr="00705394" w:rsidRDefault="00185902" w:rsidP="007D11E0">
      <w:pPr>
        <w:spacing w:after="0"/>
        <w:ind w:left="284"/>
        <w:rPr>
          <w:u w:val="none"/>
        </w:rPr>
      </w:pPr>
      <w:r w:rsidRPr="00705394">
        <w:rPr>
          <w:u w:val="none"/>
        </w:rPr>
        <w:t>Where pay decisions are considered</w:t>
      </w:r>
      <w:r w:rsidR="00AA5911" w:rsidRPr="00705394">
        <w:rPr>
          <w:u w:val="none"/>
        </w:rPr>
        <w:t>,</w:t>
      </w:r>
      <w:r w:rsidRPr="00705394">
        <w:rPr>
          <w:u w:val="none"/>
        </w:rPr>
        <w:t xml:space="preserve"> the </w:t>
      </w:r>
      <w:r w:rsidR="00AA5911" w:rsidRPr="00705394">
        <w:rPr>
          <w:u w:val="none"/>
        </w:rPr>
        <w:t xml:space="preserve">relevant </w:t>
      </w:r>
      <w:r w:rsidRPr="00705394">
        <w:rPr>
          <w:u w:val="none"/>
        </w:rPr>
        <w:t xml:space="preserve">committee should </w:t>
      </w:r>
      <w:r w:rsidR="00AA5911" w:rsidRPr="00705394">
        <w:rPr>
          <w:u w:val="none"/>
        </w:rPr>
        <w:t xml:space="preserve">familiarise themselves and </w:t>
      </w:r>
      <w:r w:rsidRPr="00705394">
        <w:rPr>
          <w:u w:val="none"/>
        </w:rPr>
        <w:t xml:space="preserve">have </w:t>
      </w:r>
      <w:r w:rsidR="00AA5911" w:rsidRPr="00705394">
        <w:rPr>
          <w:u w:val="none"/>
        </w:rPr>
        <w:t xml:space="preserve">access to a </w:t>
      </w:r>
      <w:r w:rsidRPr="00705394">
        <w:rPr>
          <w:u w:val="none"/>
        </w:rPr>
        <w:t xml:space="preserve">copy of the school’s Pay Policy, the Appraisal Policy and the most recent version of the STPCD </w:t>
      </w:r>
      <w:r w:rsidR="00D64A71" w:rsidRPr="00705394">
        <w:rPr>
          <w:u w:val="none"/>
        </w:rPr>
        <w:t xml:space="preserve">and </w:t>
      </w:r>
      <w:r w:rsidRPr="00705394">
        <w:rPr>
          <w:u w:val="none"/>
        </w:rPr>
        <w:t>associated guidance.  All pay decisions</w:t>
      </w:r>
      <w:r w:rsidR="0039570F" w:rsidRPr="00705394">
        <w:rPr>
          <w:u w:val="none"/>
        </w:rPr>
        <w:t xml:space="preserve"> </w:t>
      </w:r>
      <w:r w:rsidRPr="00705394">
        <w:rPr>
          <w:u w:val="none"/>
        </w:rPr>
        <w:t xml:space="preserve">should be carefully documented with a clear audit trail and, where necessary, advice should be obtained from the HR Service prior to </w:t>
      </w:r>
      <w:r w:rsidR="00D64A71" w:rsidRPr="00705394">
        <w:rPr>
          <w:u w:val="none"/>
        </w:rPr>
        <w:t>decisions being taken</w:t>
      </w:r>
      <w:r w:rsidRPr="00705394">
        <w:rPr>
          <w:u w:val="none"/>
        </w:rPr>
        <w:t>.</w:t>
      </w:r>
    </w:p>
    <w:p w14:paraId="04DB5217" w14:textId="77777777" w:rsidR="007948DF" w:rsidRPr="00705394" w:rsidRDefault="007948DF" w:rsidP="007D11E0">
      <w:pPr>
        <w:spacing w:after="0"/>
        <w:ind w:left="284"/>
        <w:rPr>
          <w:u w:val="none"/>
        </w:rPr>
      </w:pPr>
    </w:p>
    <w:p w14:paraId="5B8FFAB0" w14:textId="59EDCA06" w:rsidR="009339EB" w:rsidRPr="00705394" w:rsidRDefault="003B41E0" w:rsidP="007D11E0">
      <w:pPr>
        <w:pStyle w:val="ListParagraph"/>
        <w:numPr>
          <w:ilvl w:val="0"/>
          <w:numId w:val="8"/>
        </w:numPr>
        <w:spacing w:after="0"/>
        <w:ind w:left="284"/>
        <w:rPr>
          <w:u w:val="none"/>
        </w:rPr>
      </w:pPr>
      <w:r w:rsidRPr="00705394">
        <w:rPr>
          <w:u w:val="none"/>
        </w:rPr>
        <w:t>Be accountable and e</w:t>
      </w:r>
      <w:r w:rsidR="00185902" w:rsidRPr="00705394">
        <w:rPr>
          <w:u w:val="none"/>
        </w:rPr>
        <w:t>nsure that pay decisions and the appraisal process for all teachers including the headteacher and the leadership team, are applied consistently a</w:t>
      </w:r>
      <w:r w:rsidRPr="00705394">
        <w:rPr>
          <w:u w:val="none"/>
        </w:rPr>
        <w:t>nd can be objectively justified.</w:t>
      </w:r>
      <w:r w:rsidR="0039570F" w:rsidRPr="00705394">
        <w:rPr>
          <w:u w:val="none"/>
        </w:rPr>
        <w:t xml:space="preserve"> </w:t>
      </w:r>
      <w:r w:rsidR="007F1DFF" w:rsidRPr="00705394">
        <w:rPr>
          <w:u w:val="none"/>
        </w:rPr>
        <w:t xml:space="preserve">Governors </w:t>
      </w:r>
      <w:r w:rsidR="007F1DFF" w:rsidRPr="00705394">
        <w:rPr>
          <w:b/>
          <w:u w:val="none"/>
        </w:rPr>
        <w:t>must</w:t>
      </w:r>
      <w:r w:rsidR="007F1DFF" w:rsidRPr="00705394">
        <w:rPr>
          <w:u w:val="none"/>
        </w:rPr>
        <w:t xml:space="preserve"> c</w:t>
      </w:r>
      <w:r w:rsidR="003E42F7" w:rsidRPr="00705394">
        <w:rPr>
          <w:u w:val="none"/>
        </w:rPr>
        <w:t xml:space="preserve">onsider and where appropriate, </w:t>
      </w:r>
      <w:r w:rsidR="003E42F7" w:rsidRPr="00705394">
        <w:rPr>
          <w:u w:val="none"/>
        </w:rPr>
        <w:lastRenderedPageBreak/>
        <w:t>approve increases to</w:t>
      </w:r>
      <w:r w:rsidR="00185902" w:rsidRPr="00705394">
        <w:rPr>
          <w:u w:val="none"/>
        </w:rPr>
        <w:t xml:space="preserve"> teachers’ salaries based on recommendations from the headteacher and the senior leadership team in accordance with the </w:t>
      </w:r>
      <w:r w:rsidR="007F1DFF" w:rsidRPr="00705394">
        <w:rPr>
          <w:u w:val="none"/>
        </w:rPr>
        <w:t xml:space="preserve">STPCD and their </w:t>
      </w:r>
      <w:r w:rsidR="00185902" w:rsidRPr="00705394">
        <w:rPr>
          <w:u w:val="none"/>
        </w:rPr>
        <w:t xml:space="preserve">pay policy. </w:t>
      </w:r>
      <w:r w:rsidR="009339EB" w:rsidRPr="00705394">
        <w:rPr>
          <w:u w:val="none"/>
        </w:rPr>
        <w:t xml:space="preserve"> </w:t>
      </w:r>
      <w:r w:rsidR="003E42F7" w:rsidRPr="00705394">
        <w:rPr>
          <w:u w:val="none"/>
        </w:rPr>
        <w:t>Bearing in mind the need to minimise workloads, the</w:t>
      </w:r>
      <w:r w:rsidR="00185902" w:rsidRPr="00705394">
        <w:rPr>
          <w:u w:val="none"/>
        </w:rPr>
        <w:t xml:space="preserve"> governing body must decide what information it requires fr</w:t>
      </w:r>
      <w:r w:rsidR="00823034" w:rsidRPr="00705394">
        <w:rPr>
          <w:u w:val="none"/>
        </w:rPr>
        <w:t>o</w:t>
      </w:r>
      <w:r w:rsidR="00185902" w:rsidRPr="00705394">
        <w:rPr>
          <w:u w:val="none"/>
        </w:rPr>
        <w:t xml:space="preserve">m the headteacher so that it can be satisfied that all pay recommendations </w:t>
      </w:r>
      <w:r w:rsidR="003A1A92" w:rsidRPr="00705394">
        <w:rPr>
          <w:u w:val="none"/>
        </w:rPr>
        <w:t>are</w:t>
      </w:r>
      <w:r w:rsidR="009339EB" w:rsidRPr="00705394">
        <w:rPr>
          <w:u w:val="none"/>
        </w:rPr>
        <w:t xml:space="preserve"> transparent, fair,</w:t>
      </w:r>
      <w:r w:rsidR="00CB32A5" w:rsidRPr="00705394">
        <w:rPr>
          <w:u w:val="none"/>
        </w:rPr>
        <w:t xml:space="preserve"> </w:t>
      </w:r>
      <w:r w:rsidR="00185902" w:rsidRPr="00705394">
        <w:rPr>
          <w:u w:val="none"/>
        </w:rPr>
        <w:t xml:space="preserve">can be justified and comply with equalities legislation. </w:t>
      </w:r>
      <w:r w:rsidR="009339EB" w:rsidRPr="00705394">
        <w:rPr>
          <w:u w:val="none"/>
        </w:rPr>
        <w:t xml:space="preserve"> R</w:t>
      </w:r>
      <w:r w:rsidR="00185902" w:rsidRPr="00705394">
        <w:rPr>
          <w:u w:val="none"/>
        </w:rPr>
        <w:t>eport</w:t>
      </w:r>
      <w:r w:rsidR="009339EB" w:rsidRPr="00705394">
        <w:rPr>
          <w:u w:val="none"/>
        </w:rPr>
        <w:t>s</w:t>
      </w:r>
      <w:r w:rsidR="00185902" w:rsidRPr="00705394">
        <w:rPr>
          <w:u w:val="none"/>
        </w:rPr>
        <w:t xml:space="preserve"> (</w:t>
      </w:r>
      <w:r w:rsidR="009339EB" w:rsidRPr="00705394">
        <w:rPr>
          <w:b/>
          <w:bCs/>
          <w:u w:val="none"/>
        </w:rPr>
        <w:t xml:space="preserve">Toolkit </w:t>
      </w:r>
      <w:r w:rsidR="00185902" w:rsidRPr="00705394">
        <w:rPr>
          <w:b/>
          <w:bCs/>
          <w:u w:val="none"/>
        </w:rPr>
        <w:t>Appendi</w:t>
      </w:r>
      <w:r w:rsidR="009339EB" w:rsidRPr="00705394">
        <w:rPr>
          <w:b/>
          <w:bCs/>
          <w:u w:val="none"/>
        </w:rPr>
        <w:t>ces</w:t>
      </w:r>
      <w:r w:rsidR="00185902" w:rsidRPr="00705394">
        <w:rPr>
          <w:b/>
          <w:bCs/>
          <w:u w:val="none"/>
        </w:rPr>
        <w:t xml:space="preserve"> </w:t>
      </w:r>
      <w:r w:rsidR="003A1A92" w:rsidRPr="00705394">
        <w:rPr>
          <w:b/>
          <w:bCs/>
          <w:u w:val="none"/>
        </w:rPr>
        <w:t xml:space="preserve">2, 2A, </w:t>
      </w:r>
      <w:r w:rsidR="00F839F7" w:rsidRPr="00705394">
        <w:rPr>
          <w:b/>
          <w:bCs/>
          <w:u w:val="none"/>
        </w:rPr>
        <w:t>8 and 9</w:t>
      </w:r>
      <w:r w:rsidR="00185902" w:rsidRPr="00705394">
        <w:rPr>
          <w:u w:val="none"/>
        </w:rPr>
        <w:t>) will be key piece</w:t>
      </w:r>
      <w:r w:rsidR="00823034" w:rsidRPr="00705394">
        <w:rPr>
          <w:u w:val="none"/>
        </w:rPr>
        <w:t>s</w:t>
      </w:r>
      <w:r w:rsidR="00185902" w:rsidRPr="00705394">
        <w:rPr>
          <w:u w:val="none"/>
        </w:rPr>
        <w:t xml:space="preserve"> of evidence to enable a governing body to </w:t>
      </w:r>
      <w:r w:rsidR="00823034" w:rsidRPr="00705394">
        <w:rPr>
          <w:u w:val="none"/>
        </w:rPr>
        <w:t xml:space="preserve">account for </w:t>
      </w:r>
      <w:r w:rsidR="00185902" w:rsidRPr="00705394">
        <w:rPr>
          <w:u w:val="none"/>
        </w:rPr>
        <w:t>its decisions, if challenged</w:t>
      </w:r>
      <w:r w:rsidR="009339EB" w:rsidRPr="00705394">
        <w:rPr>
          <w:u w:val="none"/>
        </w:rPr>
        <w:t xml:space="preserve"> </w:t>
      </w:r>
      <w:r w:rsidR="00185902" w:rsidRPr="00705394">
        <w:rPr>
          <w:u w:val="none"/>
        </w:rPr>
        <w:t>by</w:t>
      </w:r>
      <w:r w:rsidR="00777A61" w:rsidRPr="00705394">
        <w:rPr>
          <w:u w:val="none"/>
        </w:rPr>
        <w:t xml:space="preserve"> individual members or groups of staff</w:t>
      </w:r>
      <w:r w:rsidR="009339EB" w:rsidRPr="00705394">
        <w:rPr>
          <w:u w:val="none"/>
        </w:rPr>
        <w:t>, trade unions and/or Ofsted</w:t>
      </w:r>
      <w:r w:rsidR="00185902" w:rsidRPr="00705394">
        <w:rPr>
          <w:u w:val="none"/>
        </w:rPr>
        <w:t>.</w:t>
      </w:r>
    </w:p>
    <w:p w14:paraId="3D910B7A" w14:textId="77777777" w:rsidR="00185902" w:rsidRPr="00705394" w:rsidRDefault="00185902" w:rsidP="007D11E0">
      <w:pPr>
        <w:pStyle w:val="ListParagraph"/>
        <w:numPr>
          <w:ilvl w:val="0"/>
          <w:numId w:val="8"/>
        </w:numPr>
        <w:spacing w:after="0"/>
        <w:ind w:left="284"/>
        <w:rPr>
          <w:u w:val="none"/>
        </w:rPr>
      </w:pPr>
      <w:r w:rsidRPr="00705394">
        <w:rPr>
          <w:u w:val="none"/>
        </w:rPr>
        <w:t>OFSTED</w:t>
      </w:r>
      <w:r w:rsidR="0024100E" w:rsidRPr="00705394">
        <w:rPr>
          <w:u w:val="none"/>
        </w:rPr>
        <w:t xml:space="preserve"> </w:t>
      </w:r>
      <w:r w:rsidRPr="00705394">
        <w:rPr>
          <w:u w:val="none"/>
        </w:rPr>
        <w:t xml:space="preserve">- when Ofsted inspect your school, the head teacher/governing body will </w:t>
      </w:r>
      <w:r w:rsidR="00CB32A5" w:rsidRPr="00705394">
        <w:rPr>
          <w:u w:val="none"/>
        </w:rPr>
        <w:t xml:space="preserve">no longer </w:t>
      </w:r>
      <w:r w:rsidRPr="00705394">
        <w:rPr>
          <w:u w:val="none"/>
        </w:rPr>
        <w:t xml:space="preserve">be asked to supply anonymised information relating to the last </w:t>
      </w:r>
      <w:r w:rsidR="009339EB" w:rsidRPr="00705394">
        <w:rPr>
          <w:u w:val="none"/>
        </w:rPr>
        <w:t>three</w:t>
      </w:r>
      <w:r w:rsidRPr="00705394">
        <w:rPr>
          <w:u w:val="none"/>
        </w:rPr>
        <w:t xml:space="preserve"> years which shows the </w:t>
      </w:r>
      <w:r w:rsidR="0024100E" w:rsidRPr="00705394">
        <w:rPr>
          <w:u w:val="none"/>
        </w:rPr>
        <w:t xml:space="preserve">proportion of teachers who </w:t>
      </w:r>
      <w:proofErr w:type="gramStart"/>
      <w:r w:rsidR="0024100E" w:rsidRPr="00705394">
        <w:rPr>
          <w:u w:val="none"/>
        </w:rPr>
        <w:t>have;</w:t>
      </w:r>
      <w:proofErr w:type="gramEnd"/>
    </w:p>
    <w:p w14:paraId="0072237C" w14:textId="77777777" w:rsidR="00185902" w:rsidRPr="00705394" w:rsidRDefault="00185902" w:rsidP="007D11E0">
      <w:pPr>
        <w:pStyle w:val="ListParagraph"/>
        <w:numPr>
          <w:ilvl w:val="0"/>
          <w:numId w:val="9"/>
        </w:numPr>
        <w:spacing w:after="0"/>
        <w:ind w:left="851" w:hanging="284"/>
        <w:rPr>
          <w:u w:val="none"/>
        </w:rPr>
      </w:pPr>
      <w:r w:rsidRPr="00705394">
        <w:rPr>
          <w:u w:val="none"/>
        </w:rPr>
        <w:t xml:space="preserve">Progressed along the </w:t>
      </w:r>
      <w:proofErr w:type="gramStart"/>
      <w:r w:rsidRPr="00705394">
        <w:rPr>
          <w:u w:val="none"/>
        </w:rPr>
        <w:t>MPR</w:t>
      </w:r>
      <w:r w:rsidR="0024100E" w:rsidRPr="00705394">
        <w:rPr>
          <w:u w:val="none"/>
        </w:rPr>
        <w:t>;</w:t>
      </w:r>
      <w:proofErr w:type="gramEnd"/>
    </w:p>
    <w:p w14:paraId="35C80F8F" w14:textId="77777777" w:rsidR="00185902" w:rsidRPr="00705394" w:rsidRDefault="00185902" w:rsidP="007D11E0">
      <w:pPr>
        <w:pStyle w:val="ListParagraph"/>
        <w:numPr>
          <w:ilvl w:val="0"/>
          <w:numId w:val="9"/>
        </w:numPr>
        <w:spacing w:after="0"/>
        <w:ind w:left="851" w:hanging="284"/>
        <w:rPr>
          <w:u w:val="none"/>
        </w:rPr>
      </w:pPr>
      <w:r w:rsidRPr="00705394">
        <w:rPr>
          <w:u w:val="none"/>
        </w:rPr>
        <w:t xml:space="preserve">Progressed to and through the </w:t>
      </w:r>
      <w:proofErr w:type="gramStart"/>
      <w:r w:rsidRPr="00705394">
        <w:rPr>
          <w:u w:val="none"/>
        </w:rPr>
        <w:t>UPR</w:t>
      </w:r>
      <w:r w:rsidR="0024100E" w:rsidRPr="00705394">
        <w:rPr>
          <w:u w:val="none"/>
        </w:rPr>
        <w:t>;</w:t>
      </w:r>
      <w:proofErr w:type="gramEnd"/>
    </w:p>
    <w:p w14:paraId="5709ADAD" w14:textId="77777777" w:rsidR="00185902" w:rsidRPr="00705394" w:rsidRDefault="00185902" w:rsidP="007D11E0">
      <w:pPr>
        <w:pStyle w:val="ListParagraph"/>
        <w:numPr>
          <w:ilvl w:val="0"/>
          <w:numId w:val="9"/>
        </w:numPr>
        <w:spacing w:after="0"/>
        <w:ind w:left="851" w:hanging="284"/>
        <w:rPr>
          <w:u w:val="none"/>
        </w:rPr>
      </w:pPr>
      <w:r w:rsidRPr="00705394">
        <w:rPr>
          <w:u w:val="none"/>
        </w:rPr>
        <w:t>Progressed along the leadership pay range, including the head teacher</w:t>
      </w:r>
      <w:r w:rsidR="0024100E" w:rsidRPr="00705394">
        <w:rPr>
          <w:u w:val="none"/>
        </w:rPr>
        <w:t>; and</w:t>
      </w:r>
      <w:r w:rsidRPr="00705394">
        <w:rPr>
          <w:u w:val="none"/>
        </w:rPr>
        <w:t xml:space="preserve"> </w:t>
      </w:r>
    </w:p>
    <w:p w14:paraId="2958AB27" w14:textId="77777777" w:rsidR="00185902" w:rsidRPr="00705394" w:rsidRDefault="00185902" w:rsidP="007D11E0">
      <w:pPr>
        <w:pStyle w:val="ListParagraph"/>
        <w:numPr>
          <w:ilvl w:val="0"/>
          <w:numId w:val="9"/>
        </w:numPr>
        <w:spacing w:after="0"/>
        <w:ind w:left="851" w:hanging="284"/>
        <w:rPr>
          <w:u w:val="none"/>
        </w:rPr>
      </w:pPr>
      <w:r w:rsidRPr="00705394">
        <w:rPr>
          <w:u w:val="none"/>
        </w:rPr>
        <w:t>Received additional responsibility payments, such as TLR and SEN allowances</w:t>
      </w:r>
      <w:r w:rsidR="0024100E" w:rsidRPr="00705394">
        <w:rPr>
          <w:u w:val="none"/>
        </w:rPr>
        <w:t>.</w:t>
      </w:r>
    </w:p>
    <w:p w14:paraId="49AAC0D2" w14:textId="158A8785" w:rsidR="009339EB" w:rsidRPr="00705394" w:rsidRDefault="009339EB" w:rsidP="007D11E0">
      <w:pPr>
        <w:spacing w:after="0"/>
        <w:ind w:left="284"/>
        <w:rPr>
          <w:strike/>
          <w:u w:val="none"/>
        </w:rPr>
      </w:pPr>
      <w:r w:rsidRPr="00705394">
        <w:rPr>
          <w:u w:val="none"/>
        </w:rPr>
        <w:t>H</w:t>
      </w:r>
      <w:r w:rsidR="000E3D89" w:rsidRPr="00705394">
        <w:rPr>
          <w:u w:val="none"/>
        </w:rPr>
        <w:t xml:space="preserve">owever, </w:t>
      </w:r>
      <w:r w:rsidR="00D64A71" w:rsidRPr="00705394">
        <w:rPr>
          <w:u w:val="none"/>
        </w:rPr>
        <w:t xml:space="preserve">the Governing Body itself, </w:t>
      </w:r>
      <w:r w:rsidR="000E3D89" w:rsidRPr="00705394">
        <w:rPr>
          <w:u w:val="none"/>
        </w:rPr>
        <w:t xml:space="preserve">must </w:t>
      </w:r>
      <w:r w:rsidR="00D64A71" w:rsidRPr="00705394">
        <w:rPr>
          <w:u w:val="none"/>
        </w:rPr>
        <w:t xml:space="preserve">uphold the </w:t>
      </w:r>
      <w:r w:rsidR="000E3D89" w:rsidRPr="00705394">
        <w:rPr>
          <w:u w:val="none"/>
        </w:rPr>
        <w:t>principles of good financial management</w:t>
      </w:r>
      <w:r w:rsidRPr="00705394">
        <w:rPr>
          <w:u w:val="none"/>
        </w:rPr>
        <w:t xml:space="preserve">, </w:t>
      </w:r>
      <w:r w:rsidR="00D64A71" w:rsidRPr="00705394">
        <w:rPr>
          <w:u w:val="none"/>
        </w:rPr>
        <w:t xml:space="preserve">to ensure all </w:t>
      </w:r>
      <w:r w:rsidR="000E3D89" w:rsidRPr="00705394">
        <w:rPr>
          <w:u w:val="none"/>
        </w:rPr>
        <w:t xml:space="preserve">pay decisions for teachers </w:t>
      </w:r>
      <w:r w:rsidR="00D64A71" w:rsidRPr="00705394">
        <w:rPr>
          <w:u w:val="none"/>
        </w:rPr>
        <w:t xml:space="preserve">and support staff </w:t>
      </w:r>
      <w:r w:rsidRPr="00705394">
        <w:rPr>
          <w:u w:val="none"/>
        </w:rPr>
        <w:t>are</w:t>
      </w:r>
      <w:r w:rsidR="00B95AB7" w:rsidRPr="00705394">
        <w:rPr>
          <w:u w:val="none"/>
        </w:rPr>
        <w:t xml:space="preserve"> </w:t>
      </w:r>
      <w:r w:rsidR="000E3D89" w:rsidRPr="00705394">
        <w:rPr>
          <w:u w:val="none"/>
        </w:rPr>
        <w:t>robust.</w:t>
      </w:r>
      <w:r w:rsidR="00FC7927" w:rsidRPr="00705394">
        <w:rPr>
          <w:strike/>
          <w:u w:val="none"/>
        </w:rPr>
        <w:t xml:space="preserve"> </w:t>
      </w:r>
    </w:p>
    <w:p w14:paraId="3855C910" w14:textId="0F256CD1" w:rsidR="009339EB" w:rsidRPr="00705394" w:rsidRDefault="00B95AB7" w:rsidP="006559BD">
      <w:pPr>
        <w:pStyle w:val="ListParagraph"/>
        <w:numPr>
          <w:ilvl w:val="0"/>
          <w:numId w:val="8"/>
        </w:numPr>
        <w:spacing w:after="0"/>
        <w:ind w:left="284"/>
        <w:jc w:val="both"/>
        <w:rPr>
          <w:u w:val="none"/>
        </w:rPr>
      </w:pPr>
      <w:r w:rsidRPr="00705394">
        <w:rPr>
          <w:u w:val="none"/>
        </w:rPr>
        <w:t xml:space="preserve">Ensure processes operate fairly - </w:t>
      </w:r>
      <w:r w:rsidR="00185902" w:rsidRPr="00705394">
        <w:rPr>
          <w:u w:val="none"/>
        </w:rPr>
        <w:t>Monitor the outcome of pay decisions, including the extent to which different groups of teacher</w:t>
      </w:r>
      <w:r w:rsidR="000E3D89" w:rsidRPr="00705394">
        <w:rPr>
          <w:u w:val="none"/>
        </w:rPr>
        <w:t xml:space="preserve">s </w:t>
      </w:r>
      <w:r w:rsidR="00185902" w:rsidRPr="00705394">
        <w:rPr>
          <w:u w:val="none"/>
        </w:rPr>
        <w:t>progress</w:t>
      </w:r>
      <w:r w:rsidR="000E3D89" w:rsidRPr="00705394">
        <w:rPr>
          <w:u w:val="none"/>
        </w:rPr>
        <w:t xml:space="preserve"> at different rates</w:t>
      </w:r>
      <w:r w:rsidR="00185902" w:rsidRPr="00705394">
        <w:rPr>
          <w:u w:val="none"/>
        </w:rPr>
        <w:t xml:space="preserve"> - (See also guidance in Monitoring and Review</w:t>
      </w:r>
      <w:r w:rsidR="009339EB" w:rsidRPr="00705394">
        <w:rPr>
          <w:u w:val="none"/>
        </w:rPr>
        <w:t xml:space="preserve"> </w:t>
      </w:r>
      <w:r w:rsidR="00185902" w:rsidRPr="00705394">
        <w:rPr>
          <w:u w:val="none"/>
        </w:rPr>
        <w:t xml:space="preserve">paragraph </w:t>
      </w:r>
      <w:r w:rsidR="003A1A92" w:rsidRPr="00705394">
        <w:rPr>
          <w:u w:val="none"/>
        </w:rPr>
        <w:t>30.</w:t>
      </w:r>
      <w:r w:rsidR="00185902" w:rsidRPr="00705394">
        <w:rPr>
          <w:u w:val="none"/>
        </w:rPr>
        <w:t>0</w:t>
      </w:r>
      <w:r w:rsidR="000C64BC" w:rsidRPr="00705394">
        <w:rPr>
          <w:u w:val="none"/>
        </w:rPr>
        <w:t>)</w:t>
      </w:r>
      <w:r w:rsidR="009339EB" w:rsidRPr="00705394">
        <w:rPr>
          <w:u w:val="none"/>
        </w:rPr>
        <w:t>.</w:t>
      </w:r>
      <w:r w:rsidR="007D11E0" w:rsidRPr="00705394">
        <w:rPr>
          <w:u w:val="none"/>
        </w:rPr>
        <w:t xml:space="preserve"> </w:t>
      </w:r>
      <w:r w:rsidR="009339EB" w:rsidRPr="00705394">
        <w:rPr>
          <w:u w:val="none"/>
        </w:rPr>
        <w:t>The school is advised to produce information demonstrating patterns of progression through different salary scales and comparisons between departments and/or key stages. This information should be considered annually by the governing body and a record kept of resultant actions (</w:t>
      </w:r>
      <w:r w:rsidR="00FC7927" w:rsidRPr="00705394">
        <w:rPr>
          <w:b/>
          <w:bCs/>
          <w:u w:val="none"/>
        </w:rPr>
        <w:t xml:space="preserve">Schools Pay Policy </w:t>
      </w:r>
      <w:r w:rsidR="005A5B5E" w:rsidRPr="00705394">
        <w:rPr>
          <w:b/>
          <w:bCs/>
          <w:u w:val="none"/>
        </w:rPr>
        <w:t xml:space="preserve">- </w:t>
      </w:r>
      <w:r w:rsidR="009E590E" w:rsidRPr="00705394">
        <w:rPr>
          <w:b/>
          <w:bCs/>
          <w:u w:val="none"/>
        </w:rPr>
        <w:t>Toolkit Appendix</w:t>
      </w:r>
      <w:r w:rsidR="009339EB" w:rsidRPr="00705394">
        <w:rPr>
          <w:b/>
          <w:bCs/>
          <w:u w:val="none"/>
        </w:rPr>
        <w:t xml:space="preserve"> 9</w:t>
      </w:r>
      <w:r w:rsidR="009339EB" w:rsidRPr="00705394">
        <w:rPr>
          <w:u w:val="none"/>
        </w:rPr>
        <w:t xml:space="preserve">).   </w:t>
      </w:r>
    </w:p>
    <w:p w14:paraId="4E0F34D7" w14:textId="0498693A" w:rsidR="00185902" w:rsidRPr="00705394" w:rsidRDefault="00B95AB7" w:rsidP="002B3D93">
      <w:pPr>
        <w:pStyle w:val="ListParagraph"/>
        <w:numPr>
          <w:ilvl w:val="0"/>
          <w:numId w:val="8"/>
        </w:numPr>
        <w:spacing w:after="0"/>
        <w:ind w:left="284"/>
        <w:jc w:val="both"/>
        <w:rPr>
          <w:u w:val="none"/>
        </w:rPr>
      </w:pPr>
      <w:r w:rsidRPr="00705394">
        <w:rPr>
          <w:u w:val="none"/>
        </w:rPr>
        <w:t xml:space="preserve">Budget - </w:t>
      </w:r>
      <w:r w:rsidR="00185902" w:rsidRPr="00705394">
        <w:rPr>
          <w:u w:val="none"/>
        </w:rPr>
        <w:t xml:space="preserve">There is an expectation within the STPCD that </w:t>
      </w:r>
      <w:r w:rsidR="003A1A92" w:rsidRPr="00705394">
        <w:rPr>
          <w:u w:val="none"/>
        </w:rPr>
        <w:t xml:space="preserve">teachers will progress each year to the maximum of their pay range </w:t>
      </w:r>
      <w:r w:rsidR="00185902" w:rsidRPr="00705394">
        <w:rPr>
          <w:u w:val="none"/>
        </w:rPr>
        <w:t xml:space="preserve">and that all schools should take sensible financial decisions. Governing bodies should </w:t>
      </w:r>
      <w:r w:rsidR="00823034" w:rsidRPr="00705394">
        <w:rPr>
          <w:u w:val="none"/>
        </w:rPr>
        <w:t xml:space="preserve">ensure that </w:t>
      </w:r>
      <w:r w:rsidR="00C51311" w:rsidRPr="00705394">
        <w:rPr>
          <w:u w:val="none"/>
        </w:rPr>
        <w:t xml:space="preserve">budget implications are considered and that </w:t>
      </w:r>
      <w:r w:rsidR="00185902" w:rsidRPr="00705394">
        <w:rPr>
          <w:u w:val="none"/>
        </w:rPr>
        <w:t xml:space="preserve">pay decisions </w:t>
      </w:r>
      <w:r w:rsidR="00C51311" w:rsidRPr="00705394">
        <w:rPr>
          <w:u w:val="none"/>
        </w:rPr>
        <w:t>are affordable in the long term</w:t>
      </w:r>
      <w:r w:rsidR="00185902" w:rsidRPr="00705394">
        <w:rPr>
          <w:u w:val="none"/>
        </w:rPr>
        <w:t xml:space="preserve">. </w:t>
      </w:r>
      <w:r w:rsidR="005E4283" w:rsidRPr="00705394">
        <w:rPr>
          <w:u w:val="none"/>
        </w:rPr>
        <w:t>T</w:t>
      </w:r>
      <w:r w:rsidR="00185902" w:rsidRPr="00705394">
        <w:rPr>
          <w:u w:val="none"/>
        </w:rPr>
        <w:t xml:space="preserve">he governing body should ensure that sufficient funds are allocated for pay </w:t>
      </w:r>
      <w:r w:rsidR="00BF72F7" w:rsidRPr="00705394">
        <w:rPr>
          <w:u w:val="none"/>
        </w:rPr>
        <w:t xml:space="preserve">awards and pay </w:t>
      </w:r>
      <w:r w:rsidR="00185902" w:rsidRPr="00705394">
        <w:rPr>
          <w:u w:val="none"/>
        </w:rPr>
        <w:t>progression for all eligible staff and must not set a budget which artificially seeks to limit the number of teachers able to secure pay progression. The governing body should therefore receive information</w:t>
      </w:r>
      <w:r w:rsidR="00C51311" w:rsidRPr="00705394">
        <w:rPr>
          <w:u w:val="none"/>
        </w:rPr>
        <w:t xml:space="preserve"> from the headteacher </w:t>
      </w:r>
      <w:r w:rsidR="00185902" w:rsidRPr="00705394">
        <w:rPr>
          <w:u w:val="none"/>
        </w:rPr>
        <w:t xml:space="preserve">about the profile of the staff on an annual basis to understand how the pay budget is distributed so that it can assess the </w:t>
      </w:r>
      <w:r w:rsidR="008658FA" w:rsidRPr="00705394">
        <w:rPr>
          <w:u w:val="none"/>
        </w:rPr>
        <w:t xml:space="preserve">anticipated </w:t>
      </w:r>
      <w:r w:rsidR="00185902" w:rsidRPr="00705394">
        <w:rPr>
          <w:u w:val="none"/>
        </w:rPr>
        <w:t>additional annual cost</w:t>
      </w:r>
      <w:r w:rsidR="008658FA" w:rsidRPr="00705394">
        <w:rPr>
          <w:u w:val="none"/>
        </w:rPr>
        <w:t xml:space="preserve"> at the end of the</w:t>
      </w:r>
      <w:r w:rsidR="009339EB" w:rsidRPr="00705394">
        <w:rPr>
          <w:u w:val="none"/>
        </w:rPr>
        <w:t xml:space="preserve"> </w:t>
      </w:r>
      <w:r w:rsidR="008658FA" w:rsidRPr="00705394">
        <w:rPr>
          <w:u w:val="none"/>
        </w:rPr>
        <w:t>appraisal cycle</w:t>
      </w:r>
      <w:r w:rsidR="00185902" w:rsidRPr="00705394">
        <w:rPr>
          <w:u w:val="none"/>
        </w:rPr>
        <w:t>.</w:t>
      </w:r>
      <w:r w:rsidR="0024100E" w:rsidRPr="00705394">
        <w:rPr>
          <w:u w:val="none"/>
        </w:rPr>
        <w:t xml:space="preserve"> </w:t>
      </w:r>
      <w:r w:rsidR="00185902" w:rsidRPr="00705394">
        <w:rPr>
          <w:u w:val="none"/>
        </w:rPr>
        <w:t>For example, this information would show wh</w:t>
      </w:r>
      <w:r w:rsidR="00D64A71" w:rsidRPr="00705394">
        <w:rPr>
          <w:u w:val="none"/>
        </w:rPr>
        <w:t xml:space="preserve">at proportion </w:t>
      </w:r>
      <w:r w:rsidR="00185902" w:rsidRPr="00705394">
        <w:rPr>
          <w:u w:val="none"/>
        </w:rPr>
        <w:t xml:space="preserve">of staff </w:t>
      </w:r>
      <w:r w:rsidR="0024100E" w:rsidRPr="00705394">
        <w:rPr>
          <w:u w:val="none"/>
        </w:rPr>
        <w:t xml:space="preserve">are </w:t>
      </w:r>
      <w:r w:rsidR="00185902" w:rsidRPr="00705394">
        <w:rPr>
          <w:u w:val="none"/>
        </w:rPr>
        <w:t>at the maximum of the MPR</w:t>
      </w:r>
      <w:r w:rsidR="007D11E0" w:rsidRPr="00705394">
        <w:rPr>
          <w:u w:val="none"/>
        </w:rPr>
        <w:t>,</w:t>
      </w:r>
      <w:r w:rsidR="00185902" w:rsidRPr="00705394">
        <w:rPr>
          <w:u w:val="none"/>
        </w:rPr>
        <w:t xml:space="preserve"> UPR</w:t>
      </w:r>
      <w:r w:rsidR="007D11E0" w:rsidRPr="00705394">
        <w:rPr>
          <w:u w:val="none"/>
        </w:rPr>
        <w:t xml:space="preserve"> or UTR</w:t>
      </w:r>
      <w:r w:rsidR="00185902" w:rsidRPr="00705394">
        <w:rPr>
          <w:u w:val="none"/>
        </w:rPr>
        <w:t xml:space="preserve">.  </w:t>
      </w:r>
    </w:p>
    <w:p w14:paraId="386B07A1" w14:textId="77777777" w:rsidR="00185902" w:rsidRPr="00705394" w:rsidRDefault="00185902" w:rsidP="00B42818">
      <w:pPr>
        <w:pStyle w:val="ListParagraph"/>
        <w:numPr>
          <w:ilvl w:val="0"/>
          <w:numId w:val="8"/>
        </w:numPr>
        <w:spacing w:after="0"/>
        <w:ind w:left="284"/>
        <w:jc w:val="both"/>
        <w:rPr>
          <w:u w:val="none"/>
        </w:rPr>
      </w:pPr>
      <w:r w:rsidRPr="00705394">
        <w:rPr>
          <w:u w:val="none"/>
        </w:rPr>
        <w:t xml:space="preserve">Ensure that the appropriate members of the governing body are </w:t>
      </w:r>
      <w:r w:rsidR="00777A61" w:rsidRPr="00705394">
        <w:rPr>
          <w:u w:val="none"/>
        </w:rPr>
        <w:t xml:space="preserve">competent and appropriately </w:t>
      </w:r>
      <w:r w:rsidRPr="00705394">
        <w:rPr>
          <w:u w:val="none"/>
        </w:rPr>
        <w:t>trained</w:t>
      </w:r>
      <w:r w:rsidR="008658FA" w:rsidRPr="00705394">
        <w:rPr>
          <w:u w:val="none"/>
        </w:rPr>
        <w:t xml:space="preserve"> in the relevant procedures, policies and toolkits.</w:t>
      </w:r>
    </w:p>
    <w:p w14:paraId="7D107810" w14:textId="77777777" w:rsidR="00413171" w:rsidRPr="00705394" w:rsidRDefault="00413171" w:rsidP="00396DA7">
      <w:pPr>
        <w:pStyle w:val="NoSpacing"/>
        <w:spacing w:line="276" w:lineRule="auto"/>
        <w:rPr>
          <w:rFonts w:ascii="Arial" w:hAnsi="Arial" w:cs="Arial"/>
          <w:sz w:val="24"/>
          <w:szCs w:val="24"/>
          <w:u w:val="single"/>
        </w:rPr>
      </w:pPr>
    </w:p>
    <w:p w14:paraId="7BDAF013" w14:textId="489A3EF7" w:rsidR="00050EC9" w:rsidRPr="00705394" w:rsidRDefault="00185902" w:rsidP="00396DA7">
      <w:pPr>
        <w:pStyle w:val="NoSpacing"/>
        <w:spacing w:line="276" w:lineRule="auto"/>
        <w:rPr>
          <w:rFonts w:ascii="Arial" w:hAnsi="Arial" w:cs="Arial"/>
          <w:sz w:val="24"/>
          <w:szCs w:val="24"/>
          <w:u w:val="single"/>
        </w:rPr>
      </w:pPr>
      <w:r w:rsidRPr="00705394">
        <w:rPr>
          <w:rFonts w:ascii="Arial" w:hAnsi="Arial" w:cs="Arial"/>
          <w:sz w:val="24"/>
          <w:szCs w:val="24"/>
          <w:u w:val="single"/>
        </w:rPr>
        <w:t>Head</w:t>
      </w:r>
      <w:r w:rsidR="00D64A71" w:rsidRPr="00705394">
        <w:rPr>
          <w:rFonts w:ascii="Arial" w:hAnsi="Arial" w:cs="Arial"/>
          <w:sz w:val="24"/>
          <w:szCs w:val="24"/>
          <w:u w:val="single"/>
        </w:rPr>
        <w:t>t</w:t>
      </w:r>
      <w:r w:rsidRPr="00705394">
        <w:rPr>
          <w:rFonts w:ascii="Arial" w:hAnsi="Arial" w:cs="Arial"/>
          <w:sz w:val="24"/>
          <w:szCs w:val="24"/>
          <w:u w:val="single"/>
        </w:rPr>
        <w:t>eacher</w:t>
      </w:r>
    </w:p>
    <w:p w14:paraId="19390942" w14:textId="12661086" w:rsidR="00185902" w:rsidRPr="00705394" w:rsidRDefault="00185902" w:rsidP="00396DA7">
      <w:pPr>
        <w:pStyle w:val="NoSpacing"/>
        <w:spacing w:line="276" w:lineRule="auto"/>
        <w:rPr>
          <w:rFonts w:ascii="Arial" w:hAnsi="Arial" w:cs="Arial"/>
          <w:sz w:val="24"/>
          <w:szCs w:val="24"/>
        </w:rPr>
      </w:pPr>
      <w:r w:rsidRPr="00705394">
        <w:rPr>
          <w:rFonts w:ascii="Arial" w:hAnsi="Arial" w:cs="Arial"/>
          <w:sz w:val="24"/>
          <w:szCs w:val="24"/>
        </w:rPr>
        <w:br/>
        <w:t>The headteacher</w:t>
      </w:r>
      <w:r w:rsidR="009339EB" w:rsidRPr="00705394">
        <w:rPr>
          <w:rFonts w:ascii="Arial" w:hAnsi="Arial" w:cs="Arial"/>
          <w:sz w:val="24"/>
          <w:szCs w:val="24"/>
        </w:rPr>
        <w:t>,</w:t>
      </w:r>
      <w:r w:rsidRPr="00705394">
        <w:rPr>
          <w:rFonts w:ascii="Arial" w:hAnsi="Arial" w:cs="Arial"/>
          <w:sz w:val="24"/>
          <w:szCs w:val="24"/>
        </w:rPr>
        <w:t xml:space="preserve"> in conjunction with th</w:t>
      </w:r>
      <w:r w:rsidR="0024100E" w:rsidRPr="00705394">
        <w:rPr>
          <w:rFonts w:ascii="Arial" w:hAnsi="Arial" w:cs="Arial"/>
          <w:sz w:val="24"/>
          <w:szCs w:val="24"/>
        </w:rPr>
        <w:t>e senior leadership team</w:t>
      </w:r>
      <w:r w:rsidR="009339EB" w:rsidRPr="00705394">
        <w:rPr>
          <w:rFonts w:ascii="Arial" w:hAnsi="Arial" w:cs="Arial"/>
          <w:sz w:val="24"/>
          <w:szCs w:val="24"/>
        </w:rPr>
        <w:t>,</w:t>
      </w:r>
      <w:r w:rsidR="0024100E" w:rsidRPr="00705394">
        <w:rPr>
          <w:rFonts w:ascii="Arial" w:hAnsi="Arial" w:cs="Arial"/>
          <w:sz w:val="24"/>
          <w:szCs w:val="24"/>
        </w:rPr>
        <w:t xml:space="preserve"> </w:t>
      </w:r>
      <w:proofErr w:type="gramStart"/>
      <w:r w:rsidR="0024100E" w:rsidRPr="00705394">
        <w:rPr>
          <w:rFonts w:ascii="Arial" w:hAnsi="Arial" w:cs="Arial"/>
          <w:sz w:val="24"/>
          <w:szCs w:val="24"/>
        </w:rPr>
        <w:t>should;</w:t>
      </w:r>
      <w:proofErr w:type="gramEnd"/>
    </w:p>
    <w:p w14:paraId="3C24E24C" w14:textId="77777777" w:rsidR="00185902" w:rsidRPr="00705394" w:rsidRDefault="00185902" w:rsidP="00396DA7">
      <w:pPr>
        <w:pStyle w:val="NoSpacing"/>
        <w:spacing w:line="276" w:lineRule="auto"/>
        <w:ind w:left="284"/>
        <w:jc w:val="both"/>
        <w:rPr>
          <w:rFonts w:ascii="Arial" w:hAnsi="Arial" w:cs="Arial"/>
          <w:sz w:val="24"/>
          <w:szCs w:val="24"/>
        </w:rPr>
      </w:pPr>
    </w:p>
    <w:p w14:paraId="6E0A55B9" w14:textId="5AFA191F" w:rsidR="00185902" w:rsidRPr="00705394" w:rsidRDefault="00185902" w:rsidP="007D11E0">
      <w:pPr>
        <w:pStyle w:val="NoSpacing"/>
        <w:numPr>
          <w:ilvl w:val="0"/>
          <w:numId w:val="34"/>
        </w:numPr>
        <w:spacing w:line="276" w:lineRule="auto"/>
        <w:jc w:val="both"/>
        <w:rPr>
          <w:rFonts w:ascii="Arial" w:hAnsi="Arial" w:cs="Arial"/>
          <w:sz w:val="24"/>
          <w:szCs w:val="24"/>
        </w:rPr>
      </w:pPr>
      <w:r w:rsidRPr="00705394">
        <w:rPr>
          <w:rFonts w:ascii="Arial" w:hAnsi="Arial" w:cs="Arial"/>
          <w:sz w:val="24"/>
          <w:szCs w:val="24"/>
        </w:rPr>
        <w:t>Develop and establish clear arrangements for pay</w:t>
      </w:r>
      <w:r w:rsidR="007948DF" w:rsidRPr="00705394">
        <w:rPr>
          <w:rFonts w:ascii="Arial" w:hAnsi="Arial" w:cs="Arial"/>
          <w:sz w:val="24"/>
          <w:szCs w:val="24"/>
        </w:rPr>
        <w:t xml:space="preserve"> decisions</w:t>
      </w:r>
      <w:r w:rsidRPr="00705394">
        <w:rPr>
          <w:rFonts w:ascii="Arial" w:hAnsi="Arial" w:cs="Arial"/>
          <w:sz w:val="24"/>
          <w:szCs w:val="24"/>
        </w:rPr>
        <w:t xml:space="preserve"> and inform staff of the implications and expectations of the appraisal and pay policies</w:t>
      </w:r>
      <w:r w:rsidR="003A1A92" w:rsidRPr="00705394">
        <w:rPr>
          <w:rFonts w:ascii="Arial" w:hAnsi="Arial" w:cs="Arial"/>
          <w:sz w:val="24"/>
          <w:szCs w:val="24"/>
        </w:rPr>
        <w:t xml:space="preserve"> </w:t>
      </w:r>
      <w:r w:rsidR="00A72D0C" w:rsidRPr="00705394">
        <w:rPr>
          <w:rFonts w:ascii="Arial" w:hAnsi="Arial" w:cs="Arial"/>
          <w:sz w:val="24"/>
          <w:szCs w:val="24"/>
        </w:rPr>
        <w:t>to</w:t>
      </w:r>
      <w:r w:rsidR="007E23B6" w:rsidRPr="00705394">
        <w:rPr>
          <w:rFonts w:ascii="Arial" w:hAnsi="Arial" w:cs="Arial"/>
          <w:sz w:val="24"/>
          <w:szCs w:val="24"/>
        </w:rPr>
        <w:t xml:space="preserve"> </w:t>
      </w:r>
      <w:r w:rsidR="003A1A92" w:rsidRPr="00705394">
        <w:rPr>
          <w:rFonts w:ascii="Arial" w:hAnsi="Arial" w:cs="Arial"/>
          <w:sz w:val="24"/>
          <w:szCs w:val="24"/>
        </w:rPr>
        <w:t xml:space="preserve">minimise workload for </w:t>
      </w:r>
      <w:proofErr w:type="gramStart"/>
      <w:r w:rsidR="003A1A92" w:rsidRPr="00705394">
        <w:rPr>
          <w:rFonts w:ascii="Arial" w:hAnsi="Arial" w:cs="Arial"/>
          <w:sz w:val="24"/>
          <w:szCs w:val="24"/>
        </w:rPr>
        <w:t>staff</w:t>
      </w:r>
      <w:r w:rsidRPr="00705394">
        <w:rPr>
          <w:rFonts w:ascii="Arial" w:hAnsi="Arial" w:cs="Arial"/>
          <w:sz w:val="24"/>
          <w:szCs w:val="24"/>
        </w:rPr>
        <w:t>;</w:t>
      </w:r>
      <w:proofErr w:type="gramEnd"/>
    </w:p>
    <w:p w14:paraId="1D878B6D" w14:textId="77777777" w:rsidR="00185902" w:rsidRPr="00705394" w:rsidRDefault="00185902" w:rsidP="007D11E0">
      <w:pPr>
        <w:pStyle w:val="NoSpacing"/>
        <w:numPr>
          <w:ilvl w:val="0"/>
          <w:numId w:val="34"/>
        </w:numPr>
        <w:spacing w:line="276" w:lineRule="auto"/>
        <w:jc w:val="both"/>
        <w:rPr>
          <w:rFonts w:ascii="Arial" w:hAnsi="Arial" w:cs="Arial"/>
          <w:sz w:val="24"/>
          <w:szCs w:val="24"/>
        </w:rPr>
      </w:pPr>
      <w:r w:rsidRPr="00705394">
        <w:rPr>
          <w:rFonts w:ascii="Arial" w:hAnsi="Arial" w:cs="Arial"/>
          <w:sz w:val="24"/>
          <w:szCs w:val="24"/>
        </w:rPr>
        <w:t xml:space="preserve">Submit any updated appraisal and pay policies to the governing body for </w:t>
      </w:r>
      <w:proofErr w:type="gramStart"/>
      <w:r w:rsidRPr="00705394">
        <w:rPr>
          <w:rFonts w:ascii="Arial" w:hAnsi="Arial" w:cs="Arial"/>
          <w:sz w:val="24"/>
          <w:szCs w:val="24"/>
        </w:rPr>
        <w:t>approval;</w:t>
      </w:r>
      <w:proofErr w:type="gramEnd"/>
    </w:p>
    <w:p w14:paraId="73FC99C1" w14:textId="77777777" w:rsidR="00185902" w:rsidRPr="00705394" w:rsidRDefault="00185902" w:rsidP="007D11E0">
      <w:pPr>
        <w:pStyle w:val="NoSpacing"/>
        <w:numPr>
          <w:ilvl w:val="0"/>
          <w:numId w:val="34"/>
        </w:numPr>
        <w:spacing w:line="276" w:lineRule="auto"/>
        <w:jc w:val="both"/>
        <w:rPr>
          <w:rFonts w:ascii="Arial" w:hAnsi="Arial" w:cs="Arial"/>
          <w:sz w:val="24"/>
          <w:szCs w:val="24"/>
        </w:rPr>
      </w:pPr>
      <w:r w:rsidRPr="00705394">
        <w:rPr>
          <w:rFonts w:ascii="Arial" w:hAnsi="Arial" w:cs="Arial"/>
          <w:sz w:val="24"/>
          <w:szCs w:val="24"/>
        </w:rPr>
        <w:lastRenderedPageBreak/>
        <w:t xml:space="preserve">Ensure that all teachers are informed of the policies and that effective appraisal arrangements are in </w:t>
      </w:r>
      <w:proofErr w:type="gramStart"/>
      <w:r w:rsidRPr="00705394">
        <w:rPr>
          <w:rFonts w:ascii="Arial" w:hAnsi="Arial" w:cs="Arial"/>
          <w:sz w:val="24"/>
          <w:szCs w:val="24"/>
        </w:rPr>
        <w:t>place;</w:t>
      </w:r>
      <w:proofErr w:type="gramEnd"/>
      <w:r w:rsidRPr="00705394">
        <w:rPr>
          <w:rFonts w:ascii="Arial" w:hAnsi="Arial" w:cs="Arial"/>
          <w:sz w:val="24"/>
          <w:szCs w:val="24"/>
        </w:rPr>
        <w:t xml:space="preserve"> </w:t>
      </w:r>
    </w:p>
    <w:p w14:paraId="3CA3740E" w14:textId="77777777" w:rsidR="00185902" w:rsidRPr="00705394" w:rsidRDefault="00185902" w:rsidP="007D11E0">
      <w:pPr>
        <w:pStyle w:val="NoSpacing"/>
        <w:numPr>
          <w:ilvl w:val="0"/>
          <w:numId w:val="34"/>
        </w:numPr>
        <w:spacing w:line="276" w:lineRule="auto"/>
        <w:jc w:val="both"/>
        <w:rPr>
          <w:rFonts w:ascii="Arial" w:hAnsi="Arial" w:cs="Arial"/>
          <w:sz w:val="24"/>
          <w:szCs w:val="24"/>
        </w:rPr>
      </w:pPr>
      <w:r w:rsidRPr="00705394">
        <w:rPr>
          <w:rFonts w:ascii="Arial" w:hAnsi="Arial" w:cs="Arial"/>
          <w:sz w:val="24"/>
          <w:szCs w:val="24"/>
        </w:rPr>
        <w:t xml:space="preserve">Ensure that all appraisers have the knowledge and skills to apply procedures </w:t>
      </w:r>
      <w:proofErr w:type="gramStart"/>
      <w:r w:rsidRPr="00705394">
        <w:rPr>
          <w:rFonts w:ascii="Arial" w:hAnsi="Arial" w:cs="Arial"/>
          <w:sz w:val="24"/>
          <w:szCs w:val="24"/>
        </w:rPr>
        <w:t>fairly;</w:t>
      </w:r>
      <w:proofErr w:type="gramEnd"/>
    </w:p>
    <w:p w14:paraId="65A80923" w14:textId="77777777" w:rsidR="00185902" w:rsidRPr="00705394" w:rsidRDefault="00185902" w:rsidP="007D11E0">
      <w:pPr>
        <w:pStyle w:val="NoSpacing"/>
        <w:numPr>
          <w:ilvl w:val="0"/>
          <w:numId w:val="34"/>
        </w:numPr>
        <w:spacing w:line="276" w:lineRule="auto"/>
        <w:jc w:val="both"/>
        <w:rPr>
          <w:rFonts w:ascii="Arial" w:hAnsi="Arial" w:cs="Arial"/>
          <w:sz w:val="24"/>
          <w:szCs w:val="24"/>
        </w:rPr>
      </w:pPr>
      <w:r w:rsidRPr="00705394">
        <w:rPr>
          <w:rFonts w:ascii="Arial" w:hAnsi="Arial" w:cs="Arial"/>
          <w:sz w:val="24"/>
          <w:szCs w:val="24"/>
        </w:rPr>
        <w:t xml:space="preserve">Ensure that all teachers are appraised in accordance with school policy and relevant </w:t>
      </w:r>
      <w:proofErr w:type="gramStart"/>
      <w:r w:rsidRPr="00705394">
        <w:rPr>
          <w:rFonts w:ascii="Arial" w:hAnsi="Arial" w:cs="Arial"/>
          <w:sz w:val="24"/>
          <w:szCs w:val="24"/>
        </w:rPr>
        <w:t>regulations;</w:t>
      </w:r>
      <w:proofErr w:type="gramEnd"/>
      <w:r w:rsidRPr="00705394">
        <w:rPr>
          <w:rFonts w:ascii="Arial" w:hAnsi="Arial" w:cs="Arial"/>
          <w:sz w:val="24"/>
          <w:szCs w:val="24"/>
        </w:rPr>
        <w:t xml:space="preserve"> </w:t>
      </w:r>
    </w:p>
    <w:p w14:paraId="7A736B90" w14:textId="31EAFC91" w:rsidR="00C51311" w:rsidRPr="00705394" w:rsidRDefault="009339EB" w:rsidP="007D11E0">
      <w:pPr>
        <w:pStyle w:val="NoSpacing"/>
        <w:numPr>
          <w:ilvl w:val="0"/>
          <w:numId w:val="34"/>
        </w:numPr>
        <w:spacing w:line="276" w:lineRule="auto"/>
        <w:jc w:val="both"/>
        <w:rPr>
          <w:rFonts w:ascii="Arial" w:hAnsi="Arial" w:cs="Arial"/>
          <w:sz w:val="24"/>
          <w:szCs w:val="24"/>
        </w:rPr>
      </w:pPr>
      <w:r w:rsidRPr="00705394">
        <w:rPr>
          <w:rFonts w:ascii="Arial" w:hAnsi="Arial" w:cs="Arial"/>
          <w:sz w:val="24"/>
          <w:szCs w:val="24"/>
        </w:rPr>
        <w:t>Sub</w:t>
      </w:r>
      <w:r w:rsidR="00185902" w:rsidRPr="00705394">
        <w:rPr>
          <w:rFonts w:ascii="Arial" w:hAnsi="Arial" w:cs="Arial"/>
          <w:sz w:val="24"/>
          <w:szCs w:val="24"/>
        </w:rPr>
        <w:t>mit</w:t>
      </w:r>
      <w:r w:rsidRPr="00705394">
        <w:rPr>
          <w:rFonts w:ascii="Arial" w:hAnsi="Arial" w:cs="Arial"/>
          <w:sz w:val="24"/>
          <w:szCs w:val="24"/>
        </w:rPr>
        <w:t xml:space="preserve"> </w:t>
      </w:r>
      <w:r w:rsidR="00185902" w:rsidRPr="00705394">
        <w:rPr>
          <w:rFonts w:ascii="Arial" w:hAnsi="Arial" w:cs="Arial"/>
          <w:sz w:val="24"/>
          <w:szCs w:val="24"/>
        </w:rPr>
        <w:t>pay recommendations</w:t>
      </w:r>
      <w:r w:rsidR="007E23B6" w:rsidRPr="00705394">
        <w:rPr>
          <w:rFonts w:ascii="Arial" w:hAnsi="Arial" w:cs="Arial"/>
          <w:sz w:val="24"/>
          <w:szCs w:val="24"/>
        </w:rPr>
        <w:t xml:space="preserve">, resulting </w:t>
      </w:r>
      <w:proofErr w:type="gramStart"/>
      <w:r w:rsidR="007E23B6" w:rsidRPr="00705394">
        <w:rPr>
          <w:rFonts w:ascii="Arial" w:hAnsi="Arial" w:cs="Arial"/>
          <w:sz w:val="24"/>
          <w:szCs w:val="24"/>
        </w:rPr>
        <w:t>from appraisal,</w:t>
      </w:r>
      <w:proofErr w:type="gramEnd"/>
      <w:r w:rsidR="008658FA" w:rsidRPr="00705394">
        <w:rPr>
          <w:rFonts w:ascii="Arial" w:hAnsi="Arial" w:cs="Arial"/>
          <w:sz w:val="24"/>
          <w:szCs w:val="24"/>
        </w:rPr>
        <w:t xml:space="preserve"> to the pay committee</w:t>
      </w:r>
      <w:r w:rsidR="008E57C3" w:rsidRPr="00705394">
        <w:rPr>
          <w:rFonts w:ascii="Arial" w:hAnsi="Arial" w:cs="Arial"/>
          <w:sz w:val="24"/>
          <w:szCs w:val="24"/>
        </w:rPr>
        <w:t xml:space="preserve"> </w:t>
      </w:r>
      <w:r w:rsidR="00C51311" w:rsidRPr="00705394">
        <w:rPr>
          <w:rFonts w:ascii="Arial" w:hAnsi="Arial" w:cs="Arial"/>
          <w:sz w:val="24"/>
          <w:szCs w:val="24"/>
        </w:rPr>
        <w:t xml:space="preserve">for teachers based on pay ranges previously determined by </w:t>
      </w:r>
      <w:r w:rsidR="00185902" w:rsidRPr="00705394">
        <w:rPr>
          <w:rFonts w:ascii="Arial" w:hAnsi="Arial" w:cs="Arial"/>
          <w:sz w:val="24"/>
          <w:szCs w:val="24"/>
        </w:rPr>
        <w:t xml:space="preserve">the governing </w:t>
      </w:r>
      <w:proofErr w:type="gramStart"/>
      <w:r w:rsidR="00185902" w:rsidRPr="00705394">
        <w:rPr>
          <w:rFonts w:ascii="Arial" w:hAnsi="Arial" w:cs="Arial"/>
          <w:sz w:val="24"/>
          <w:szCs w:val="24"/>
        </w:rPr>
        <w:t>body</w:t>
      </w:r>
      <w:r w:rsidR="00C51311" w:rsidRPr="00705394">
        <w:rPr>
          <w:rFonts w:ascii="Arial" w:hAnsi="Arial" w:cs="Arial"/>
          <w:sz w:val="24"/>
          <w:szCs w:val="24"/>
        </w:rPr>
        <w:t>;</w:t>
      </w:r>
      <w:proofErr w:type="gramEnd"/>
      <w:r w:rsidR="00185902" w:rsidRPr="00705394">
        <w:rPr>
          <w:rFonts w:ascii="Arial" w:hAnsi="Arial" w:cs="Arial"/>
          <w:sz w:val="24"/>
          <w:szCs w:val="24"/>
        </w:rPr>
        <w:t xml:space="preserve"> </w:t>
      </w:r>
    </w:p>
    <w:p w14:paraId="12642CE0" w14:textId="759193FD" w:rsidR="007D11E0" w:rsidRPr="00705394" w:rsidRDefault="00C51311" w:rsidP="007D11E0">
      <w:pPr>
        <w:pStyle w:val="ListParagraph"/>
        <w:numPr>
          <w:ilvl w:val="0"/>
          <w:numId w:val="34"/>
        </w:numPr>
      </w:pPr>
      <w:r w:rsidRPr="00705394">
        <w:rPr>
          <w:u w:val="none"/>
        </w:rPr>
        <w:t>Submit pay recommendations for support staff based on the grading determined by the school JE Scheme</w:t>
      </w:r>
      <w:r w:rsidR="007D11E0" w:rsidRPr="00705394">
        <w:rPr>
          <w:u w:val="none"/>
        </w:rPr>
        <w:t>. The governing body must ensure it is aware of the need to avoid equal pay liability for the school by ensuring that governors understand the</w:t>
      </w:r>
      <w:r w:rsidR="00E26326" w:rsidRPr="00705394">
        <w:rPr>
          <w:u w:val="none"/>
        </w:rPr>
        <w:t xml:space="preserve"> </w:t>
      </w:r>
      <w:hyperlink r:id="rId16" w:history="1">
        <w:r w:rsidR="00E26326" w:rsidRPr="00705394">
          <w:t>Guidelines – Job Descriptions | NCC Schools Portal (nottinghamshire.gov.uk)</w:t>
        </w:r>
      </w:hyperlink>
      <w:r w:rsidR="00E26326" w:rsidRPr="00705394">
        <w:rPr>
          <w:u w:val="none"/>
        </w:rPr>
        <w:t xml:space="preserve"> </w:t>
      </w:r>
      <w:r w:rsidR="007D11E0" w:rsidRPr="00705394">
        <w:rPr>
          <w:u w:val="none"/>
        </w:rPr>
        <w:t xml:space="preserve"> </w:t>
      </w:r>
    </w:p>
    <w:p w14:paraId="14C8FF41" w14:textId="78CCD62B" w:rsidR="007D11E0" w:rsidRPr="00705394" w:rsidRDefault="007D11E0" w:rsidP="007D11E0">
      <w:pPr>
        <w:pStyle w:val="ListParagraph"/>
        <w:numPr>
          <w:ilvl w:val="0"/>
          <w:numId w:val="34"/>
        </w:numPr>
        <w:rPr>
          <w:u w:val="none"/>
        </w:rPr>
      </w:pPr>
      <w:r w:rsidRPr="00705394">
        <w:rPr>
          <w:u w:val="none"/>
        </w:rPr>
        <w:t xml:space="preserve">Ensure the governing body has sufficient information upon which to </w:t>
      </w:r>
      <w:r w:rsidR="003A1A92" w:rsidRPr="00705394">
        <w:rPr>
          <w:u w:val="none"/>
        </w:rPr>
        <w:t xml:space="preserve">confirm and or </w:t>
      </w:r>
      <w:r w:rsidRPr="00705394">
        <w:rPr>
          <w:u w:val="none"/>
        </w:rPr>
        <w:t>make pay decisions</w:t>
      </w:r>
    </w:p>
    <w:p w14:paraId="0850752A" w14:textId="0682E7D7" w:rsidR="008E57C3" w:rsidRPr="00705394" w:rsidRDefault="00185902" w:rsidP="007D11E0">
      <w:pPr>
        <w:pStyle w:val="NoSpacing"/>
        <w:numPr>
          <w:ilvl w:val="0"/>
          <w:numId w:val="34"/>
        </w:numPr>
        <w:spacing w:line="276" w:lineRule="auto"/>
        <w:jc w:val="both"/>
        <w:rPr>
          <w:rFonts w:ascii="Arial" w:hAnsi="Arial" w:cs="Arial"/>
          <w:sz w:val="24"/>
          <w:szCs w:val="24"/>
        </w:rPr>
      </w:pPr>
      <w:r w:rsidRPr="00705394">
        <w:rPr>
          <w:rFonts w:ascii="Arial" w:hAnsi="Arial" w:cs="Arial"/>
          <w:sz w:val="24"/>
          <w:szCs w:val="24"/>
        </w:rPr>
        <w:t xml:space="preserve">Ensure that teachers are kept informed about decisions reached; </w:t>
      </w:r>
      <w:r w:rsidR="007E23B6" w:rsidRPr="00705394">
        <w:rPr>
          <w:rFonts w:ascii="Arial" w:hAnsi="Arial" w:cs="Arial"/>
          <w:sz w:val="24"/>
          <w:szCs w:val="24"/>
        </w:rPr>
        <w:t xml:space="preserve">and </w:t>
      </w:r>
      <w:r w:rsidRPr="00705394">
        <w:rPr>
          <w:rFonts w:ascii="Arial" w:hAnsi="Arial" w:cs="Arial"/>
          <w:sz w:val="24"/>
          <w:szCs w:val="24"/>
        </w:rPr>
        <w:t xml:space="preserve">that decisions are </w:t>
      </w:r>
      <w:proofErr w:type="gramStart"/>
      <w:r w:rsidRPr="00705394">
        <w:rPr>
          <w:rFonts w:ascii="Arial" w:hAnsi="Arial" w:cs="Arial"/>
          <w:sz w:val="24"/>
          <w:szCs w:val="24"/>
        </w:rPr>
        <w:t>documented</w:t>
      </w:r>
      <w:r w:rsidR="00AD5E5D" w:rsidRPr="00705394">
        <w:rPr>
          <w:rFonts w:ascii="Arial" w:hAnsi="Arial" w:cs="Arial"/>
          <w:sz w:val="24"/>
          <w:szCs w:val="24"/>
        </w:rPr>
        <w:t>;</w:t>
      </w:r>
      <w:proofErr w:type="gramEnd"/>
    </w:p>
    <w:p w14:paraId="11AB8D86" w14:textId="77777777" w:rsidR="00185902" w:rsidRPr="00705394" w:rsidRDefault="008E57C3" w:rsidP="007D11E0">
      <w:pPr>
        <w:pStyle w:val="NoSpacing"/>
        <w:numPr>
          <w:ilvl w:val="0"/>
          <w:numId w:val="34"/>
        </w:numPr>
        <w:spacing w:line="276" w:lineRule="auto"/>
        <w:jc w:val="both"/>
        <w:rPr>
          <w:rFonts w:ascii="Arial" w:hAnsi="Arial" w:cs="Arial"/>
          <w:sz w:val="24"/>
          <w:szCs w:val="24"/>
        </w:rPr>
      </w:pPr>
      <w:r w:rsidRPr="00705394">
        <w:rPr>
          <w:rFonts w:ascii="Arial" w:hAnsi="Arial" w:cs="Arial"/>
          <w:sz w:val="24"/>
          <w:szCs w:val="24"/>
        </w:rPr>
        <w:t>K</w:t>
      </w:r>
      <w:r w:rsidR="00AD5E5D" w:rsidRPr="00705394">
        <w:rPr>
          <w:rFonts w:ascii="Arial" w:hAnsi="Arial" w:cs="Arial"/>
          <w:sz w:val="24"/>
          <w:szCs w:val="24"/>
        </w:rPr>
        <w:t>eep records of recommendations made and decisions reached to demonstrate that all judgements have been made objectively</w:t>
      </w:r>
      <w:r w:rsidRPr="00705394">
        <w:rPr>
          <w:rFonts w:ascii="Arial" w:hAnsi="Arial" w:cs="Arial"/>
          <w:sz w:val="24"/>
          <w:szCs w:val="24"/>
        </w:rPr>
        <w:t xml:space="preserve"> and </w:t>
      </w:r>
      <w:r w:rsidR="00185902" w:rsidRPr="00705394">
        <w:rPr>
          <w:rFonts w:ascii="Arial" w:hAnsi="Arial" w:cs="Arial"/>
          <w:sz w:val="24"/>
          <w:szCs w:val="24"/>
        </w:rPr>
        <w:t>that there is a clear audit trail of recommendations and decisions made.</w:t>
      </w:r>
    </w:p>
    <w:p w14:paraId="7D61092B" w14:textId="786C17BD" w:rsidR="00AD068E" w:rsidRPr="00705394" w:rsidRDefault="007E23B6" w:rsidP="007D11E0">
      <w:pPr>
        <w:pStyle w:val="ListParagraph"/>
        <w:numPr>
          <w:ilvl w:val="0"/>
          <w:numId w:val="34"/>
        </w:numPr>
        <w:jc w:val="both"/>
        <w:rPr>
          <w:u w:val="none"/>
        </w:rPr>
      </w:pPr>
      <w:r w:rsidRPr="00705394">
        <w:rPr>
          <w:u w:val="none"/>
        </w:rPr>
        <w:t xml:space="preserve">To ensure </w:t>
      </w:r>
      <w:r w:rsidR="005E4283" w:rsidRPr="00705394">
        <w:rPr>
          <w:u w:val="none"/>
        </w:rPr>
        <w:t xml:space="preserve">a </w:t>
      </w:r>
      <w:r w:rsidR="00AD068E" w:rsidRPr="00705394">
        <w:rPr>
          <w:u w:val="none"/>
        </w:rPr>
        <w:t xml:space="preserve">pay audit </w:t>
      </w:r>
      <w:r w:rsidR="005E4283" w:rsidRPr="00705394">
        <w:rPr>
          <w:u w:val="none"/>
        </w:rPr>
        <w:t xml:space="preserve">is undertaken </w:t>
      </w:r>
      <w:r w:rsidR="00AD068E" w:rsidRPr="00705394">
        <w:rPr>
          <w:u w:val="none"/>
        </w:rPr>
        <w:t xml:space="preserve">each year as part of the budget planning process to </w:t>
      </w:r>
      <w:r w:rsidRPr="00705394">
        <w:rPr>
          <w:u w:val="none"/>
        </w:rPr>
        <w:t xml:space="preserve">check and confirm </w:t>
      </w:r>
      <w:r w:rsidR="00AD068E" w:rsidRPr="00705394">
        <w:rPr>
          <w:u w:val="none"/>
        </w:rPr>
        <w:t>that all staff are paid at the correct rate according to their grade to ensure</w:t>
      </w:r>
      <w:r w:rsidR="009E590E">
        <w:rPr>
          <w:u w:val="none"/>
        </w:rPr>
        <w:t xml:space="preserve"> finances are robustly managed</w:t>
      </w:r>
      <w:r w:rsidR="00AD068E" w:rsidRPr="00705394">
        <w:rPr>
          <w:u w:val="none"/>
        </w:rPr>
        <w:t xml:space="preserve">. </w:t>
      </w:r>
    </w:p>
    <w:p w14:paraId="0EA9BF5E" w14:textId="77777777" w:rsidR="00185902" w:rsidRPr="00705394" w:rsidRDefault="00185902" w:rsidP="00396DA7">
      <w:pPr>
        <w:pStyle w:val="NoSpacing"/>
        <w:spacing w:line="276" w:lineRule="auto"/>
        <w:jc w:val="both"/>
        <w:rPr>
          <w:rFonts w:ascii="Arial" w:hAnsi="Arial" w:cs="Arial"/>
          <w:sz w:val="24"/>
          <w:szCs w:val="24"/>
          <w:u w:val="single"/>
        </w:rPr>
      </w:pPr>
      <w:r w:rsidRPr="00705394">
        <w:rPr>
          <w:rFonts w:ascii="Arial" w:hAnsi="Arial" w:cs="Arial"/>
          <w:sz w:val="24"/>
          <w:szCs w:val="24"/>
          <w:u w:val="single"/>
        </w:rPr>
        <w:t>Teachers</w:t>
      </w:r>
    </w:p>
    <w:p w14:paraId="211F3FA8" w14:textId="77777777" w:rsidR="0024100E" w:rsidRPr="00705394" w:rsidRDefault="0024100E" w:rsidP="00396DA7">
      <w:pPr>
        <w:pStyle w:val="NoSpacing"/>
        <w:spacing w:line="276" w:lineRule="auto"/>
        <w:ind w:left="284"/>
        <w:jc w:val="both"/>
        <w:rPr>
          <w:rFonts w:ascii="Arial" w:hAnsi="Arial" w:cs="Arial"/>
          <w:sz w:val="24"/>
          <w:szCs w:val="24"/>
        </w:rPr>
      </w:pPr>
    </w:p>
    <w:p w14:paraId="46D9E6F3" w14:textId="204E9432" w:rsidR="00185902" w:rsidRPr="00705394" w:rsidRDefault="00185902" w:rsidP="00396DA7">
      <w:pPr>
        <w:pStyle w:val="NoSpacing"/>
        <w:spacing w:line="276" w:lineRule="auto"/>
        <w:jc w:val="both"/>
        <w:rPr>
          <w:rFonts w:ascii="Arial" w:hAnsi="Arial" w:cs="Arial"/>
          <w:sz w:val="24"/>
          <w:szCs w:val="24"/>
        </w:rPr>
      </w:pPr>
      <w:r w:rsidRPr="00705394">
        <w:rPr>
          <w:rFonts w:ascii="Arial" w:hAnsi="Arial" w:cs="Arial"/>
          <w:sz w:val="24"/>
          <w:szCs w:val="24"/>
        </w:rPr>
        <w:t>A</w:t>
      </w:r>
      <w:r w:rsidR="00293FC8" w:rsidRPr="00705394">
        <w:rPr>
          <w:rFonts w:ascii="Arial" w:hAnsi="Arial" w:cs="Arial"/>
          <w:sz w:val="24"/>
          <w:szCs w:val="24"/>
        </w:rPr>
        <w:t xml:space="preserve">ll </w:t>
      </w:r>
      <w:r w:rsidRPr="00705394">
        <w:rPr>
          <w:rFonts w:ascii="Arial" w:hAnsi="Arial" w:cs="Arial"/>
          <w:sz w:val="24"/>
          <w:szCs w:val="24"/>
        </w:rPr>
        <w:t>teacher</w:t>
      </w:r>
      <w:r w:rsidR="00293FC8" w:rsidRPr="00705394">
        <w:rPr>
          <w:rFonts w:ascii="Arial" w:hAnsi="Arial" w:cs="Arial"/>
          <w:sz w:val="24"/>
          <w:szCs w:val="24"/>
        </w:rPr>
        <w:t>s</w:t>
      </w:r>
      <w:r w:rsidR="0024100E" w:rsidRPr="00705394">
        <w:rPr>
          <w:rFonts w:ascii="Arial" w:hAnsi="Arial" w:cs="Arial"/>
          <w:sz w:val="24"/>
          <w:szCs w:val="24"/>
        </w:rPr>
        <w:t xml:space="preserve"> should</w:t>
      </w:r>
      <w:r w:rsidR="00B10A76" w:rsidRPr="00705394">
        <w:rPr>
          <w:rFonts w:ascii="Arial" w:hAnsi="Arial" w:cs="Arial"/>
          <w:sz w:val="24"/>
          <w:szCs w:val="24"/>
        </w:rPr>
        <w:t>:</w:t>
      </w:r>
    </w:p>
    <w:p w14:paraId="307DC6BB" w14:textId="77777777" w:rsidR="00185902" w:rsidRPr="00705394" w:rsidRDefault="00185902" w:rsidP="00396DA7">
      <w:pPr>
        <w:pStyle w:val="NoSpacing"/>
        <w:spacing w:line="276" w:lineRule="auto"/>
        <w:ind w:left="284"/>
        <w:jc w:val="both"/>
        <w:rPr>
          <w:rFonts w:ascii="Arial" w:hAnsi="Arial" w:cs="Arial"/>
          <w:sz w:val="24"/>
          <w:szCs w:val="24"/>
        </w:rPr>
      </w:pPr>
    </w:p>
    <w:p w14:paraId="643DAE3A" w14:textId="62CE9A29" w:rsidR="00185902" w:rsidRPr="00705394" w:rsidRDefault="00185902" w:rsidP="00B42818">
      <w:pPr>
        <w:pStyle w:val="NoSpacing"/>
        <w:numPr>
          <w:ilvl w:val="0"/>
          <w:numId w:val="14"/>
        </w:numPr>
        <w:spacing w:line="276" w:lineRule="auto"/>
        <w:ind w:left="709" w:hanging="425"/>
        <w:jc w:val="both"/>
        <w:rPr>
          <w:rFonts w:ascii="Arial" w:hAnsi="Arial" w:cs="Arial"/>
          <w:strike/>
          <w:sz w:val="24"/>
          <w:szCs w:val="24"/>
        </w:rPr>
      </w:pPr>
      <w:r w:rsidRPr="00705394">
        <w:rPr>
          <w:rFonts w:ascii="Arial" w:hAnsi="Arial" w:cs="Arial"/>
          <w:sz w:val="24"/>
          <w:szCs w:val="24"/>
        </w:rPr>
        <w:t xml:space="preserve">Engage </w:t>
      </w:r>
      <w:r w:rsidR="00C51311" w:rsidRPr="00705394">
        <w:rPr>
          <w:rFonts w:ascii="Arial" w:hAnsi="Arial" w:cs="Arial"/>
          <w:sz w:val="24"/>
          <w:szCs w:val="24"/>
        </w:rPr>
        <w:t xml:space="preserve">fully and proactively </w:t>
      </w:r>
      <w:r w:rsidRPr="00705394">
        <w:rPr>
          <w:rFonts w:ascii="Arial" w:hAnsi="Arial" w:cs="Arial"/>
          <w:sz w:val="24"/>
          <w:szCs w:val="24"/>
        </w:rPr>
        <w:t xml:space="preserve">with appraisal; this includes understanding what is expected of them and taking responsibility for working with their appraiser to ensure that there is a secure evidence base </w:t>
      </w:r>
      <w:r w:rsidR="007E23B6" w:rsidRPr="00705394">
        <w:rPr>
          <w:rFonts w:ascii="Arial" w:hAnsi="Arial" w:cs="Arial"/>
          <w:sz w:val="24"/>
          <w:szCs w:val="24"/>
        </w:rPr>
        <w:t>for</w:t>
      </w:r>
      <w:r w:rsidRPr="00705394">
        <w:rPr>
          <w:rFonts w:ascii="Arial" w:hAnsi="Arial" w:cs="Arial"/>
          <w:sz w:val="24"/>
          <w:szCs w:val="24"/>
        </w:rPr>
        <w:t xml:space="preserve"> </w:t>
      </w:r>
      <w:r w:rsidR="007948DF" w:rsidRPr="00705394">
        <w:rPr>
          <w:rFonts w:ascii="Arial" w:hAnsi="Arial" w:cs="Arial"/>
          <w:sz w:val="24"/>
          <w:szCs w:val="24"/>
        </w:rPr>
        <w:t>appraisal to be effective.</w:t>
      </w:r>
    </w:p>
    <w:p w14:paraId="2D51CD0D" w14:textId="5C169687" w:rsidR="00185902" w:rsidRPr="00705394" w:rsidRDefault="00185902" w:rsidP="00B42818">
      <w:pPr>
        <w:pStyle w:val="NoSpacing"/>
        <w:numPr>
          <w:ilvl w:val="0"/>
          <w:numId w:val="14"/>
        </w:numPr>
        <w:spacing w:line="276" w:lineRule="auto"/>
        <w:ind w:left="709" w:hanging="425"/>
        <w:jc w:val="both"/>
        <w:rPr>
          <w:rFonts w:ascii="Arial" w:hAnsi="Arial" w:cs="Arial"/>
          <w:sz w:val="24"/>
          <w:szCs w:val="24"/>
        </w:rPr>
      </w:pPr>
      <w:r w:rsidRPr="00705394">
        <w:rPr>
          <w:rFonts w:ascii="Arial" w:hAnsi="Arial" w:cs="Arial"/>
          <w:sz w:val="24"/>
          <w:szCs w:val="24"/>
        </w:rPr>
        <w:t xml:space="preserve">Keep records of their objectives </w:t>
      </w:r>
      <w:r w:rsidR="00906DC3" w:rsidRPr="00705394">
        <w:rPr>
          <w:rFonts w:ascii="Arial" w:hAnsi="Arial" w:cs="Arial"/>
          <w:sz w:val="24"/>
          <w:szCs w:val="24"/>
        </w:rPr>
        <w:t>and success</w:t>
      </w:r>
      <w:r w:rsidR="000C64BC" w:rsidRPr="00705394">
        <w:rPr>
          <w:rFonts w:ascii="Arial" w:hAnsi="Arial" w:cs="Arial"/>
          <w:sz w:val="24"/>
          <w:szCs w:val="24"/>
        </w:rPr>
        <w:t xml:space="preserve"> criteria </w:t>
      </w:r>
      <w:r w:rsidRPr="00705394">
        <w:rPr>
          <w:rFonts w:ascii="Arial" w:hAnsi="Arial" w:cs="Arial"/>
          <w:sz w:val="24"/>
          <w:szCs w:val="24"/>
        </w:rPr>
        <w:t>and review them throughout the appraisal process</w:t>
      </w:r>
    </w:p>
    <w:p w14:paraId="3634275E" w14:textId="6999B14D" w:rsidR="00185902" w:rsidRPr="00705394" w:rsidRDefault="00777A61" w:rsidP="00B42818">
      <w:pPr>
        <w:pStyle w:val="NoSpacing"/>
        <w:numPr>
          <w:ilvl w:val="0"/>
          <w:numId w:val="14"/>
        </w:numPr>
        <w:spacing w:line="276" w:lineRule="auto"/>
        <w:ind w:left="709" w:hanging="425"/>
        <w:jc w:val="both"/>
        <w:rPr>
          <w:rFonts w:ascii="Arial" w:hAnsi="Arial" w:cs="Arial"/>
          <w:sz w:val="24"/>
          <w:szCs w:val="24"/>
        </w:rPr>
      </w:pPr>
      <w:r w:rsidRPr="00705394">
        <w:rPr>
          <w:rFonts w:ascii="Arial" w:hAnsi="Arial" w:cs="Arial"/>
          <w:sz w:val="24"/>
          <w:szCs w:val="24"/>
        </w:rPr>
        <w:t xml:space="preserve">Take responsibility for collation, preparation and sharing </w:t>
      </w:r>
      <w:r w:rsidR="00185902" w:rsidRPr="00705394">
        <w:rPr>
          <w:rFonts w:ascii="Arial" w:hAnsi="Arial" w:cs="Arial"/>
          <w:sz w:val="24"/>
          <w:szCs w:val="24"/>
        </w:rPr>
        <w:t>any evidence they consider relevant with their appraiser</w:t>
      </w:r>
      <w:r w:rsidR="00C51311" w:rsidRPr="00705394">
        <w:rPr>
          <w:rFonts w:ascii="Arial" w:hAnsi="Arial" w:cs="Arial"/>
          <w:sz w:val="24"/>
          <w:szCs w:val="24"/>
        </w:rPr>
        <w:t xml:space="preserve"> at each stage of the appraisal cycle</w:t>
      </w:r>
    </w:p>
    <w:p w14:paraId="09D70B1B" w14:textId="4833C544" w:rsidR="00906DC3" w:rsidRPr="00705394" w:rsidRDefault="00906DC3" w:rsidP="00B42818">
      <w:pPr>
        <w:pStyle w:val="NoSpacing"/>
        <w:numPr>
          <w:ilvl w:val="0"/>
          <w:numId w:val="14"/>
        </w:numPr>
        <w:spacing w:line="276" w:lineRule="auto"/>
        <w:ind w:left="709" w:hanging="425"/>
        <w:jc w:val="both"/>
        <w:rPr>
          <w:rFonts w:ascii="Arial" w:hAnsi="Arial" w:cs="Arial"/>
          <w:sz w:val="24"/>
          <w:szCs w:val="24"/>
        </w:rPr>
      </w:pPr>
      <w:r w:rsidRPr="00705394">
        <w:rPr>
          <w:rFonts w:ascii="Arial" w:hAnsi="Arial" w:cs="Arial"/>
          <w:sz w:val="24"/>
          <w:szCs w:val="24"/>
        </w:rPr>
        <w:t>Decide whether they wish to apply to access the UPR</w:t>
      </w:r>
      <w:r w:rsidR="003A1A92" w:rsidRPr="00705394">
        <w:rPr>
          <w:rFonts w:ascii="Arial" w:hAnsi="Arial" w:cs="Arial"/>
          <w:sz w:val="24"/>
          <w:szCs w:val="24"/>
        </w:rPr>
        <w:t xml:space="preserve">, have discussions with their appraiser and prepare by working towards </w:t>
      </w:r>
      <w:r w:rsidRPr="00705394">
        <w:rPr>
          <w:rFonts w:ascii="Arial" w:hAnsi="Arial" w:cs="Arial"/>
          <w:sz w:val="24"/>
          <w:szCs w:val="24"/>
        </w:rPr>
        <w:t>appropriate evidence</w:t>
      </w:r>
    </w:p>
    <w:p w14:paraId="19D1C900" w14:textId="77777777" w:rsidR="00185902" w:rsidRPr="00705394" w:rsidRDefault="00185902" w:rsidP="00B42818">
      <w:pPr>
        <w:pStyle w:val="NoSpacing"/>
        <w:numPr>
          <w:ilvl w:val="0"/>
          <w:numId w:val="14"/>
        </w:numPr>
        <w:spacing w:line="276" w:lineRule="auto"/>
        <w:ind w:left="709" w:hanging="425"/>
        <w:jc w:val="both"/>
        <w:rPr>
          <w:rFonts w:ascii="Arial" w:hAnsi="Arial" w:cs="Arial"/>
          <w:sz w:val="24"/>
          <w:szCs w:val="24"/>
        </w:rPr>
      </w:pPr>
      <w:r w:rsidRPr="00705394">
        <w:rPr>
          <w:rFonts w:ascii="Arial" w:hAnsi="Arial" w:cs="Arial"/>
          <w:sz w:val="24"/>
          <w:szCs w:val="24"/>
        </w:rPr>
        <w:t>Ensure they have an annual review of their performance;</w:t>
      </w:r>
      <w:r w:rsidR="0024100E" w:rsidRPr="00705394">
        <w:rPr>
          <w:rFonts w:ascii="Arial" w:hAnsi="Arial" w:cs="Arial"/>
          <w:sz w:val="24"/>
          <w:szCs w:val="24"/>
        </w:rPr>
        <w:t xml:space="preserve"> and</w:t>
      </w:r>
    </w:p>
    <w:p w14:paraId="2018D5B3" w14:textId="2AFD1048" w:rsidR="00185902" w:rsidRPr="00705394" w:rsidRDefault="00185902" w:rsidP="00B42818">
      <w:pPr>
        <w:pStyle w:val="NoSpacing"/>
        <w:numPr>
          <w:ilvl w:val="0"/>
          <w:numId w:val="14"/>
        </w:numPr>
        <w:spacing w:line="276" w:lineRule="auto"/>
        <w:ind w:left="709" w:hanging="425"/>
        <w:jc w:val="both"/>
        <w:rPr>
          <w:rFonts w:ascii="Arial" w:hAnsi="Arial" w:cs="Arial"/>
          <w:sz w:val="24"/>
          <w:szCs w:val="24"/>
        </w:rPr>
      </w:pPr>
      <w:r w:rsidRPr="00705394">
        <w:rPr>
          <w:rFonts w:ascii="Arial" w:hAnsi="Arial" w:cs="Arial"/>
          <w:sz w:val="24"/>
          <w:szCs w:val="24"/>
        </w:rPr>
        <w:t>Undertake their responsibility for the appraisal of</w:t>
      </w:r>
      <w:r w:rsidR="00CC0FFE" w:rsidRPr="00705394">
        <w:rPr>
          <w:rFonts w:ascii="Arial" w:hAnsi="Arial" w:cs="Arial"/>
          <w:sz w:val="24"/>
          <w:szCs w:val="24"/>
        </w:rPr>
        <w:t xml:space="preserve"> other t</w:t>
      </w:r>
      <w:r w:rsidRPr="00705394">
        <w:rPr>
          <w:rFonts w:ascii="Arial" w:hAnsi="Arial" w:cs="Arial"/>
          <w:sz w:val="24"/>
          <w:szCs w:val="24"/>
        </w:rPr>
        <w:t xml:space="preserve">eachers </w:t>
      </w:r>
      <w:r w:rsidR="00247F4C" w:rsidRPr="00705394">
        <w:rPr>
          <w:rFonts w:ascii="Arial" w:hAnsi="Arial" w:cs="Arial"/>
          <w:sz w:val="24"/>
          <w:szCs w:val="24"/>
        </w:rPr>
        <w:t xml:space="preserve">where required, </w:t>
      </w:r>
      <w:r w:rsidRPr="00705394">
        <w:rPr>
          <w:rFonts w:ascii="Arial" w:hAnsi="Arial" w:cs="Arial"/>
          <w:sz w:val="24"/>
          <w:szCs w:val="24"/>
        </w:rPr>
        <w:t>in accordance with the school appraisal and pay policy</w:t>
      </w:r>
      <w:r w:rsidR="00247F4C" w:rsidRPr="00705394">
        <w:rPr>
          <w:rFonts w:ascii="Arial" w:hAnsi="Arial" w:cs="Arial"/>
          <w:sz w:val="24"/>
          <w:szCs w:val="24"/>
        </w:rPr>
        <w:t xml:space="preserve"> and as delegated by the headteacher.</w:t>
      </w:r>
    </w:p>
    <w:p w14:paraId="73CAFF8D" w14:textId="77777777" w:rsidR="00185902" w:rsidRPr="00705394" w:rsidRDefault="00185902" w:rsidP="00396DA7">
      <w:pPr>
        <w:spacing w:after="0"/>
        <w:ind w:left="284"/>
        <w:jc w:val="both"/>
        <w:rPr>
          <w:b/>
          <w:bCs/>
          <w:u w:val="none"/>
        </w:rPr>
      </w:pPr>
    </w:p>
    <w:p w14:paraId="4DBAC805" w14:textId="0FDD7B5B" w:rsidR="0024100E" w:rsidRPr="00705394" w:rsidRDefault="00150A4A" w:rsidP="001E1BBC">
      <w:pPr>
        <w:spacing w:after="0"/>
        <w:jc w:val="both"/>
        <w:rPr>
          <w:b/>
          <w:bCs/>
          <w:u w:val="none"/>
        </w:rPr>
      </w:pPr>
      <w:r w:rsidRPr="00705394">
        <w:rPr>
          <w:b/>
          <w:bCs/>
          <w:u w:val="none"/>
        </w:rPr>
        <w:t xml:space="preserve">Pay Policy </w:t>
      </w:r>
      <w:r w:rsidR="00C51311" w:rsidRPr="00705394">
        <w:rPr>
          <w:b/>
          <w:bCs/>
          <w:u w:val="none"/>
        </w:rPr>
        <w:t xml:space="preserve">Paragraph 2.0 </w:t>
      </w:r>
      <w:r w:rsidR="007948DF" w:rsidRPr="00705394">
        <w:rPr>
          <w:b/>
          <w:bCs/>
          <w:u w:val="none"/>
        </w:rPr>
        <w:t>–</w:t>
      </w:r>
      <w:r w:rsidR="003B5635" w:rsidRPr="00705394">
        <w:rPr>
          <w:b/>
          <w:bCs/>
          <w:u w:val="none"/>
        </w:rPr>
        <w:t xml:space="preserve"> </w:t>
      </w:r>
      <w:r w:rsidR="007948DF" w:rsidRPr="00705394">
        <w:rPr>
          <w:b/>
          <w:bCs/>
          <w:u w:val="none"/>
        </w:rPr>
        <w:t xml:space="preserve">2.3 </w:t>
      </w:r>
      <w:r w:rsidR="00185902" w:rsidRPr="00705394">
        <w:rPr>
          <w:b/>
          <w:bCs/>
          <w:u w:val="none"/>
        </w:rPr>
        <w:t xml:space="preserve">Equalities and Equal Opportunities </w:t>
      </w:r>
    </w:p>
    <w:p w14:paraId="11985524" w14:textId="77777777" w:rsidR="00C51311" w:rsidRPr="00705394" w:rsidRDefault="00C51311" w:rsidP="001E1BBC">
      <w:pPr>
        <w:spacing w:after="0"/>
        <w:jc w:val="both"/>
        <w:rPr>
          <w:u w:val="none"/>
        </w:rPr>
      </w:pPr>
    </w:p>
    <w:p w14:paraId="1C06FA15" w14:textId="5172EA06" w:rsidR="00185902" w:rsidRPr="00705394" w:rsidRDefault="00185902" w:rsidP="001E1BBC">
      <w:pPr>
        <w:spacing w:after="0"/>
        <w:jc w:val="both"/>
        <w:rPr>
          <w:u w:val="none"/>
        </w:rPr>
      </w:pPr>
      <w:r w:rsidRPr="00705394">
        <w:rPr>
          <w:u w:val="none"/>
        </w:rPr>
        <w:t xml:space="preserve">The Equality Act 2010 sets out in detail how </w:t>
      </w:r>
      <w:r w:rsidR="008E57C3" w:rsidRPr="00705394">
        <w:rPr>
          <w:u w:val="none"/>
        </w:rPr>
        <w:t>employers</w:t>
      </w:r>
      <w:r w:rsidRPr="00705394">
        <w:rPr>
          <w:u w:val="none"/>
        </w:rPr>
        <w:t xml:space="preserve"> must </w:t>
      </w:r>
      <w:r w:rsidR="00777A61" w:rsidRPr="00705394">
        <w:rPr>
          <w:u w:val="none"/>
        </w:rPr>
        <w:t xml:space="preserve">comply with the law so that </w:t>
      </w:r>
      <w:r w:rsidR="008E57C3" w:rsidRPr="00705394">
        <w:rPr>
          <w:u w:val="none"/>
        </w:rPr>
        <w:t>they</w:t>
      </w:r>
      <w:r w:rsidR="00777A61" w:rsidRPr="00705394">
        <w:rPr>
          <w:u w:val="none"/>
        </w:rPr>
        <w:t xml:space="preserve"> do</w:t>
      </w:r>
      <w:r w:rsidR="00C51311" w:rsidRPr="00705394">
        <w:rPr>
          <w:u w:val="none"/>
        </w:rPr>
        <w:t xml:space="preserve"> </w:t>
      </w:r>
      <w:r w:rsidRPr="00705394">
        <w:rPr>
          <w:u w:val="none"/>
        </w:rPr>
        <w:t xml:space="preserve">not discriminate against </w:t>
      </w:r>
      <w:r w:rsidR="003A1A92" w:rsidRPr="00705394">
        <w:rPr>
          <w:u w:val="none"/>
        </w:rPr>
        <w:t xml:space="preserve">employees </w:t>
      </w:r>
      <w:r w:rsidRPr="00705394">
        <w:rPr>
          <w:u w:val="none"/>
        </w:rPr>
        <w:t>because of a relevant protected characteristic.</w:t>
      </w:r>
      <w:r w:rsidR="00080A56" w:rsidRPr="00705394">
        <w:rPr>
          <w:u w:val="none"/>
        </w:rPr>
        <w:t xml:space="preserve"> </w:t>
      </w:r>
      <w:r w:rsidRPr="00705394">
        <w:rPr>
          <w:u w:val="none"/>
        </w:rPr>
        <w:t xml:space="preserve"> Discrimination can be </w:t>
      </w:r>
      <w:r w:rsidRPr="00705394">
        <w:t>direct</w:t>
      </w:r>
      <w:r w:rsidRPr="00705394">
        <w:rPr>
          <w:u w:val="none"/>
        </w:rPr>
        <w:t xml:space="preserve">, for example where a school discriminates against a female teacher because she is pregnant or, </w:t>
      </w:r>
      <w:r w:rsidRPr="00705394">
        <w:t>indirect</w:t>
      </w:r>
      <w:r w:rsidRPr="00705394">
        <w:rPr>
          <w:u w:val="none"/>
        </w:rPr>
        <w:t xml:space="preserve"> where actions by the school are potentially </w:t>
      </w:r>
      <w:r w:rsidRPr="00705394">
        <w:rPr>
          <w:u w:val="none"/>
        </w:rPr>
        <w:lastRenderedPageBreak/>
        <w:t>unlawful in circumstances where the pay policy, though applied equally to all teachers</w:t>
      </w:r>
      <w:r w:rsidR="008E57C3" w:rsidRPr="00705394">
        <w:rPr>
          <w:u w:val="none"/>
        </w:rPr>
        <w:t>,</w:t>
      </w:r>
      <w:r w:rsidRPr="00705394">
        <w:rPr>
          <w:u w:val="none"/>
        </w:rPr>
        <w:t xml:space="preserve"> might disadvantage a particular group.</w:t>
      </w:r>
    </w:p>
    <w:p w14:paraId="1B0E403A" w14:textId="77777777" w:rsidR="007948DF" w:rsidRPr="00705394" w:rsidRDefault="007948DF" w:rsidP="001E1BBC">
      <w:pPr>
        <w:spacing w:after="0"/>
        <w:jc w:val="both"/>
        <w:rPr>
          <w:u w:val="none"/>
        </w:rPr>
      </w:pPr>
    </w:p>
    <w:p w14:paraId="786B3899" w14:textId="76388073" w:rsidR="00185902" w:rsidRPr="00705394" w:rsidRDefault="007948DF" w:rsidP="007E23B6">
      <w:pPr>
        <w:spacing w:after="0"/>
        <w:jc w:val="both"/>
        <w:rPr>
          <w:u w:val="none"/>
        </w:rPr>
      </w:pPr>
      <w:r w:rsidRPr="00705394">
        <w:rPr>
          <w:u w:val="none"/>
        </w:rPr>
        <w:t xml:space="preserve">2.3 </w:t>
      </w:r>
      <w:r w:rsidRPr="00705394">
        <w:rPr>
          <w:u w:val="none"/>
        </w:rPr>
        <w:tab/>
        <w:t xml:space="preserve">Schools are strongly advised to undertake the equality analysis </w:t>
      </w:r>
      <w:r w:rsidR="009518E3" w:rsidRPr="00705394">
        <w:rPr>
          <w:b/>
          <w:bCs/>
          <w:u w:val="none"/>
        </w:rPr>
        <w:t>(Toolkit Appendix 9</w:t>
      </w:r>
      <w:r w:rsidR="009518E3" w:rsidRPr="00705394">
        <w:rPr>
          <w:u w:val="none"/>
        </w:rPr>
        <w:t xml:space="preserve">) </w:t>
      </w:r>
      <w:r w:rsidRPr="00705394">
        <w:rPr>
          <w:u w:val="none"/>
        </w:rPr>
        <w:t xml:space="preserve">but ensure that the process is not unduly burdensome. </w:t>
      </w:r>
      <w:bookmarkStart w:id="1" w:name="_Hlk50393347"/>
      <w:r w:rsidR="00185902" w:rsidRPr="00705394">
        <w:rPr>
          <w:u w:val="none"/>
        </w:rPr>
        <w:t>The governing Body should refer to the detailed</w:t>
      </w:r>
      <w:r w:rsidR="0075269E" w:rsidRPr="00705394">
        <w:rPr>
          <w:u w:val="none"/>
        </w:rPr>
        <w:t xml:space="preserve"> DfE</w:t>
      </w:r>
      <w:r w:rsidR="00185902" w:rsidRPr="00705394">
        <w:rPr>
          <w:u w:val="none"/>
        </w:rPr>
        <w:t xml:space="preserve"> guidance</w:t>
      </w:r>
      <w:r w:rsidR="00B46C9A" w:rsidRPr="00705394">
        <w:rPr>
          <w:u w:val="none"/>
        </w:rPr>
        <w:t xml:space="preserve"> </w:t>
      </w:r>
      <w:hyperlink r:id="rId17" w:history="1">
        <w:r w:rsidR="00CA23BD" w:rsidRPr="00705394">
          <w:rPr>
            <w:rStyle w:val="Hyperlink"/>
            <w:color w:val="auto"/>
          </w:rPr>
          <w:t>https://www.nottinghamshire.gov.uk/media/116789/4-dfe-guidance-the-equality-act-2010-and-schools-may-2014.pdf</w:t>
        </w:r>
      </w:hyperlink>
      <w:r w:rsidR="00CA23BD" w:rsidRPr="00705394">
        <w:rPr>
          <w:u w:val="none"/>
        </w:rPr>
        <w:t xml:space="preserve">. </w:t>
      </w:r>
      <w:r w:rsidR="0075269E" w:rsidRPr="00705394">
        <w:rPr>
          <w:u w:val="none"/>
        </w:rPr>
        <w:t>S</w:t>
      </w:r>
      <w:r w:rsidR="00185902" w:rsidRPr="00705394">
        <w:rPr>
          <w:u w:val="none"/>
        </w:rPr>
        <w:t xml:space="preserve">ee also paragraph </w:t>
      </w:r>
      <w:r w:rsidR="009518E3" w:rsidRPr="00705394">
        <w:rPr>
          <w:u w:val="none"/>
        </w:rPr>
        <w:t>30.0</w:t>
      </w:r>
      <w:r w:rsidR="00185902" w:rsidRPr="00705394">
        <w:rPr>
          <w:u w:val="none"/>
        </w:rPr>
        <w:t xml:space="preserve"> for guidance on the </w:t>
      </w:r>
      <w:r w:rsidR="00601B51" w:rsidRPr="00705394">
        <w:rPr>
          <w:u w:val="none"/>
        </w:rPr>
        <w:t>M</w:t>
      </w:r>
      <w:r w:rsidR="00185902" w:rsidRPr="00705394">
        <w:rPr>
          <w:u w:val="none"/>
        </w:rPr>
        <w:t xml:space="preserve">onitoring and </w:t>
      </w:r>
      <w:r w:rsidR="00601B51" w:rsidRPr="00705394">
        <w:rPr>
          <w:u w:val="none"/>
        </w:rPr>
        <w:t>R</w:t>
      </w:r>
      <w:r w:rsidR="00185902" w:rsidRPr="00705394">
        <w:rPr>
          <w:u w:val="none"/>
        </w:rPr>
        <w:t>eview of the policy.</w:t>
      </w:r>
    </w:p>
    <w:bookmarkEnd w:id="1"/>
    <w:p w14:paraId="44673CCB" w14:textId="77777777" w:rsidR="002B59F1" w:rsidRPr="00705394" w:rsidRDefault="002B59F1" w:rsidP="002B59F1">
      <w:pPr>
        <w:spacing w:after="0"/>
        <w:jc w:val="both"/>
        <w:rPr>
          <w:b/>
          <w:bCs/>
          <w:u w:val="none"/>
        </w:rPr>
      </w:pPr>
    </w:p>
    <w:p w14:paraId="1686A6B0" w14:textId="77777777" w:rsidR="00185902" w:rsidRPr="00705394" w:rsidRDefault="00150A4A" w:rsidP="001E1BBC">
      <w:pPr>
        <w:spacing w:after="0"/>
        <w:jc w:val="both"/>
        <w:rPr>
          <w:b/>
          <w:bCs/>
          <w:u w:val="none"/>
        </w:rPr>
      </w:pPr>
      <w:r w:rsidRPr="00705394">
        <w:rPr>
          <w:b/>
          <w:bCs/>
          <w:u w:val="none"/>
        </w:rPr>
        <w:t xml:space="preserve">Pay </w:t>
      </w:r>
      <w:r w:rsidR="008E57C3" w:rsidRPr="00705394">
        <w:rPr>
          <w:b/>
          <w:bCs/>
          <w:u w:val="none"/>
        </w:rPr>
        <w:t>P</w:t>
      </w:r>
      <w:r w:rsidRPr="00705394">
        <w:rPr>
          <w:b/>
          <w:bCs/>
          <w:u w:val="none"/>
        </w:rPr>
        <w:t xml:space="preserve">olicy </w:t>
      </w:r>
      <w:r w:rsidR="00C51311" w:rsidRPr="00705394">
        <w:rPr>
          <w:b/>
          <w:bCs/>
          <w:u w:val="none"/>
        </w:rPr>
        <w:t xml:space="preserve">Paragraph 3.0 </w:t>
      </w:r>
      <w:r w:rsidR="003B5635" w:rsidRPr="00705394">
        <w:rPr>
          <w:b/>
          <w:bCs/>
          <w:u w:val="none"/>
        </w:rPr>
        <w:t xml:space="preserve">- </w:t>
      </w:r>
      <w:r w:rsidR="00185902" w:rsidRPr="00705394">
        <w:rPr>
          <w:b/>
          <w:bCs/>
          <w:u w:val="none"/>
        </w:rPr>
        <w:t>Impact of Absence during the Appraisal Cycle</w:t>
      </w:r>
    </w:p>
    <w:p w14:paraId="46B5593F" w14:textId="77777777" w:rsidR="0024100E" w:rsidRPr="00705394" w:rsidRDefault="0024100E" w:rsidP="001E1BBC">
      <w:pPr>
        <w:spacing w:after="0"/>
        <w:jc w:val="both"/>
        <w:rPr>
          <w:u w:val="none"/>
        </w:rPr>
      </w:pPr>
    </w:p>
    <w:p w14:paraId="362D9F47" w14:textId="3ABD3BBE" w:rsidR="00565A3F" w:rsidRPr="00705394" w:rsidRDefault="00565A3F" w:rsidP="001E1BBC">
      <w:pPr>
        <w:spacing w:after="0"/>
        <w:jc w:val="both"/>
        <w:rPr>
          <w:u w:val="none"/>
          <w:lang w:val="en-US"/>
        </w:rPr>
      </w:pPr>
      <w:r w:rsidRPr="00705394">
        <w:rPr>
          <w:u w:val="none"/>
          <w:lang w:val="en-US"/>
        </w:rPr>
        <w:t xml:space="preserve">Where absences occur during the appraisal cycle, it is important that </w:t>
      </w:r>
      <w:r w:rsidR="007E23B6" w:rsidRPr="00705394">
        <w:rPr>
          <w:u w:val="none"/>
          <w:lang w:val="en-US"/>
        </w:rPr>
        <w:t>the headte</w:t>
      </w:r>
      <w:r w:rsidRPr="00705394">
        <w:rPr>
          <w:u w:val="none"/>
          <w:lang w:val="en-US"/>
        </w:rPr>
        <w:t>acher (for teachers) and the Chair of Governors (in respect of the headteacher) seek advice from the HR Service. If the Head</w:t>
      </w:r>
      <w:r w:rsidR="007E23B6" w:rsidRPr="00705394">
        <w:rPr>
          <w:u w:val="none"/>
          <w:lang w:val="en-US"/>
        </w:rPr>
        <w:t>t</w:t>
      </w:r>
      <w:r w:rsidRPr="00705394">
        <w:rPr>
          <w:u w:val="none"/>
          <w:lang w:val="en-US"/>
        </w:rPr>
        <w:t xml:space="preserve">eacher is absent for a prolonged </w:t>
      </w:r>
      <w:r w:rsidR="005E4283" w:rsidRPr="00705394">
        <w:rPr>
          <w:u w:val="none"/>
          <w:lang w:val="en-US"/>
        </w:rPr>
        <w:t>period,</w:t>
      </w:r>
      <w:r w:rsidRPr="00705394">
        <w:rPr>
          <w:u w:val="none"/>
          <w:lang w:val="en-US"/>
        </w:rPr>
        <w:t xml:space="preserve"> the governing body must ensure that robust arrangements for the management of the appraisal cycle for all staff in the school are put in place. </w:t>
      </w:r>
    </w:p>
    <w:p w14:paraId="0F443505" w14:textId="77777777" w:rsidR="005E4283" w:rsidRPr="00705394" w:rsidRDefault="005E4283" w:rsidP="001E1BBC">
      <w:pPr>
        <w:spacing w:after="0"/>
        <w:jc w:val="both"/>
        <w:rPr>
          <w:b/>
          <w:u w:val="none"/>
          <w:lang w:val="en-US"/>
        </w:rPr>
      </w:pPr>
    </w:p>
    <w:p w14:paraId="46B2CC92" w14:textId="1416B150" w:rsidR="00185902" w:rsidRPr="00705394" w:rsidRDefault="00185902" w:rsidP="006F4AEF">
      <w:pPr>
        <w:spacing w:after="0"/>
        <w:rPr>
          <w:u w:val="none"/>
        </w:rPr>
      </w:pPr>
      <w:r w:rsidRPr="00705394">
        <w:rPr>
          <w:u w:val="none"/>
        </w:rPr>
        <w:t xml:space="preserve">Assessing </w:t>
      </w:r>
      <w:r w:rsidR="0063289D" w:rsidRPr="00705394">
        <w:rPr>
          <w:u w:val="none"/>
        </w:rPr>
        <w:t xml:space="preserve">appraisal outcomes </w:t>
      </w:r>
      <w:r w:rsidRPr="00705394">
        <w:rPr>
          <w:u w:val="none"/>
        </w:rPr>
        <w:t>in the context of absence may create some difficulties for the appraisal process</w:t>
      </w:r>
      <w:r w:rsidR="0063289D" w:rsidRPr="00705394">
        <w:rPr>
          <w:u w:val="none"/>
        </w:rPr>
        <w:t xml:space="preserve"> but pay progression must always be supported unless there are serious performance concerns as set out in the policy</w:t>
      </w:r>
      <w:r w:rsidRPr="00705394">
        <w:rPr>
          <w:u w:val="none"/>
        </w:rPr>
        <w:t>.  Head</w:t>
      </w:r>
      <w:r w:rsidR="007E23B6" w:rsidRPr="00705394">
        <w:rPr>
          <w:u w:val="none"/>
        </w:rPr>
        <w:t>t</w:t>
      </w:r>
      <w:r w:rsidRPr="00705394">
        <w:rPr>
          <w:u w:val="none"/>
        </w:rPr>
        <w:t xml:space="preserve">eachers must be aware that a decision not to award incremental pay progression must be </w:t>
      </w:r>
      <w:r w:rsidRPr="00705394">
        <w:rPr>
          <w:b/>
          <w:bCs/>
          <w:u w:val="none"/>
        </w:rPr>
        <w:t>evidence</w:t>
      </w:r>
      <w:r w:rsidRPr="00705394">
        <w:rPr>
          <w:u w:val="none"/>
        </w:rPr>
        <w:t xml:space="preserve"> </w:t>
      </w:r>
      <w:r w:rsidR="009E590E" w:rsidRPr="00705394">
        <w:rPr>
          <w:u w:val="none"/>
        </w:rPr>
        <w:t>based,</w:t>
      </w:r>
      <w:r w:rsidRPr="00705394">
        <w:rPr>
          <w:u w:val="none"/>
        </w:rPr>
        <w:t xml:space="preserve"> and it is important to ensure that the rationale for any decision is properly documented and recorded.</w:t>
      </w:r>
    </w:p>
    <w:p w14:paraId="545EC904" w14:textId="77777777" w:rsidR="008E57C3" w:rsidRPr="00705394" w:rsidRDefault="008E57C3" w:rsidP="006F4AEF">
      <w:pPr>
        <w:spacing w:after="0"/>
        <w:rPr>
          <w:u w:val="none"/>
        </w:rPr>
      </w:pPr>
    </w:p>
    <w:p w14:paraId="53527F56" w14:textId="4816B52D" w:rsidR="00185902" w:rsidRPr="00705394" w:rsidRDefault="00185902" w:rsidP="006F4AEF">
      <w:pPr>
        <w:spacing w:after="0"/>
        <w:rPr>
          <w:u w:val="none"/>
        </w:rPr>
      </w:pPr>
      <w:r w:rsidRPr="00705394">
        <w:rPr>
          <w:u w:val="none"/>
        </w:rPr>
        <w:t>Maternity Absence</w:t>
      </w:r>
      <w:r w:rsidR="008E57C3" w:rsidRPr="00705394">
        <w:rPr>
          <w:u w:val="none"/>
        </w:rPr>
        <w:t xml:space="preserve"> –</w:t>
      </w:r>
      <w:r w:rsidRPr="00705394">
        <w:rPr>
          <w:u w:val="none"/>
        </w:rPr>
        <w:t xml:space="preserve"> </w:t>
      </w:r>
      <w:r w:rsidR="008E57C3" w:rsidRPr="00705394">
        <w:rPr>
          <w:u w:val="none"/>
        </w:rPr>
        <w:t>a</w:t>
      </w:r>
      <w:r w:rsidRPr="00705394">
        <w:rPr>
          <w:u w:val="none"/>
        </w:rPr>
        <w:t xml:space="preserve"> decision to deny an emplo</w:t>
      </w:r>
      <w:r w:rsidR="0075269E" w:rsidRPr="00705394">
        <w:rPr>
          <w:u w:val="none"/>
        </w:rPr>
        <w:t xml:space="preserve">yee an appraisal review and/or </w:t>
      </w:r>
      <w:r w:rsidRPr="00705394">
        <w:rPr>
          <w:u w:val="none"/>
        </w:rPr>
        <w:t>subsequent pay progression</w:t>
      </w:r>
      <w:r w:rsidR="008E57C3" w:rsidRPr="00705394">
        <w:rPr>
          <w:u w:val="none"/>
        </w:rPr>
        <w:t xml:space="preserve"> </w:t>
      </w:r>
      <w:r w:rsidRPr="00705394">
        <w:rPr>
          <w:bCs/>
        </w:rPr>
        <w:t xml:space="preserve">because of </w:t>
      </w:r>
      <w:r w:rsidRPr="00705394">
        <w:t>their</w:t>
      </w:r>
      <w:r w:rsidRPr="00705394">
        <w:rPr>
          <w:b/>
          <w:bCs/>
        </w:rPr>
        <w:t xml:space="preserve"> </w:t>
      </w:r>
      <w:r w:rsidRPr="00705394">
        <w:t>absence due to maternity leave</w:t>
      </w:r>
      <w:r w:rsidRPr="00705394">
        <w:rPr>
          <w:u w:val="none"/>
        </w:rPr>
        <w:t xml:space="preserve"> will automatically be discriminatory and unlawful. The school must take a practical and flexible approach to conducting appraisals and </w:t>
      </w:r>
      <w:r w:rsidR="00125D99" w:rsidRPr="00705394">
        <w:rPr>
          <w:u w:val="none"/>
        </w:rPr>
        <w:t xml:space="preserve">in </w:t>
      </w:r>
      <w:r w:rsidRPr="00705394">
        <w:rPr>
          <w:u w:val="none"/>
        </w:rPr>
        <w:t xml:space="preserve">making pay decisions for women absent on maternity leave </w:t>
      </w:r>
      <w:r w:rsidR="00125D99" w:rsidRPr="00705394">
        <w:rPr>
          <w:u w:val="none"/>
        </w:rPr>
        <w:t xml:space="preserve">which </w:t>
      </w:r>
      <w:r w:rsidRPr="00705394">
        <w:rPr>
          <w:u w:val="none"/>
        </w:rPr>
        <w:t>include</w:t>
      </w:r>
      <w:r w:rsidR="00125D99" w:rsidRPr="00705394">
        <w:rPr>
          <w:u w:val="none"/>
        </w:rPr>
        <w:t>s</w:t>
      </w:r>
      <w:r w:rsidRPr="00705394">
        <w:rPr>
          <w:u w:val="none"/>
        </w:rPr>
        <w:t xml:space="preserve"> situations where a teacher has been absent for part or </w:t>
      </w:r>
      <w:proofErr w:type="gramStart"/>
      <w:r w:rsidRPr="00705394">
        <w:rPr>
          <w:u w:val="none"/>
        </w:rPr>
        <w:t>all of</w:t>
      </w:r>
      <w:proofErr w:type="gramEnd"/>
      <w:r w:rsidRPr="00705394">
        <w:rPr>
          <w:u w:val="none"/>
        </w:rPr>
        <w:t xml:space="preserve"> the reporting year.</w:t>
      </w:r>
      <w:r w:rsidR="009518E3" w:rsidRPr="00705394">
        <w:rPr>
          <w:u w:val="none"/>
        </w:rPr>
        <w:t xml:space="preserve"> This means that when a teacher returns to work from maternity leave, the school must give her any pay increase that she would have received, following appraisal, had she not been absent due to maternity leave</w:t>
      </w:r>
      <w:r w:rsidR="0063289D" w:rsidRPr="00705394">
        <w:rPr>
          <w:u w:val="none"/>
        </w:rPr>
        <w:t>, unless there are serious performance concerns.</w:t>
      </w:r>
      <w:r w:rsidR="009518E3" w:rsidRPr="00705394">
        <w:rPr>
          <w:u w:val="none"/>
        </w:rPr>
        <w:t xml:space="preserve"> </w:t>
      </w:r>
      <w:bookmarkStart w:id="2" w:name="_Hlk181281795"/>
      <w:r w:rsidR="0063289D" w:rsidRPr="00705394">
        <w:rPr>
          <w:u w:val="none"/>
        </w:rPr>
        <w:t>Before any decision is made about pay progression in these circumstances HR advice should be sought.</w:t>
      </w:r>
      <w:bookmarkEnd w:id="2"/>
    </w:p>
    <w:p w14:paraId="1EEBDAC3" w14:textId="77777777" w:rsidR="00080A56" w:rsidRPr="00705394" w:rsidRDefault="00080A56" w:rsidP="001E1BBC">
      <w:pPr>
        <w:spacing w:after="0"/>
        <w:jc w:val="both"/>
        <w:rPr>
          <w:u w:val="none"/>
        </w:rPr>
      </w:pPr>
    </w:p>
    <w:p w14:paraId="5934407B" w14:textId="7C6F7C68" w:rsidR="00185902" w:rsidRPr="00705394" w:rsidRDefault="00185902" w:rsidP="006F4AEF">
      <w:pPr>
        <w:spacing w:after="0"/>
        <w:rPr>
          <w:u w:val="none"/>
        </w:rPr>
      </w:pPr>
      <w:r w:rsidRPr="00705394">
        <w:rPr>
          <w:u w:val="none"/>
        </w:rPr>
        <w:t>Disability related sickness absence – schools are required to consider reasonable adjustments</w:t>
      </w:r>
      <w:r w:rsidR="00A72D0C">
        <w:rPr>
          <w:u w:val="none"/>
        </w:rPr>
        <w:t xml:space="preserve">, including obtaining Occupational Health Advice, </w:t>
      </w:r>
      <w:r w:rsidRPr="00705394">
        <w:rPr>
          <w:u w:val="none"/>
        </w:rPr>
        <w:t xml:space="preserve">for a teacher who is absent for disability related reasons </w:t>
      </w:r>
      <w:r w:rsidR="00150A4A" w:rsidRPr="00705394">
        <w:rPr>
          <w:u w:val="none"/>
        </w:rPr>
        <w:t xml:space="preserve">so that they </w:t>
      </w:r>
      <w:r w:rsidR="008E57C3" w:rsidRPr="00705394">
        <w:rPr>
          <w:u w:val="none"/>
        </w:rPr>
        <w:t>can fully</w:t>
      </w:r>
      <w:r w:rsidRPr="00705394">
        <w:rPr>
          <w:u w:val="none"/>
        </w:rPr>
        <w:t xml:space="preserve"> participate in appraisal and have access to pay progression.</w:t>
      </w:r>
      <w:r w:rsidR="00B129A6" w:rsidRPr="00705394">
        <w:rPr>
          <w:u w:val="none"/>
        </w:rPr>
        <w:t xml:space="preserve"> </w:t>
      </w:r>
      <w:r w:rsidRPr="00705394">
        <w:rPr>
          <w:u w:val="none"/>
        </w:rPr>
        <w:t xml:space="preserve"> Whilst there is no equivalent of the “maternity equality clause” (i.e. the clause that deems a woman to have received a pay rise to which she would have been entitled had she not been on maternity leave) in the Equality Act, a decision based on sickness absence which is disability related may also be discriminatory, where it falls under the provisions of the Equality Act (2010). </w:t>
      </w:r>
      <w:r w:rsidR="003F69ED" w:rsidRPr="00705394">
        <w:rPr>
          <w:u w:val="none"/>
        </w:rPr>
        <w:t>Advice should be sought on all absences so that the school can evidence, through Occupational Health advice, where necessary, decisions made in cases of disability.</w:t>
      </w:r>
    </w:p>
    <w:p w14:paraId="449AA020" w14:textId="77777777" w:rsidR="005E4283" w:rsidRPr="00705394" w:rsidRDefault="005E4283" w:rsidP="001E1BBC">
      <w:pPr>
        <w:spacing w:after="0"/>
        <w:jc w:val="both"/>
      </w:pPr>
    </w:p>
    <w:p w14:paraId="7AFDC59C" w14:textId="77777777" w:rsidR="00185902" w:rsidRPr="00705394" w:rsidRDefault="00185902" w:rsidP="001E1BBC">
      <w:pPr>
        <w:spacing w:after="0"/>
        <w:jc w:val="both"/>
      </w:pPr>
      <w:r w:rsidRPr="00705394">
        <w:t>Absence for Some of the Appraisal Cycle</w:t>
      </w:r>
    </w:p>
    <w:p w14:paraId="7492F7A4" w14:textId="77777777" w:rsidR="0017347D" w:rsidRPr="00705394" w:rsidRDefault="0017347D" w:rsidP="001E1BBC">
      <w:pPr>
        <w:spacing w:after="0"/>
        <w:jc w:val="both"/>
        <w:rPr>
          <w:u w:val="none"/>
        </w:rPr>
      </w:pPr>
    </w:p>
    <w:p w14:paraId="5B14AF67" w14:textId="32CE67C5" w:rsidR="00185902" w:rsidRPr="00705394" w:rsidRDefault="00185902" w:rsidP="006F4AEF">
      <w:pPr>
        <w:spacing w:after="0"/>
        <w:rPr>
          <w:u w:val="none"/>
        </w:rPr>
      </w:pPr>
      <w:r w:rsidRPr="00705394">
        <w:rPr>
          <w:u w:val="none"/>
        </w:rPr>
        <w:t xml:space="preserve">In these circumstances, the school should ensure that the absent teacher receives fair treatment whilst ensuring the integrity and robustness of the </w:t>
      </w:r>
      <w:r w:rsidR="005E4283" w:rsidRPr="00705394">
        <w:rPr>
          <w:u w:val="none"/>
        </w:rPr>
        <w:t>school’s</w:t>
      </w:r>
      <w:r w:rsidRPr="00705394">
        <w:rPr>
          <w:u w:val="none"/>
        </w:rPr>
        <w:t xml:space="preserve"> appraisal and pay policies</w:t>
      </w:r>
      <w:r w:rsidR="007E23B6" w:rsidRPr="00705394">
        <w:rPr>
          <w:u w:val="none"/>
        </w:rPr>
        <w:t xml:space="preserve"> and in most </w:t>
      </w:r>
      <w:r w:rsidR="009E590E" w:rsidRPr="00705394">
        <w:rPr>
          <w:u w:val="none"/>
        </w:rPr>
        <w:t>cases,</w:t>
      </w:r>
      <w:r w:rsidR="007E23B6" w:rsidRPr="00705394">
        <w:rPr>
          <w:u w:val="none"/>
        </w:rPr>
        <w:t xml:space="preserve"> i</w:t>
      </w:r>
      <w:r w:rsidRPr="00705394">
        <w:rPr>
          <w:u w:val="none"/>
        </w:rPr>
        <w:t xml:space="preserve">t should still be possible to </w:t>
      </w:r>
      <w:r w:rsidR="009E590E" w:rsidRPr="00705394">
        <w:rPr>
          <w:u w:val="none"/>
        </w:rPr>
        <w:t>decide</w:t>
      </w:r>
      <w:r w:rsidRPr="00705394">
        <w:rPr>
          <w:u w:val="none"/>
        </w:rPr>
        <w:t xml:space="preserve"> of overall </w:t>
      </w:r>
      <w:r w:rsidR="0063289D" w:rsidRPr="00705394">
        <w:rPr>
          <w:u w:val="none"/>
        </w:rPr>
        <w:t xml:space="preserve">achievement of </w:t>
      </w:r>
      <w:r w:rsidRPr="00705394">
        <w:rPr>
          <w:u w:val="none"/>
        </w:rPr>
        <w:t xml:space="preserve">appraisal objectives and the relevant Teacher Standards within the current appraisal cycle.  Any pay decision must be based on the </w:t>
      </w:r>
      <w:r w:rsidRPr="00705394">
        <w:rPr>
          <w:b/>
          <w:bCs/>
          <w:u w:val="none"/>
        </w:rPr>
        <w:t>evidence</w:t>
      </w:r>
      <w:r w:rsidRPr="00705394">
        <w:rPr>
          <w:u w:val="none"/>
        </w:rPr>
        <w:t xml:space="preserve"> </w:t>
      </w:r>
      <w:r w:rsidR="009E590E" w:rsidRPr="00705394">
        <w:rPr>
          <w:u w:val="none"/>
        </w:rPr>
        <w:t>available,</w:t>
      </w:r>
      <w:r w:rsidR="00BB042D" w:rsidRPr="00705394">
        <w:rPr>
          <w:u w:val="none"/>
        </w:rPr>
        <w:t xml:space="preserve"> and the absence itself will not be a factor in determining pay progression decisions</w:t>
      </w:r>
      <w:r w:rsidRPr="00705394">
        <w:rPr>
          <w:u w:val="none"/>
        </w:rPr>
        <w:t xml:space="preserve">. </w:t>
      </w:r>
      <w:r w:rsidR="009518E3" w:rsidRPr="00705394">
        <w:rPr>
          <w:u w:val="none"/>
        </w:rPr>
        <w:t>The school should seek to minimise the bureaucracy for all involved.</w:t>
      </w:r>
    </w:p>
    <w:p w14:paraId="4399F475" w14:textId="5C049009" w:rsidR="003F69ED" w:rsidRPr="00705394" w:rsidRDefault="00185902" w:rsidP="006F4AEF">
      <w:pPr>
        <w:pStyle w:val="NormalWeb"/>
        <w:spacing w:after="0" w:afterAutospacing="0" w:line="276" w:lineRule="auto"/>
        <w:rPr>
          <w:rFonts w:ascii="Arial" w:hAnsi="Arial" w:cs="Arial"/>
          <w:u w:val="none"/>
        </w:rPr>
      </w:pPr>
      <w:r w:rsidRPr="00705394">
        <w:rPr>
          <w:rFonts w:ascii="Arial" w:hAnsi="Arial" w:cs="Arial"/>
          <w:b/>
          <w:bCs/>
          <w:u w:val="none"/>
        </w:rPr>
        <w:t>Maternity leave</w:t>
      </w:r>
      <w:r w:rsidRPr="00705394">
        <w:rPr>
          <w:rFonts w:ascii="Arial" w:hAnsi="Arial" w:cs="Arial"/>
          <w:u w:val="none"/>
        </w:rPr>
        <w:t xml:space="preserve"> - In the case of maternity leave, </w:t>
      </w:r>
      <w:r w:rsidR="00BB042D" w:rsidRPr="00705394">
        <w:rPr>
          <w:rFonts w:ascii="Arial" w:hAnsi="Arial" w:cs="Arial"/>
          <w:u w:val="none"/>
        </w:rPr>
        <w:t>assessing progress towards meeting appraisal objectives b</w:t>
      </w:r>
      <w:r w:rsidRPr="00705394">
        <w:rPr>
          <w:rFonts w:ascii="Arial" w:hAnsi="Arial" w:cs="Arial"/>
          <w:u w:val="none"/>
        </w:rPr>
        <w:t xml:space="preserve">efore the leave began, even if this is early in the appraisal year or the period after a return, even if this is late in the appraisal year should be </w:t>
      </w:r>
      <w:r w:rsidR="009E590E" w:rsidRPr="00705394">
        <w:rPr>
          <w:rFonts w:ascii="Arial" w:hAnsi="Arial" w:cs="Arial"/>
          <w:u w:val="none"/>
        </w:rPr>
        <w:t>considered</w:t>
      </w:r>
      <w:r w:rsidRPr="00705394">
        <w:rPr>
          <w:rFonts w:ascii="Arial" w:hAnsi="Arial" w:cs="Arial"/>
          <w:u w:val="none"/>
        </w:rPr>
        <w:t xml:space="preserve">. This will include consideration of any </w:t>
      </w:r>
      <w:r w:rsidR="00BB042D" w:rsidRPr="00705394">
        <w:rPr>
          <w:rFonts w:ascii="Arial" w:hAnsi="Arial" w:cs="Arial"/>
          <w:u w:val="none"/>
        </w:rPr>
        <w:t xml:space="preserve">progress </w:t>
      </w:r>
      <w:r w:rsidRPr="00705394">
        <w:rPr>
          <w:rFonts w:ascii="Arial" w:hAnsi="Arial" w:cs="Arial"/>
          <w:u w:val="none"/>
        </w:rPr>
        <w:t>that may have reasonably been expected to have been achieved during the compulsory maternity leave period. Where there is insufficient evidence during the current appraisal cycle</w:t>
      </w:r>
      <w:r w:rsidR="008E57C3" w:rsidRPr="00705394">
        <w:rPr>
          <w:rFonts w:ascii="Arial" w:hAnsi="Arial" w:cs="Arial"/>
          <w:u w:val="none"/>
        </w:rPr>
        <w:t>,</w:t>
      </w:r>
      <w:r w:rsidRPr="00705394">
        <w:rPr>
          <w:rFonts w:ascii="Arial" w:hAnsi="Arial" w:cs="Arial"/>
          <w:u w:val="none"/>
        </w:rPr>
        <w:t xml:space="preserve"> a judgement will need to be made about using evidence from recent previous appraisal reviews. </w:t>
      </w:r>
      <w:r w:rsidR="00B129A6" w:rsidRPr="00705394">
        <w:rPr>
          <w:rFonts w:ascii="Arial" w:hAnsi="Arial" w:cs="Arial"/>
          <w:u w:val="none"/>
        </w:rPr>
        <w:t xml:space="preserve"> </w:t>
      </w:r>
      <w:r w:rsidRPr="00705394">
        <w:rPr>
          <w:rFonts w:ascii="Arial" w:hAnsi="Arial" w:cs="Arial"/>
          <w:u w:val="none"/>
        </w:rPr>
        <w:t>Schools should not require teachers to use their Keeping in Touch (KIT) days for the purposes of appraisal</w:t>
      </w:r>
      <w:r w:rsidR="008E57C3" w:rsidRPr="00705394">
        <w:rPr>
          <w:rFonts w:ascii="Arial" w:hAnsi="Arial" w:cs="Arial"/>
          <w:u w:val="none"/>
        </w:rPr>
        <w:t>.</w:t>
      </w:r>
      <w:r w:rsidR="009518E3" w:rsidRPr="00705394">
        <w:rPr>
          <w:rFonts w:ascii="Arial" w:hAnsi="Arial" w:cs="Arial"/>
          <w:u w:val="none"/>
        </w:rPr>
        <w:t xml:space="preserve"> Schools should consider conducting appraisals prior to individuals departing on maternity leave, even if it is early in the appraisal year and base any appraisal on the evidence to date in that appraisal year. Account may also be take</w:t>
      </w:r>
      <w:r w:rsidR="0063289D" w:rsidRPr="00705394">
        <w:rPr>
          <w:rFonts w:ascii="Arial" w:hAnsi="Arial" w:cs="Arial"/>
          <w:u w:val="none"/>
        </w:rPr>
        <w:t>n</w:t>
      </w:r>
      <w:r w:rsidR="009518E3" w:rsidRPr="00705394">
        <w:rPr>
          <w:rFonts w:ascii="Arial" w:hAnsi="Arial" w:cs="Arial"/>
          <w:u w:val="none"/>
        </w:rPr>
        <w:t xml:space="preserve"> of appraisal evidence in previous appraisal </w:t>
      </w:r>
      <w:r w:rsidR="0063289D" w:rsidRPr="00705394">
        <w:rPr>
          <w:rFonts w:ascii="Arial" w:hAnsi="Arial" w:cs="Arial"/>
          <w:u w:val="none"/>
        </w:rPr>
        <w:t>periods if</w:t>
      </w:r>
      <w:r w:rsidR="009518E3" w:rsidRPr="00705394">
        <w:rPr>
          <w:rFonts w:ascii="Arial" w:hAnsi="Arial" w:cs="Arial"/>
          <w:u w:val="none"/>
        </w:rPr>
        <w:t xml:space="preserve"> there is little evidence to go on in the current year. </w:t>
      </w:r>
      <w:r w:rsidR="00BB042D" w:rsidRPr="00705394">
        <w:rPr>
          <w:rFonts w:ascii="Arial" w:hAnsi="Arial" w:cs="Arial"/>
          <w:u w:val="none"/>
        </w:rPr>
        <w:t>Pay progression may only withheld where there is evidence of serious performance concerns. Before any decision is made about pay progression in these circumstances HR advice should be sought.</w:t>
      </w:r>
    </w:p>
    <w:p w14:paraId="3BE373BE" w14:textId="0F7FEBF6" w:rsidR="009518E3" w:rsidRPr="00705394" w:rsidRDefault="00185902" w:rsidP="009518E3">
      <w:pPr>
        <w:pStyle w:val="NormalWeb"/>
        <w:spacing w:after="0" w:afterAutospacing="0" w:line="276" w:lineRule="auto"/>
        <w:rPr>
          <w:rFonts w:ascii="Arial" w:hAnsi="Arial" w:cs="Arial"/>
          <w:u w:val="none"/>
        </w:rPr>
      </w:pPr>
      <w:r w:rsidRPr="00705394">
        <w:rPr>
          <w:rFonts w:ascii="Arial" w:hAnsi="Arial" w:cs="Arial"/>
          <w:b/>
          <w:bCs/>
          <w:u w:val="none"/>
        </w:rPr>
        <w:t>Disability related absence</w:t>
      </w:r>
      <w:r w:rsidRPr="00705394">
        <w:rPr>
          <w:rFonts w:ascii="Arial" w:hAnsi="Arial" w:cs="Arial"/>
          <w:u w:val="none"/>
        </w:rPr>
        <w:t xml:space="preserve"> - In the case of disability related absence the school should consider the same range of options outlined above for teachers on maternity leave. </w:t>
      </w:r>
      <w:r w:rsidR="00B129A6" w:rsidRPr="00705394">
        <w:rPr>
          <w:rFonts w:ascii="Arial" w:hAnsi="Arial" w:cs="Arial"/>
          <w:u w:val="none"/>
        </w:rPr>
        <w:t xml:space="preserve"> </w:t>
      </w:r>
      <w:r w:rsidRPr="00705394">
        <w:rPr>
          <w:rFonts w:ascii="Arial" w:hAnsi="Arial" w:cs="Arial"/>
          <w:u w:val="none"/>
        </w:rPr>
        <w:t xml:space="preserve">When a teacher returns to work following a period of disability related absence, the school must not refuse a pay increase that the teacher would have received, following appraisal, had </w:t>
      </w:r>
      <w:r w:rsidR="009518E3" w:rsidRPr="00705394">
        <w:rPr>
          <w:rFonts w:ascii="Arial" w:hAnsi="Arial" w:cs="Arial"/>
          <w:u w:val="none"/>
        </w:rPr>
        <w:t>they</w:t>
      </w:r>
      <w:r w:rsidRPr="00705394">
        <w:rPr>
          <w:rFonts w:ascii="Arial" w:hAnsi="Arial" w:cs="Arial"/>
          <w:u w:val="none"/>
        </w:rPr>
        <w:t xml:space="preserve"> not been absent for a reason related to disability, if the reason for the refusal is the teacher’s disability or the reason for the refusal cannot be objectively justified. </w:t>
      </w:r>
      <w:r w:rsidR="00B129A6" w:rsidRPr="00705394">
        <w:rPr>
          <w:rFonts w:ascii="Arial" w:hAnsi="Arial" w:cs="Arial"/>
          <w:u w:val="none"/>
        </w:rPr>
        <w:t xml:space="preserve"> </w:t>
      </w:r>
      <w:r w:rsidRPr="00705394">
        <w:rPr>
          <w:rFonts w:ascii="Arial" w:hAnsi="Arial" w:cs="Arial"/>
          <w:u w:val="none"/>
        </w:rPr>
        <w:t xml:space="preserve">Advice from your HR Business Partner and Occupational Health provider must be sought to establish whether the absence is disability </w:t>
      </w:r>
      <w:r w:rsidR="009E590E" w:rsidRPr="00705394">
        <w:rPr>
          <w:rFonts w:ascii="Arial" w:hAnsi="Arial" w:cs="Arial"/>
          <w:u w:val="none"/>
        </w:rPr>
        <w:t>related,</w:t>
      </w:r>
      <w:r w:rsidR="00BB042D" w:rsidRPr="00705394">
        <w:rPr>
          <w:rFonts w:ascii="Arial" w:hAnsi="Arial" w:cs="Arial"/>
          <w:u w:val="none"/>
        </w:rPr>
        <w:t xml:space="preserve"> and support provided to the employee as required</w:t>
      </w:r>
      <w:r w:rsidRPr="00705394">
        <w:rPr>
          <w:rFonts w:ascii="Arial" w:hAnsi="Arial" w:cs="Arial"/>
          <w:u w:val="none"/>
        </w:rPr>
        <w:t>.</w:t>
      </w:r>
      <w:r w:rsidR="009518E3" w:rsidRPr="00705394">
        <w:rPr>
          <w:rFonts w:ascii="Arial" w:hAnsi="Arial" w:cs="Arial"/>
          <w:u w:val="none"/>
        </w:rPr>
        <w:t xml:space="preserve"> Pay and appraisal policies should incorporate the consideration and implementation of reasonable adjustments to provide an equal opportunity to participate in appraisal and access to training and pay progression.</w:t>
      </w:r>
    </w:p>
    <w:p w14:paraId="27F14A62" w14:textId="1FDC1FB6" w:rsidR="00185902" w:rsidRPr="00705394" w:rsidRDefault="00185902" w:rsidP="009518E3">
      <w:pPr>
        <w:pStyle w:val="NormalWeb"/>
        <w:spacing w:after="0" w:afterAutospacing="0" w:line="276" w:lineRule="auto"/>
        <w:rPr>
          <w:rFonts w:ascii="Arial" w:hAnsi="Arial" w:cs="Arial"/>
        </w:rPr>
      </w:pPr>
      <w:r w:rsidRPr="00705394">
        <w:rPr>
          <w:rFonts w:ascii="Arial" w:hAnsi="Arial" w:cs="Arial"/>
        </w:rPr>
        <w:t xml:space="preserve">Absence for </w:t>
      </w:r>
      <w:proofErr w:type="gramStart"/>
      <w:r w:rsidRPr="00705394">
        <w:rPr>
          <w:rFonts w:ascii="Arial" w:hAnsi="Arial" w:cs="Arial"/>
        </w:rPr>
        <w:t>all of</w:t>
      </w:r>
      <w:proofErr w:type="gramEnd"/>
      <w:r w:rsidRPr="00705394">
        <w:rPr>
          <w:rFonts w:ascii="Arial" w:hAnsi="Arial" w:cs="Arial"/>
        </w:rPr>
        <w:t xml:space="preserve"> the Appraisal Cycle</w:t>
      </w:r>
    </w:p>
    <w:p w14:paraId="6EBF6AC4" w14:textId="77777777" w:rsidR="0017347D" w:rsidRPr="00705394" w:rsidRDefault="0017347D" w:rsidP="00396DA7">
      <w:pPr>
        <w:pStyle w:val="NoSpacing"/>
        <w:spacing w:line="276" w:lineRule="auto"/>
        <w:ind w:left="284"/>
        <w:jc w:val="both"/>
        <w:rPr>
          <w:rFonts w:ascii="Arial" w:hAnsi="Arial" w:cs="Arial"/>
          <w:sz w:val="24"/>
          <w:szCs w:val="24"/>
        </w:rPr>
      </w:pPr>
    </w:p>
    <w:p w14:paraId="406FC0E3" w14:textId="269F0816" w:rsidR="00185902" w:rsidRPr="00705394" w:rsidRDefault="00185902" w:rsidP="006F4AEF">
      <w:pPr>
        <w:pStyle w:val="NoSpacing"/>
        <w:spacing w:line="276" w:lineRule="auto"/>
        <w:rPr>
          <w:rFonts w:ascii="Arial" w:hAnsi="Arial" w:cs="Arial"/>
          <w:sz w:val="24"/>
          <w:szCs w:val="24"/>
        </w:rPr>
      </w:pPr>
      <w:r w:rsidRPr="00705394">
        <w:rPr>
          <w:rFonts w:ascii="Arial" w:hAnsi="Arial" w:cs="Arial"/>
          <w:sz w:val="24"/>
          <w:szCs w:val="24"/>
        </w:rPr>
        <w:t xml:space="preserve">In the case of maternity leave or disability related sickness absence, where the employee is absent for the whole of the appraisal cycle (or such proportion of it rendering it impossible to assess </w:t>
      </w:r>
      <w:r w:rsidR="0063289D" w:rsidRPr="00705394">
        <w:rPr>
          <w:rFonts w:ascii="Arial" w:hAnsi="Arial" w:cs="Arial"/>
          <w:sz w:val="24"/>
          <w:szCs w:val="24"/>
        </w:rPr>
        <w:t>progress against the appraisal objectives</w:t>
      </w:r>
      <w:r w:rsidRPr="00705394">
        <w:rPr>
          <w:rFonts w:ascii="Arial" w:hAnsi="Arial" w:cs="Arial"/>
          <w:sz w:val="24"/>
          <w:szCs w:val="24"/>
        </w:rPr>
        <w:t xml:space="preserve">), then a judgement </w:t>
      </w:r>
      <w:r w:rsidR="00BB042D" w:rsidRPr="00705394">
        <w:rPr>
          <w:rFonts w:ascii="Arial" w:hAnsi="Arial" w:cs="Arial"/>
          <w:sz w:val="24"/>
          <w:szCs w:val="24"/>
        </w:rPr>
        <w:t xml:space="preserve">on appraisal outcomes </w:t>
      </w:r>
      <w:r w:rsidRPr="00705394">
        <w:rPr>
          <w:rFonts w:ascii="Arial" w:hAnsi="Arial" w:cs="Arial"/>
          <w:sz w:val="24"/>
          <w:szCs w:val="24"/>
        </w:rPr>
        <w:t xml:space="preserve">should be made on how the employee would have </w:t>
      </w:r>
      <w:r w:rsidR="0063289D" w:rsidRPr="00705394">
        <w:rPr>
          <w:rFonts w:ascii="Arial" w:hAnsi="Arial" w:cs="Arial"/>
          <w:sz w:val="24"/>
          <w:szCs w:val="24"/>
        </w:rPr>
        <w:t xml:space="preserve">achieved </w:t>
      </w:r>
      <w:r w:rsidRPr="00705394">
        <w:rPr>
          <w:rFonts w:ascii="Arial" w:hAnsi="Arial" w:cs="Arial"/>
          <w:sz w:val="24"/>
          <w:szCs w:val="24"/>
        </w:rPr>
        <w:t xml:space="preserve">had they been present.  This should be done by </w:t>
      </w:r>
      <w:r w:rsidR="00A80737" w:rsidRPr="00705394">
        <w:rPr>
          <w:rFonts w:ascii="Arial" w:hAnsi="Arial" w:cs="Arial"/>
          <w:sz w:val="24"/>
          <w:szCs w:val="24"/>
        </w:rPr>
        <w:t>considering</w:t>
      </w:r>
      <w:r w:rsidRPr="00705394">
        <w:rPr>
          <w:rFonts w:ascii="Arial" w:hAnsi="Arial" w:cs="Arial"/>
          <w:sz w:val="24"/>
          <w:szCs w:val="24"/>
        </w:rPr>
        <w:t xml:space="preserve"> previous </w:t>
      </w:r>
      <w:r w:rsidR="0063289D" w:rsidRPr="00705394">
        <w:rPr>
          <w:rFonts w:ascii="Arial" w:hAnsi="Arial" w:cs="Arial"/>
          <w:sz w:val="24"/>
          <w:szCs w:val="24"/>
        </w:rPr>
        <w:t xml:space="preserve">experience </w:t>
      </w:r>
      <w:r w:rsidRPr="00705394">
        <w:rPr>
          <w:rFonts w:ascii="Arial" w:hAnsi="Arial" w:cs="Arial"/>
          <w:sz w:val="24"/>
          <w:szCs w:val="24"/>
        </w:rPr>
        <w:t xml:space="preserve">based on the last </w:t>
      </w:r>
      <w:r w:rsidR="006F4AEF" w:rsidRPr="00705394">
        <w:rPr>
          <w:rFonts w:ascii="Arial" w:hAnsi="Arial" w:cs="Arial"/>
          <w:sz w:val="24"/>
          <w:szCs w:val="24"/>
        </w:rPr>
        <w:t>one- or two-year’s</w:t>
      </w:r>
      <w:r w:rsidRPr="00705394">
        <w:rPr>
          <w:rFonts w:ascii="Arial" w:hAnsi="Arial" w:cs="Arial"/>
          <w:sz w:val="24"/>
          <w:szCs w:val="24"/>
        </w:rPr>
        <w:t xml:space="preserve"> appraisal reviews.</w:t>
      </w:r>
    </w:p>
    <w:p w14:paraId="1A479CA8" w14:textId="77777777" w:rsidR="00185902" w:rsidRPr="00705394" w:rsidRDefault="00185902" w:rsidP="006F4AEF">
      <w:pPr>
        <w:pStyle w:val="NoSpacing"/>
        <w:spacing w:line="276" w:lineRule="auto"/>
        <w:rPr>
          <w:rFonts w:ascii="Arial" w:hAnsi="Arial" w:cs="Arial"/>
          <w:sz w:val="24"/>
          <w:szCs w:val="24"/>
        </w:rPr>
      </w:pPr>
    </w:p>
    <w:p w14:paraId="782518E8" w14:textId="071CEF46" w:rsidR="00185902" w:rsidRPr="00705394" w:rsidRDefault="00185902" w:rsidP="006F4AEF">
      <w:pPr>
        <w:pStyle w:val="NoSpacing"/>
        <w:spacing w:line="276" w:lineRule="auto"/>
        <w:rPr>
          <w:rFonts w:ascii="Arial" w:hAnsi="Arial" w:cs="Arial"/>
          <w:sz w:val="24"/>
          <w:szCs w:val="24"/>
        </w:rPr>
      </w:pPr>
      <w:r w:rsidRPr="00705394">
        <w:rPr>
          <w:rFonts w:ascii="Arial" w:hAnsi="Arial" w:cs="Arial"/>
          <w:sz w:val="24"/>
          <w:szCs w:val="24"/>
        </w:rPr>
        <w:t xml:space="preserve">In both circumstances, the employee’s </w:t>
      </w:r>
      <w:r w:rsidR="0063289D" w:rsidRPr="00705394">
        <w:rPr>
          <w:rFonts w:ascii="Arial" w:hAnsi="Arial" w:cs="Arial"/>
          <w:sz w:val="24"/>
          <w:szCs w:val="24"/>
        </w:rPr>
        <w:t xml:space="preserve">appraisal </w:t>
      </w:r>
      <w:r w:rsidRPr="00705394">
        <w:rPr>
          <w:rFonts w:ascii="Arial" w:hAnsi="Arial" w:cs="Arial"/>
          <w:sz w:val="24"/>
          <w:szCs w:val="24"/>
        </w:rPr>
        <w:t xml:space="preserve">objectives should have already been adjusted to </w:t>
      </w:r>
      <w:r w:rsidR="00A80737" w:rsidRPr="00705394">
        <w:rPr>
          <w:rFonts w:ascii="Arial" w:hAnsi="Arial" w:cs="Arial"/>
          <w:sz w:val="24"/>
          <w:szCs w:val="24"/>
        </w:rPr>
        <w:t>consider</w:t>
      </w:r>
      <w:r w:rsidRPr="00705394">
        <w:rPr>
          <w:rFonts w:ascii="Arial" w:hAnsi="Arial" w:cs="Arial"/>
          <w:sz w:val="24"/>
          <w:szCs w:val="24"/>
        </w:rPr>
        <w:t xml:space="preserve"> any reasonable adjustments that need to be made in terms of </w:t>
      </w:r>
      <w:r w:rsidRPr="00705394">
        <w:rPr>
          <w:rFonts w:ascii="Arial" w:hAnsi="Arial" w:cs="Arial"/>
          <w:sz w:val="24"/>
          <w:szCs w:val="24"/>
        </w:rPr>
        <w:lastRenderedPageBreak/>
        <w:t xml:space="preserve">expected performance/outcomes. </w:t>
      </w:r>
      <w:r w:rsidR="00E929B4" w:rsidRPr="00705394">
        <w:rPr>
          <w:rFonts w:ascii="Arial" w:hAnsi="Arial" w:cs="Arial"/>
          <w:sz w:val="24"/>
          <w:szCs w:val="24"/>
        </w:rPr>
        <w:t xml:space="preserve">Where an employee is absent through sickness for a reason that is not disability or maternity related and remains absent for </w:t>
      </w:r>
      <w:r w:rsidR="00FB7635" w:rsidRPr="00705394">
        <w:rPr>
          <w:rFonts w:ascii="Arial" w:hAnsi="Arial" w:cs="Arial"/>
          <w:sz w:val="24"/>
          <w:szCs w:val="24"/>
        </w:rPr>
        <w:t xml:space="preserve">all or </w:t>
      </w:r>
      <w:proofErr w:type="gramStart"/>
      <w:r w:rsidR="00E929B4" w:rsidRPr="00705394">
        <w:rPr>
          <w:rFonts w:ascii="Arial" w:hAnsi="Arial" w:cs="Arial"/>
          <w:sz w:val="24"/>
          <w:szCs w:val="24"/>
        </w:rPr>
        <w:t>the majority of</w:t>
      </w:r>
      <w:proofErr w:type="gramEnd"/>
      <w:r w:rsidR="00E929B4" w:rsidRPr="00705394">
        <w:rPr>
          <w:rFonts w:ascii="Arial" w:hAnsi="Arial" w:cs="Arial"/>
          <w:sz w:val="24"/>
          <w:szCs w:val="24"/>
        </w:rPr>
        <w:t xml:space="preserve"> the appraisal cycle then</w:t>
      </w:r>
      <w:r w:rsidRPr="00705394">
        <w:rPr>
          <w:rFonts w:ascii="Arial" w:hAnsi="Arial" w:cs="Arial"/>
          <w:sz w:val="24"/>
          <w:szCs w:val="24"/>
        </w:rPr>
        <w:t xml:space="preserve"> pay progression should be awarded</w:t>
      </w:r>
      <w:r w:rsidR="00BB042D" w:rsidRPr="00705394">
        <w:rPr>
          <w:rFonts w:ascii="Arial" w:hAnsi="Arial" w:cs="Arial"/>
          <w:sz w:val="24"/>
          <w:szCs w:val="24"/>
        </w:rPr>
        <w:t xml:space="preserve"> unless there are serious performance concerns. </w:t>
      </w:r>
      <w:r w:rsidR="0063289D" w:rsidRPr="00705394">
        <w:rPr>
          <w:rFonts w:ascii="Arial" w:hAnsi="Arial" w:cs="Arial"/>
          <w:sz w:val="24"/>
          <w:szCs w:val="24"/>
        </w:rPr>
        <w:t xml:space="preserve"> </w:t>
      </w:r>
      <w:r w:rsidR="00BB042D" w:rsidRPr="00705394">
        <w:rPr>
          <w:rFonts w:ascii="Arial" w:hAnsi="Arial" w:cs="Arial"/>
          <w:sz w:val="24"/>
          <w:szCs w:val="24"/>
        </w:rPr>
        <w:t>In terms of appraisal, w</w:t>
      </w:r>
      <w:r w:rsidR="00E929B4" w:rsidRPr="00705394">
        <w:rPr>
          <w:rFonts w:ascii="Arial" w:hAnsi="Arial" w:cs="Arial"/>
          <w:sz w:val="24"/>
          <w:szCs w:val="24"/>
        </w:rPr>
        <w:t>here sickness absence occurs during the appraisal cycle it will be necessary to assess the extent to which the teacher has demonstrated that the objectives set have been met at the annual appraisal review.</w:t>
      </w:r>
    </w:p>
    <w:p w14:paraId="423982ED" w14:textId="77777777" w:rsidR="002B59F1" w:rsidRPr="00705394" w:rsidRDefault="002B59F1" w:rsidP="00F8278E">
      <w:pPr>
        <w:pStyle w:val="NoSpacing"/>
        <w:spacing w:line="276" w:lineRule="auto"/>
        <w:jc w:val="both"/>
        <w:rPr>
          <w:rFonts w:ascii="Arial" w:hAnsi="Arial" w:cs="Arial"/>
          <w:b/>
          <w:sz w:val="24"/>
          <w:szCs w:val="24"/>
        </w:rPr>
      </w:pPr>
    </w:p>
    <w:p w14:paraId="3360A7AC" w14:textId="77777777" w:rsidR="00F8278E" w:rsidRPr="00705394" w:rsidRDefault="00D57707" w:rsidP="006F4AEF">
      <w:pPr>
        <w:pStyle w:val="NoSpacing"/>
        <w:spacing w:line="276" w:lineRule="auto"/>
        <w:rPr>
          <w:rFonts w:ascii="Arial" w:hAnsi="Arial" w:cs="Arial"/>
          <w:b/>
          <w:sz w:val="24"/>
          <w:szCs w:val="24"/>
        </w:rPr>
      </w:pPr>
      <w:r w:rsidRPr="00705394">
        <w:rPr>
          <w:rFonts w:ascii="Arial" w:hAnsi="Arial" w:cs="Arial"/>
          <w:b/>
          <w:sz w:val="24"/>
          <w:szCs w:val="24"/>
        </w:rPr>
        <w:t xml:space="preserve">Pay Policy Paragraph </w:t>
      </w:r>
      <w:r w:rsidR="00F8278E" w:rsidRPr="00705394">
        <w:rPr>
          <w:rFonts w:ascii="Arial" w:hAnsi="Arial" w:cs="Arial"/>
          <w:b/>
          <w:sz w:val="24"/>
          <w:szCs w:val="24"/>
        </w:rPr>
        <w:t>5</w:t>
      </w:r>
      <w:r w:rsidRPr="00705394">
        <w:rPr>
          <w:rFonts w:ascii="Arial" w:hAnsi="Arial" w:cs="Arial"/>
          <w:b/>
          <w:sz w:val="24"/>
          <w:szCs w:val="24"/>
        </w:rPr>
        <w:t>.0</w:t>
      </w:r>
      <w:r w:rsidR="003B5635" w:rsidRPr="00705394">
        <w:rPr>
          <w:rFonts w:ascii="Arial" w:hAnsi="Arial" w:cs="Arial"/>
          <w:b/>
          <w:sz w:val="24"/>
          <w:szCs w:val="24"/>
        </w:rPr>
        <w:t xml:space="preserve"> -</w:t>
      </w:r>
      <w:r w:rsidRPr="00705394">
        <w:rPr>
          <w:rFonts w:ascii="Arial" w:hAnsi="Arial" w:cs="Arial"/>
          <w:b/>
          <w:sz w:val="24"/>
          <w:szCs w:val="24"/>
        </w:rPr>
        <w:t xml:space="preserve"> School Pay Structure</w:t>
      </w:r>
      <w:r w:rsidR="00F8278E" w:rsidRPr="00705394">
        <w:rPr>
          <w:rFonts w:ascii="Arial" w:hAnsi="Arial" w:cs="Arial"/>
          <w:b/>
          <w:sz w:val="24"/>
          <w:szCs w:val="24"/>
        </w:rPr>
        <w:t xml:space="preserve">, Job Descriptions and Job Evaluation </w:t>
      </w:r>
    </w:p>
    <w:p w14:paraId="1E0D48B4" w14:textId="77777777" w:rsidR="00D57707" w:rsidRPr="00705394" w:rsidRDefault="00D57707" w:rsidP="001E1BBC">
      <w:pPr>
        <w:pStyle w:val="NoSpacing"/>
        <w:spacing w:line="276" w:lineRule="auto"/>
        <w:jc w:val="both"/>
        <w:rPr>
          <w:rFonts w:ascii="Arial" w:hAnsi="Arial" w:cs="Arial"/>
          <w:b/>
          <w:sz w:val="24"/>
          <w:szCs w:val="24"/>
        </w:rPr>
      </w:pPr>
    </w:p>
    <w:p w14:paraId="7EAAE559" w14:textId="347E6E1C" w:rsidR="00D57707" w:rsidRPr="00705394" w:rsidRDefault="00D57707" w:rsidP="00D57707">
      <w:pPr>
        <w:spacing w:after="0"/>
        <w:jc w:val="both"/>
        <w:rPr>
          <w:rStyle w:val="Hyperlink"/>
          <w:bCs/>
          <w:color w:val="auto"/>
        </w:rPr>
      </w:pPr>
      <w:r w:rsidRPr="00705394">
        <w:rPr>
          <w:bCs/>
          <w:u w:val="none"/>
        </w:rPr>
        <w:t xml:space="preserve">Detailed guidance to assist decision making relating to the </w:t>
      </w:r>
      <w:r w:rsidR="00281BEA" w:rsidRPr="00705394">
        <w:rPr>
          <w:bCs/>
          <w:u w:val="none"/>
        </w:rPr>
        <w:t>teachers’</w:t>
      </w:r>
      <w:r w:rsidRPr="00705394">
        <w:rPr>
          <w:bCs/>
          <w:u w:val="none"/>
        </w:rPr>
        <w:t xml:space="preserve"> pay structure is available to governing bodies in the</w:t>
      </w:r>
      <w:r w:rsidR="002A0290" w:rsidRPr="00705394">
        <w:rPr>
          <w:bCs/>
          <w:u w:val="none"/>
        </w:rPr>
        <w:t xml:space="preserve"> updates on the Schools Portal </w:t>
      </w:r>
      <w:r w:rsidR="00446034" w:rsidRPr="00705394">
        <w:rPr>
          <w:bCs/>
          <w:u w:val="none"/>
        </w:rPr>
        <w:t>Pay Policy.</w:t>
      </w:r>
    </w:p>
    <w:p w14:paraId="7D2D7DDD" w14:textId="77777777" w:rsidR="00D57707" w:rsidRPr="00705394" w:rsidRDefault="00D57707" w:rsidP="001E1BBC">
      <w:pPr>
        <w:pStyle w:val="NoSpacing"/>
        <w:spacing w:line="276" w:lineRule="auto"/>
        <w:jc w:val="both"/>
        <w:rPr>
          <w:rFonts w:ascii="Arial" w:hAnsi="Arial" w:cs="Arial"/>
          <w:b/>
          <w:sz w:val="24"/>
          <w:szCs w:val="24"/>
        </w:rPr>
      </w:pPr>
    </w:p>
    <w:p w14:paraId="55429546" w14:textId="08F59CAA" w:rsidR="002B59F1" w:rsidRPr="002663D2" w:rsidRDefault="002B59F1" w:rsidP="002B59F1">
      <w:pPr>
        <w:widowControl w:val="0"/>
        <w:ind w:right="687"/>
        <w:jc w:val="both"/>
        <w:rPr>
          <w:b/>
          <w:u w:val="none"/>
        </w:rPr>
      </w:pPr>
      <w:r w:rsidRPr="00705394">
        <w:rPr>
          <w:b/>
          <w:u w:val="none"/>
        </w:rPr>
        <w:t xml:space="preserve">Support Staff Pay award effective </w:t>
      </w:r>
      <w:r w:rsidRPr="002663D2">
        <w:rPr>
          <w:b/>
          <w:u w:val="none"/>
        </w:rPr>
        <w:t>from 1 April 20</w:t>
      </w:r>
      <w:r w:rsidR="00A72D0C" w:rsidRPr="002663D2">
        <w:rPr>
          <w:b/>
          <w:u w:val="none"/>
        </w:rPr>
        <w:t>25</w:t>
      </w:r>
    </w:p>
    <w:p w14:paraId="7665805C" w14:textId="31800858" w:rsidR="002B59F1" w:rsidRPr="002663D2" w:rsidRDefault="00D57707" w:rsidP="002B59F1">
      <w:pPr>
        <w:widowControl w:val="0"/>
        <w:ind w:right="687"/>
        <w:jc w:val="both"/>
        <w:rPr>
          <w:u w:val="none"/>
        </w:rPr>
      </w:pPr>
      <w:r w:rsidRPr="002663D2">
        <w:rPr>
          <w:u w:val="none"/>
        </w:rPr>
        <w:t xml:space="preserve">Support Staff pay rates and grades are subject to national pay bargaining and the governing body is obliged to follow the </w:t>
      </w:r>
      <w:r w:rsidR="00F8278E" w:rsidRPr="002663D2">
        <w:rPr>
          <w:u w:val="none"/>
        </w:rPr>
        <w:t xml:space="preserve">NJC pay </w:t>
      </w:r>
      <w:r w:rsidRPr="002663D2">
        <w:rPr>
          <w:u w:val="none"/>
        </w:rPr>
        <w:t>structure as adopted by the Local Authority.</w:t>
      </w:r>
      <w:r w:rsidR="002B59F1" w:rsidRPr="002663D2">
        <w:rPr>
          <w:u w:val="none"/>
        </w:rPr>
        <w:t xml:space="preserve"> The national pay award for 202</w:t>
      </w:r>
      <w:r w:rsidR="00A72D0C" w:rsidRPr="002663D2">
        <w:rPr>
          <w:u w:val="none"/>
        </w:rPr>
        <w:t>5</w:t>
      </w:r>
      <w:r w:rsidR="003004FA" w:rsidRPr="002663D2">
        <w:rPr>
          <w:u w:val="none"/>
        </w:rPr>
        <w:t>/</w:t>
      </w:r>
      <w:r w:rsidR="00A72D0C" w:rsidRPr="002663D2">
        <w:rPr>
          <w:u w:val="none"/>
        </w:rPr>
        <w:t>6</w:t>
      </w:r>
      <w:r w:rsidR="006F4AEF" w:rsidRPr="002663D2">
        <w:rPr>
          <w:u w:val="none"/>
        </w:rPr>
        <w:t xml:space="preserve"> </w:t>
      </w:r>
      <w:r w:rsidR="002B59F1" w:rsidRPr="002663D2">
        <w:rPr>
          <w:u w:val="none"/>
        </w:rPr>
        <w:t xml:space="preserve">for school support staff (those employed under Green Book conditions) </w:t>
      </w:r>
      <w:r w:rsidR="00091B32" w:rsidRPr="002663D2">
        <w:rPr>
          <w:u w:val="none"/>
        </w:rPr>
        <w:t>was agreed on 23 July 2025 and information included in the letter to schools dated 25 July 2025</w:t>
      </w:r>
      <w:r w:rsidR="00BB042D" w:rsidRPr="002663D2">
        <w:rPr>
          <w:u w:val="none"/>
        </w:rPr>
        <w:t xml:space="preserve">. </w:t>
      </w:r>
    </w:p>
    <w:p w14:paraId="2EFA32C6" w14:textId="4E38E0AF" w:rsidR="007208CB" w:rsidRPr="00705394" w:rsidRDefault="007208CB" w:rsidP="001E1BBC">
      <w:pPr>
        <w:pStyle w:val="NoSpacing"/>
        <w:spacing w:line="276" w:lineRule="auto"/>
        <w:jc w:val="both"/>
        <w:rPr>
          <w:rFonts w:ascii="Arial" w:hAnsi="Arial" w:cs="Arial"/>
          <w:sz w:val="24"/>
          <w:szCs w:val="24"/>
        </w:rPr>
      </w:pPr>
      <w:r w:rsidRPr="00705394">
        <w:rPr>
          <w:rFonts w:ascii="Arial" w:hAnsi="Arial" w:cs="Arial"/>
          <w:sz w:val="24"/>
          <w:szCs w:val="24"/>
        </w:rPr>
        <w:t xml:space="preserve">The governing body must </w:t>
      </w:r>
      <w:r w:rsidR="00BB042D" w:rsidRPr="00705394">
        <w:rPr>
          <w:rFonts w:ascii="Arial" w:hAnsi="Arial" w:cs="Arial"/>
          <w:sz w:val="24"/>
          <w:szCs w:val="24"/>
        </w:rPr>
        <w:t xml:space="preserve">comply with the law and </w:t>
      </w:r>
      <w:r w:rsidRPr="00705394">
        <w:rPr>
          <w:rFonts w:ascii="Arial" w:hAnsi="Arial" w:cs="Arial"/>
          <w:sz w:val="24"/>
          <w:szCs w:val="24"/>
        </w:rPr>
        <w:t xml:space="preserve">ensure that all support staff posts are properly evaluated within the JE Scheme to ensure that the school has an equality proofed pay system. </w:t>
      </w:r>
      <w:r w:rsidR="0017347D" w:rsidRPr="00705394">
        <w:rPr>
          <w:rFonts w:ascii="Arial" w:hAnsi="Arial" w:cs="Arial"/>
          <w:sz w:val="24"/>
          <w:szCs w:val="24"/>
        </w:rPr>
        <w:t xml:space="preserve"> </w:t>
      </w:r>
      <w:r w:rsidRPr="00705394">
        <w:rPr>
          <w:rFonts w:ascii="Arial" w:hAnsi="Arial" w:cs="Arial"/>
          <w:sz w:val="24"/>
          <w:szCs w:val="24"/>
        </w:rPr>
        <w:t>This enables the governing body to demonstrate</w:t>
      </w:r>
      <w:r w:rsidR="0017347D" w:rsidRPr="00705394">
        <w:rPr>
          <w:rFonts w:ascii="Arial" w:hAnsi="Arial" w:cs="Arial"/>
          <w:sz w:val="24"/>
          <w:szCs w:val="24"/>
        </w:rPr>
        <w:t>,</w:t>
      </w:r>
      <w:r w:rsidRPr="00705394">
        <w:rPr>
          <w:rFonts w:ascii="Arial" w:hAnsi="Arial" w:cs="Arial"/>
          <w:sz w:val="24"/>
          <w:szCs w:val="24"/>
        </w:rPr>
        <w:t xml:space="preserve"> in a robust and transparent way</w:t>
      </w:r>
      <w:r w:rsidR="0017347D" w:rsidRPr="00705394">
        <w:rPr>
          <w:rFonts w:ascii="Arial" w:hAnsi="Arial" w:cs="Arial"/>
          <w:sz w:val="24"/>
          <w:szCs w:val="24"/>
        </w:rPr>
        <w:t>,</w:t>
      </w:r>
      <w:r w:rsidRPr="00705394">
        <w:rPr>
          <w:rFonts w:ascii="Arial" w:hAnsi="Arial" w:cs="Arial"/>
          <w:sz w:val="24"/>
          <w:szCs w:val="24"/>
        </w:rPr>
        <w:t xml:space="preserve"> its legal compliance with single status and equality pay legislation</w:t>
      </w:r>
      <w:r w:rsidR="0017347D" w:rsidRPr="00705394">
        <w:rPr>
          <w:rFonts w:ascii="Arial" w:hAnsi="Arial" w:cs="Arial"/>
          <w:sz w:val="24"/>
          <w:szCs w:val="24"/>
        </w:rPr>
        <w:t>.</w:t>
      </w:r>
    </w:p>
    <w:p w14:paraId="4F7A9864" w14:textId="77777777" w:rsidR="007208CB" w:rsidRPr="00705394" w:rsidRDefault="007208CB" w:rsidP="001E1BBC">
      <w:pPr>
        <w:pStyle w:val="NoSpacing"/>
        <w:spacing w:line="276" w:lineRule="auto"/>
        <w:jc w:val="both"/>
        <w:rPr>
          <w:rFonts w:ascii="Arial" w:hAnsi="Arial" w:cs="Arial"/>
          <w:sz w:val="24"/>
          <w:szCs w:val="24"/>
        </w:rPr>
      </w:pPr>
    </w:p>
    <w:p w14:paraId="2D351297" w14:textId="583C0E7C" w:rsidR="00FB7635" w:rsidRPr="00705394" w:rsidRDefault="007208CB" w:rsidP="001E1BBC">
      <w:pPr>
        <w:pStyle w:val="NoSpacing"/>
        <w:spacing w:line="276" w:lineRule="auto"/>
        <w:jc w:val="both"/>
        <w:rPr>
          <w:rFonts w:ascii="Arial" w:hAnsi="Arial" w:cs="Arial"/>
          <w:sz w:val="24"/>
          <w:szCs w:val="24"/>
        </w:rPr>
      </w:pPr>
      <w:r w:rsidRPr="00705394">
        <w:rPr>
          <w:rFonts w:ascii="Arial" w:hAnsi="Arial" w:cs="Arial"/>
          <w:sz w:val="24"/>
          <w:szCs w:val="24"/>
        </w:rPr>
        <w:t xml:space="preserve">All </w:t>
      </w:r>
      <w:r w:rsidR="00150A4A" w:rsidRPr="00705394">
        <w:rPr>
          <w:rFonts w:ascii="Arial" w:hAnsi="Arial" w:cs="Arial"/>
          <w:sz w:val="24"/>
          <w:szCs w:val="24"/>
        </w:rPr>
        <w:t xml:space="preserve">community school </w:t>
      </w:r>
      <w:r w:rsidRPr="00705394">
        <w:rPr>
          <w:rFonts w:ascii="Arial" w:hAnsi="Arial" w:cs="Arial"/>
          <w:sz w:val="24"/>
          <w:szCs w:val="24"/>
        </w:rPr>
        <w:t xml:space="preserve">governing bodies </w:t>
      </w:r>
      <w:r w:rsidRPr="00705394">
        <w:rPr>
          <w:rFonts w:ascii="Arial" w:hAnsi="Arial" w:cs="Arial"/>
          <w:sz w:val="24"/>
          <w:szCs w:val="24"/>
          <w:u w:val="single"/>
        </w:rPr>
        <w:t>must</w:t>
      </w:r>
      <w:r w:rsidRPr="00705394">
        <w:rPr>
          <w:rFonts w:ascii="Arial" w:hAnsi="Arial" w:cs="Arial"/>
          <w:sz w:val="24"/>
          <w:szCs w:val="24"/>
        </w:rPr>
        <w:t xml:space="preserve"> apply the Nottinghamshire JE Scheme consistently (non- community schools should approve an appropriate scheme) to maintain trust and integrity in the schools’ pay system. Schools who fail to observe this basic legal requirement will be </w:t>
      </w:r>
      <w:r w:rsidR="00A80737" w:rsidRPr="00705394">
        <w:rPr>
          <w:rFonts w:ascii="Arial" w:hAnsi="Arial" w:cs="Arial"/>
          <w:sz w:val="24"/>
          <w:szCs w:val="24"/>
        </w:rPr>
        <w:t xml:space="preserve">in breach of their legal responsibilities and be </w:t>
      </w:r>
      <w:r w:rsidRPr="00705394">
        <w:rPr>
          <w:rFonts w:ascii="Arial" w:hAnsi="Arial" w:cs="Arial"/>
          <w:sz w:val="24"/>
          <w:szCs w:val="24"/>
        </w:rPr>
        <w:t xml:space="preserve">liable to pay any compensatory costs </w:t>
      </w:r>
      <w:r w:rsidR="009E590E" w:rsidRPr="00705394">
        <w:rPr>
          <w:rFonts w:ascii="Arial" w:hAnsi="Arial" w:cs="Arial"/>
          <w:sz w:val="24"/>
          <w:szCs w:val="24"/>
        </w:rPr>
        <w:t>because of</w:t>
      </w:r>
      <w:r w:rsidRPr="00705394">
        <w:rPr>
          <w:rFonts w:ascii="Arial" w:hAnsi="Arial" w:cs="Arial"/>
          <w:sz w:val="24"/>
          <w:szCs w:val="24"/>
        </w:rPr>
        <w:t xml:space="preserve"> Employment Tribunal or other court action from their own budget.</w:t>
      </w:r>
      <w:r w:rsidR="00150A4A" w:rsidRPr="00705394">
        <w:rPr>
          <w:rFonts w:ascii="Arial" w:hAnsi="Arial" w:cs="Arial"/>
          <w:sz w:val="24"/>
          <w:szCs w:val="24"/>
        </w:rPr>
        <w:t xml:space="preserve"> </w:t>
      </w:r>
      <w:r w:rsidR="00FB7635" w:rsidRPr="00705394">
        <w:rPr>
          <w:rFonts w:ascii="Arial" w:hAnsi="Arial" w:cs="Arial"/>
          <w:sz w:val="24"/>
          <w:szCs w:val="24"/>
        </w:rPr>
        <w:t xml:space="preserve"> </w:t>
      </w:r>
    </w:p>
    <w:p w14:paraId="34A0DCEA" w14:textId="77777777" w:rsidR="00830977" w:rsidRPr="00705394" w:rsidRDefault="00830977" w:rsidP="001E1BBC">
      <w:pPr>
        <w:spacing w:after="0"/>
        <w:jc w:val="both"/>
        <w:rPr>
          <w:b/>
          <w:bCs/>
          <w:u w:val="none"/>
        </w:rPr>
      </w:pPr>
    </w:p>
    <w:p w14:paraId="18D3A500" w14:textId="42900E5F" w:rsidR="00A45A67" w:rsidRPr="00705394" w:rsidRDefault="00A45A67" w:rsidP="001E1BBC">
      <w:pPr>
        <w:spacing w:after="0"/>
        <w:jc w:val="both"/>
        <w:rPr>
          <w:b/>
          <w:bCs/>
          <w:u w:val="none"/>
        </w:rPr>
      </w:pPr>
      <w:r w:rsidRPr="00705394">
        <w:rPr>
          <w:b/>
          <w:bCs/>
          <w:u w:val="none"/>
        </w:rPr>
        <w:t xml:space="preserve">Paragraph 5.4 – 5.7 – Support staff Job descriptions  </w:t>
      </w:r>
    </w:p>
    <w:p w14:paraId="462E4E2C" w14:textId="77777777" w:rsidR="00A45A67" w:rsidRPr="00705394" w:rsidRDefault="00A45A67" w:rsidP="001E1BBC">
      <w:pPr>
        <w:spacing w:after="0"/>
        <w:jc w:val="both"/>
        <w:rPr>
          <w:u w:val="none"/>
        </w:rPr>
      </w:pPr>
    </w:p>
    <w:p w14:paraId="4A06BF6E" w14:textId="76B5EDA8" w:rsidR="00C91C9A" w:rsidRPr="00705394" w:rsidRDefault="00A45A67" w:rsidP="00135078">
      <w:pPr>
        <w:rPr>
          <w:rFonts w:ascii="Calibri" w:hAnsi="Calibri" w:cs="Calibri"/>
          <w:sz w:val="22"/>
          <w:szCs w:val="22"/>
          <w:u w:val="none"/>
        </w:rPr>
      </w:pPr>
      <w:r w:rsidRPr="00705394">
        <w:rPr>
          <w:u w:val="none"/>
        </w:rPr>
        <w:t xml:space="preserve">All schools must ensure posts are graded properly by the JE Team </w:t>
      </w:r>
      <w:r w:rsidR="00AE6BA5" w:rsidRPr="00705394">
        <w:rPr>
          <w:u w:val="none"/>
        </w:rPr>
        <w:t>(</w:t>
      </w:r>
      <w:hyperlink r:id="rId18" w:history="1">
        <w:r w:rsidR="00AE6BA5" w:rsidRPr="00705394">
          <w:rPr>
            <w:rStyle w:val="Hyperlink"/>
            <w:b/>
            <w:color w:val="auto"/>
          </w:rPr>
          <w:t>je.team@nottscc.gov.uk</w:t>
        </w:r>
      </w:hyperlink>
      <w:r w:rsidR="00AE6BA5" w:rsidRPr="00705394">
        <w:rPr>
          <w:b/>
        </w:rPr>
        <w:t>)</w:t>
      </w:r>
      <w:r w:rsidR="00AE6BA5" w:rsidRPr="00705394">
        <w:rPr>
          <w:u w:val="none"/>
        </w:rPr>
        <w:t xml:space="preserve"> </w:t>
      </w:r>
      <w:r w:rsidRPr="00705394">
        <w:rPr>
          <w:u w:val="none"/>
        </w:rPr>
        <w:t>in accordance with the</w:t>
      </w:r>
      <w:r w:rsidR="008964D1" w:rsidRPr="00705394">
        <w:rPr>
          <w:u w:val="none"/>
        </w:rPr>
        <w:t xml:space="preserve"> </w:t>
      </w:r>
      <w:r w:rsidR="00135078" w:rsidRPr="00705394">
        <w:rPr>
          <w:u w:val="none"/>
        </w:rPr>
        <w:t xml:space="preserve"> </w:t>
      </w:r>
      <w:r w:rsidR="00934B43" w:rsidRPr="00705394">
        <w:rPr>
          <w:u w:val="none"/>
        </w:rPr>
        <w:t xml:space="preserve"> </w:t>
      </w:r>
      <w:hyperlink r:id="rId19" w:history="1">
        <w:r w:rsidR="00934B43" w:rsidRPr="00705394">
          <w:t>Guidelines – Job Descriptions | NCC Schools Portal (nottinghamshire.gov.uk)</w:t>
        </w:r>
      </w:hyperlink>
      <w:r w:rsidR="00934B43" w:rsidRPr="00705394">
        <w:t xml:space="preserve"> </w:t>
      </w:r>
      <w:r w:rsidR="003D6BE2" w:rsidRPr="00705394">
        <w:rPr>
          <w:u w:val="none"/>
        </w:rPr>
        <w:t>available on the schools portal</w:t>
      </w:r>
      <w:r w:rsidR="006F61F7" w:rsidRPr="00705394">
        <w:rPr>
          <w:u w:val="none"/>
        </w:rPr>
        <w:t xml:space="preserve">. The guidance </w:t>
      </w:r>
      <w:r w:rsidRPr="00705394">
        <w:rPr>
          <w:u w:val="none"/>
        </w:rPr>
        <w:t>supports the current suite of template documents including job descriptions and basic person specifications</w:t>
      </w:r>
      <w:r w:rsidR="003D6BE2" w:rsidRPr="00705394">
        <w:rPr>
          <w:u w:val="none"/>
        </w:rPr>
        <w:t xml:space="preserve">. </w:t>
      </w:r>
      <w:r w:rsidR="00C91C9A" w:rsidRPr="00705394">
        <w:rPr>
          <w:u w:val="none"/>
        </w:rPr>
        <w:t xml:space="preserve">See all Recruitment and Selection updates on the Schools Portal here: </w:t>
      </w:r>
      <w:hyperlink r:id="rId20" w:history="1">
        <w:r w:rsidR="00C91C9A" w:rsidRPr="00705394">
          <w:rPr>
            <w:rStyle w:val="Hyperlink"/>
            <w:color w:val="auto"/>
          </w:rPr>
          <w:t>Recruitment and Selection</w:t>
        </w:r>
        <w:r w:rsidR="006F61F7" w:rsidRPr="00705394">
          <w:rPr>
            <w:rStyle w:val="Hyperlink"/>
            <w:color w:val="auto"/>
          </w:rPr>
          <w:t xml:space="preserve">. </w:t>
        </w:r>
        <w:r w:rsidR="006F61F7" w:rsidRPr="00705394">
          <w:rPr>
            <w:rStyle w:val="Hyperlink"/>
            <w:color w:val="auto"/>
            <w:u w:val="none"/>
          </w:rPr>
          <w:t xml:space="preserve">If you are in any doubt that all support staff posts have been subject to the job evaluation </w:t>
        </w:r>
        <w:r w:rsidR="009E590E" w:rsidRPr="00705394">
          <w:rPr>
            <w:rStyle w:val="Hyperlink"/>
            <w:color w:val="auto"/>
            <w:u w:val="none"/>
          </w:rPr>
          <w:t>process,</w:t>
        </w:r>
        <w:r w:rsidR="006F61F7" w:rsidRPr="00705394">
          <w:rPr>
            <w:rStyle w:val="Hyperlink"/>
            <w:color w:val="auto"/>
            <w:u w:val="none"/>
          </w:rPr>
          <w:t xml:space="preserve"> then please </w:t>
        </w:r>
        <w:r w:rsidR="009E590E" w:rsidRPr="00705394">
          <w:rPr>
            <w:rStyle w:val="Hyperlink"/>
            <w:color w:val="auto"/>
            <w:u w:val="none"/>
          </w:rPr>
          <w:t>contact</w:t>
        </w:r>
        <w:r w:rsidR="006F61F7" w:rsidRPr="00705394">
          <w:rPr>
            <w:rStyle w:val="Hyperlink"/>
            <w:color w:val="auto"/>
            <w:u w:val="none"/>
          </w:rPr>
          <w:t xml:space="preserve"> the team.</w:t>
        </w:r>
        <w:r w:rsidR="00C91C9A" w:rsidRPr="00705394">
          <w:rPr>
            <w:rStyle w:val="Hyperlink"/>
            <w:color w:val="auto"/>
            <w:u w:val="none"/>
          </w:rPr>
          <w:t xml:space="preserve"> </w:t>
        </w:r>
      </w:hyperlink>
    </w:p>
    <w:p w14:paraId="4B3DBB0F" w14:textId="77777777" w:rsidR="00B33D00" w:rsidRDefault="00B33D00" w:rsidP="001E1BBC">
      <w:pPr>
        <w:spacing w:after="0"/>
        <w:jc w:val="both"/>
        <w:rPr>
          <w:b/>
          <w:bCs/>
          <w:u w:val="none"/>
        </w:rPr>
      </w:pPr>
    </w:p>
    <w:p w14:paraId="599447C2" w14:textId="77777777" w:rsidR="00B33D00" w:rsidRDefault="00B33D00" w:rsidP="001E1BBC">
      <w:pPr>
        <w:spacing w:after="0"/>
        <w:jc w:val="both"/>
        <w:rPr>
          <w:b/>
          <w:bCs/>
          <w:u w:val="none"/>
        </w:rPr>
      </w:pPr>
    </w:p>
    <w:p w14:paraId="7D2082D5" w14:textId="77777777" w:rsidR="00B33D00" w:rsidRDefault="00B33D00" w:rsidP="001E1BBC">
      <w:pPr>
        <w:spacing w:after="0"/>
        <w:jc w:val="both"/>
        <w:rPr>
          <w:b/>
          <w:bCs/>
          <w:u w:val="none"/>
        </w:rPr>
      </w:pPr>
    </w:p>
    <w:p w14:paraId="5E55BF39" w14:textId="77777777" w:rsidR="00B33D00" w:rsidRDefault="00B33D00" w:rsidP="001E1BBC">
      <w:pPr>
        <w:spacing w:after="0"/>
        <w:jc w:val="both"/>
        <w:rPr>
          <w:b/>
          <w:bCs/>
          <w:u w:val="none"/>
        </w:rPr>
      </w:pPr>
    </w:p>
    <w:p w14:paraId="03060A24" w14:textId="77777777" w:rsidR="00B33D00" w:rsidRDefault="00B33D00" w:rsidP="001E1BBC">
      <w:pPr>
        <w:spacing w:after="0"/>
        <w:jc w:val="both"/>
        <w:rPr>
          <w:b/>
          <w:bCs/>
          <w:u w:val="none"/>
        </w:rPr>
      </w:pPr>
    </w:p>
    <w:p w14:paraId="5341D32F" w14:textId="1A95E1D9" w:rsidR="00B750D7" w:rsidRPr="00705394" w:rsidRDefault="00150A4A" w:rsidP="001E1BBC">
      <w:pPr>
        <w:spacing w:after="0"/>
        <w:jc w:val="both"/>
        <w:rPr>
          <w:b/>
          <w:bCs/>
          <w:u w:val="none"/>
        </w:rPr>
      </w:pPr>
      <w:r w:rsidRPr="00705394">
        <w:rPr>
          <w:b/>
          <w:bCs/>
          <w:u w:val="none"/>
        </w:rPr>
        <w:lastRenderedPageBreak/>
        <w:t>Pay Policy Paragraph 6.0</w:t>
      </w:r>
      <w:r w:rsidR="003B5635" w:rsidRPr="00705394">
        <w:rPr>
          <w:b/>
          <w:bCs/>
          <w:u w:val="none"/>
        </w:rPr>
        <w:t xml:space="preserve"> -</w:t>
      </w:r>
      <w:r w:rsidRPr="00705394">
        <w:rPr>
          <w:b/>
          <w:bCs/>
          <w:u w:val="none"/>
        </w:rPr>
        <w:t xml:space="preserve"> </w:t>
      </w:r>
      <w:r w:rsidR="00F8278E" w:rsidRPr="00705394">
        <w:rPr>
          <w:b/>
          <w:bCs/>
          <w:u w:val="none"/>
        </w:rPr>
        <w:t>Determining the Pay Range and Allowances</w:t>
      </w:r>
    </w:p>
    <w:p w14:paraId="1F4F9668" w14:textId="77777777" w:rsidR="00997EF6" w:rsidRPr="00705394" w:rsidRDefault="00997EF6" w:rsidP="001E1BBC">
      <w:pPr>
        <w:spacing w:after="0"/>
        <w:jc w:val="both"/>
      </w:pPr>
    </w:p>
    <w:p w14:paraId="4B49CF93" w14:textId="5A9D3DA7" w:rsidR="00185902" w:rsidRPr="00705394" w:rsidRDefault="00185902" w:rsidP="001E1BBC">
      <w:pPr>
        <w:spacing w:after="0"/>
        <w:jc w:val="both"/>
      </w:pPr>
      <w:r w:rsidRPr="00705394">
        <w:t>Paragraph 6.</w:t>
      </w:r>
      <w:r w:rsidR="00281BEA" w:rsidRPr="00705394">
        <w:t>2</w:t>
      </w:r>
      <w:r w:rsidRPr="00705394">
        <w:t>–</w:t>
      </w:r>
      <w:r w:rsidR="003376D3" w:rsidRPr="00705394">
        <w:t>6.</w:t>
      </w:r>
      <w:r w:rsidR="00F8278E" w:rsidRPr="00705394">
        <w:t>9</w:t>
      </w:r>
      <w:r w:rsidR="003376D3" w:rsidRPr="00705394">
        <w:t xml:space="preserve"> – Headteacher</w:t>
      </w:r>
      <w:r w:rsidR="00715E22" w:rsidRPr="00705394">
        <w:t>s</w:t>
      </w:r>
      <w:r w:rsidR="003376D3" w:rsidRPr="00705394">
        <w:rPr>
          <w:u w:val="none"/>
        </w:rPr>
        <w:t xml:space="preserve"> </w:t>
      </w:r>
    </w:p>
    <w:p w14:paraId="69AD124A" w14:textId="77777777" w:rsidR="0017347D" w:rsidRPr="00705394" w:rsidRDefault="0017347D" w:rsidP="00396DA7">
      <w:pPr>
        <w:spacing w:after="0"/>
        <w:ind w:left="284"/>
        <w:jc w:val="both"/>
        <w:rPr>
          <w:u w:val="none"/>
        </w:rPr>
      </w:pPr>
    </w:p>
    <w:p w14:paraId="2FA3A38F" w14:textId="78AAF536" w:rsidR="0017347D" w:rsidRPr="00705394" w:rsidRDefault="00185902" w:rsidP="001E1BBC">
      <w:pPr>
        <w:spacing w:after="0"/>
        <w:jc w:val="both"/>
        <w:rPr>
          <w:u w:val="none"/>
        </w:rPr>
      </w:pPr>
      <w:r w:rsidRPr="00705394">
        <w:rPr>
          <w:u w:val="none"/>
        </w:rPr>
        <w:t>In determining the pay for headteachers, the governing body should have oversight of the</w:t>
      </w:r>
      <w:r w:rsidR="00A41971" w:rsidRPr="00705394">
        <w:rPr>
          <w:u w:val="none"/>
        </w:rPr>
        <w:t xml:space="preserve"> </w:t>
      </w:r>
      <w:r w:rsidRPr="00705394">
        <w:rPr>
          <w:u w:val="none"/>
        </w:rPr>
        <w:t xml:space="preserve">entire </w:t>
      </w:r>
      <w:r w:rsidR="009E590E" w:rsidRPr="00705394">
        <w:rPr>
          <w:u w:val="none"/>
        </w:rPr>
        <w:t>role,</w:t>
      </w:r>
      <w:r w:rsidRPr="00705394">
        <w:rPr>
          <w:u w:val="none"/>
        </w:rPr>
        <w:t xml:space="preserve"> and al</w:t>
      </w:r>
      <w:r w:rsidR="00A41971" w:rsidRPr="00705394">
        <w:rPr>
          <w:u w:val="none"/>
        </w:rPr>
        <w:t xml:space="preserve">l </w:t>
      </w:r>
      <w:r w:rsidRPr="00705394">
        <w:rPr>
          <w:u w:val="none"/>
        </w:rPr>
        <w:t xml:space="preserve">the paid responsibilities attached to it. This will ensure that it can </w:t>
      </w:r>
      <w:r w:rsidR="00281BEA" w:rsidRPr="00705394">
        <w:rPr>
          <w:u w:val="none"/>
        </w:rPr>
        <w:t>m</w:t>
      </w:r>
      <w:r w:rsidRPr="00705394">
        <w:rPr>
          <w:u w:val="none"/>
        </w:rPr>
        <w:t xml:space="preserve">ake fully informed decisions about the level of pay and </w:t>
      </w:r>
      <w:r w:rsidR="00A41971" w:rsidRPr="00705394">
        <w:rPr>
          <w:u w:val="none"/>
        </w:rPr>
        <w:t>consider</w:t>
      </w:r>
      <w:r w:rsidRPr="00705394">
        <w:rPr>
          <w:u w:val="none"/>
        </w:rPr>
        <w:t xml:space="preserve"> the implications for the pay of all other </w:t>
      </w:r>
      <w:r w:rsidR="006F61F7" w:rsidRPr="00705394">
        <w:rPr>
          <w:u w:val="none"/>
        </w:rPr>
        <w:t xml:space="preserve">leaders and </w:t>
      </w:r>
      <w:r w:rsidRPr="00705394">
        <w:rPr>
          <w:u w:val="none"/>
        </w:rPr>
        <w:t xml:space="preserve">staff in the school. </w:t>
      </w:r>
    </w:p>
    <w:p w14:paraId="33C67666" w14:textId="77777777" w:rsidR="0017347D" w:rsidRPr="00705394" w:rsidRDefault="0017347D" w:rsidP="001E1BBC">
      <w:pPr>
        <w:spacing w:after="0"/>
        <w:jc w:val="both"/>
        <w:rPr>
          <w:u w:val="none"/>
        </w:rPr>
      </w:pPr>
    </w:p>
    <w:p w14:paraId="5FB8EB8A" w14:textId="35D27851" w:rsidR="00185902" w:rsidRPr="00705394" w:rsidRDefault="00185902" w:rsidP="001E1BBC">
      <w:pPr>
        <w:spacing w:after="0"/>
        <w:jc w:val="both"/>
        <w:rPr>
          <w:u w:val="none"/>
        </w:rPr>
      </w:pPr>
      <w:r w:rsidRPr="00705394">
        <w:rPr>
          <w:u w:val="none"/>
        </w:rPr>
        <w:t xml:space="preserve">The governing body should </w:t>
      </w:r>
      <w:r w:rsidR="007208CB" w:rsidRPr="00705394">
        <w:rPr>
          <w:u w:val="none"/>
        </w:rPr>
        <w:t xml:space="preserve">ensure that </w:t>
      </w:r>
      <w:r w:rsidR="00150A4A" w:rsidRPr="00705394">
        <w:rPr>
          <w:u w:val="none"/>
        </w:rPr>
        <w:t xml:space="preserve">the level of pay under </w:t>
      </w:r>
      <w:r w:rsidR="007208CB" w:rsidRPr="00705394">
        <w:rPr>
          <w:u w:val="none"/>
        </w:rPr>
        <w:t>consider</w:t>
      </w:r>
      <w:r w:rsidR="00150A4A" w:rsidRPr="00705394">
        <w:rPr>
          <w:u w:val="none"/>
        </w:rPr>
        <w:t xml:space="preserve">ation is affordable </w:t>
      </w:r>
      <w:r w:rsidR="00F57909" w:rsidRPr="00705394">
        <w:rPr>
          <w:u w:val="none"/>
        </w:rPr>
        <w:t xml:space="preserve">and sustainable </w:t>
      </w:r>
      <w:r w:rsidR="00150A4A" w:rsidRPr="00705394">
        <w:rPr>
          <w:u w:val="none"/>
        </w:rPr>
        <w:t>within</w:t>
      </w:r>
      <w:r w:rsidR="007208CB" w:rsidRPr="00705394">
        <w:rPr>
          <w:u w:val="none"/>
        </w:rPr>
        <w:t xml:space="preserve"> the budget</w:t>
      </w:r>
      <w:r w:rsidR="00150A4A" w:rsidRPr="00705394">
        <w:rPr>
          <w:u w:val="none"/>
        </w:rPr>
        <w:t xml:space="preserve"> </w:t>
      </w:r>
      <w:r w:rsidR="007208CB" w:rsidRPr="00705394">
        <w:rPr>
          <w:u w:val="none"/>
        </w:rPr>
        <w:t>and</w:t>
      </w:r>
      <w:r w:rsidR="0017347D" w:rsidRPr="00705394">
        <w:rPr>
          <w:u w:val="none"/>
        </w:rPr>
        <w:t xml:space="preserve"> be</w:t>
      </w:r>
      <w:r w:rsidR="007208CB" w:rsidRPr="00705394">
        <w:rPr>
          <w:u w:val="none"/>
        </w:rPr>
        <w:t xml:space="preserve"> certain that proposed pay </w:t>
      </w:r>
      <w:r w:rsidR="00125D99" w:rsidRPr="00705394">
        <w:rPr>
          <w:u w:val="none"/>
        </w:rPr>
        <w:t xml:space="preserve">recommendations and subsequent </w:t>
      </w:r>
      <w:r w:rsidR="007208CB" w:rsidRPr="00705394">
        <w:rPr>
          <w:u w:val="none"/>
        </w:rPr>
        <w:t>decisions, including leader</w:t>
      </w:r>
      <w:r w:rsidR="00281BEA" w:rsidRPr="00705394">
        <w:rPr>
          <w:u w:val="none"/>
        </w:rPr>
        <w:t>ship</w:t>
      </w:r>
      <w:r w:rsidR="007208CB" w:rsidRPr="00705394">
        <w:rPr>
          <w:u w:val="none"/>
        </w:rPr>
        <w:t xml:space="preserve"> pay are sustainable</w:t>
      </w:r>
      <w:r w:rsidR="00150A4A" w:rsidRPr="00705394">
        <w:rPr>
          <w:u w:val="none"/>
        </w:rPr>
        <w:t xml:space="preserve"> long term</w:t>
      </w:r>
      <w:r w:rsidR="007208CB" w:rsidRPr="00705394">
        <w:rPr>
          <w:u w:val="none"/>
        </w:rPr>
        <w:t xml:space="preserve">. The governing body should then </w:t>
      </w:r>
      <w:r w:rsidRPr="00705394">
        <w:rPr>
          <w:u w:val="none"/>
        </w:rPr>
        <w:t>follow the three</w:t>
      </w:r>
      <w:r w:rsidR="00281BEA" w:rsidRPr="00705394">
        <w:rPr>
          <w:u w:val="none"/>
        </w:rPr>
        <w:t>-</w:t>
      </w:r>
      <w:r w:rsidRPr="00705394">
        <w:rPr>
          <w:u w:val="none"/>
        </w:rPr>
        <w:t xml:space="preserve">stage process set out in Appendix </w:t>
      </w:r>
      <w:r w:rsidRPr="002663D2">
        <w:rPr>
          <w:u w:val="none"/>
        </w:rPr>
        <w:t>1</w:t>
      </w:r>
      <w:r w:rsidR="0075269E" w:rsidRPr="002663D2">
        <w:rPr>
          <w:u w:val="none"/>
        </w:rPr>
        <w:t xml:space="preserve"> </w:t>
      </w:r>
      <w:r w:rsidR="00C20D75" w:rsidRPr="002663D2">
        <w:rPr>
          <w:u w:val="none"/>
        </w:rPr>
        <w:t xml:space="preserve">and 2 </w:t>
      </w:r>
      <w:r w:rsidRPr="002663D2">
        <w:rPr>
          <w:u w:val="none"/>
        </w:rPr>
        <w:t xml:space="preserve">of the </w:t>
      </w:r>
      <w:r w:rsidR="00150A4A" w:rsidRPr="00705394">
        <w:rPr>
          <w:u w:val="none"/>
        </w:rPr>
        <w:t>Toolkit</w:t>
      </w:r>
      <w:r w:rsidRPr="00705394">
        <w:rPr>
          <w:u w:val="none"/>
        </w:rPr>
        <w:t xml:space="preserve">. </w:t>
      </w:r>
      <w:r w:rsidR="00150A4A" w:rsidRPr="00705394">
        <w:rPr>
          <w:u w:val="none"/>
        </w:rPr>
        <w:t xml:space="preserve">Appendix 1 is designed to guide governors through the pay determination </w:t>
      </w:r>
      <w:r w:rsidRPr="00705394">
        <w:rPr>
          <w:u w:val="none"/>
        </w:rPr>
        <w:t>proce</w:t>
      </w:r>
      <w:r w:rsidR="00125D99" w:rsidRPr="00705394">
        <w:rPr>
          <w:u w:val="none"/>
        </w:rPr>
        <w:t xml:space="preserve">ss. </w:t>
      </w:r>
      <w:r w:rsidR="00281BEA" w:rsidRPr="00705394">
        <w:rPr>
          <w:u w:val="none"/>
        </w:rPr>
        <w:t xml:space="preserve"> </w:t>
      </w:r>
      <w:r w:rsidR="00125D99" w:rsidRPr="00705394">
        <w:rPr>
          <w:u w:val="none"/>
        </w:rPr>
        <w:t>C</w:t>
      </w:r>
      <w:r w:rsidR="00150A4A" w:rsidRPr="00705394">
        <w:rPr>
          <w:u w:val="none"/>
        </w:rPr>
        <w:t>rucially</w:t>
      </w:r>
      <w:r w:rsidR="00125D99" w:rsidRPr="00705394">
        <w:rPr>
          <w:u w:val="none"/>
        </w:rPr>
        <w:t>, it</w:t>
      </w:r>
      <w:r w:rsidR="00150A4A" w:rsidRPr="00705394">
        <w:rPr>
          <w:u w:val="none"/>
        </w:rPr>
        <w:t xml:space="preserve"> will </w:t>
      </w:r>
      <w:r w:rsidRPr="00705394">
        <w:rPr>
          <w:u w:val="none"/>
        </w:rPr>
        <w:t>en</w:t>
      </w:r>
      <w:r w:rsidR="00150A4A" w:rsidRPr="00705394">
        <w:rPr>
          <w:u w:val="none"/>
        </w:rPr>
        <w:t xml:space="preserve">able </w:t>
      </w:r>
      <w:r w:rsidRPr="00705394">
        <w:rPr>
          <w:u w:val="none"/>
        </w:rPr>
        <w:t xml:space="preserve">the governing body </w:t>
      </w:r>
      <w:r w:rsidR="00150A4A" w:rsidRPr="00705394">
        <w:rPr>
          <w:u w:val="none"/>
        </w:rPr>
        <w:t xml:space="preserve">to </w:t>
      </w:r>
      <w:r w:rsidRPr="00705394">
        <w:rPr>
          <w:u w:val="none"/>
        </w:rPr>
        <w:t xml:space="preserve">properly document and evidence transparency in </w:t>
      </w:r>
      <w:r w:rsidR="00281BEA" w:rsidRPr="00705394">
        <w:rPr>
          <w:u w:val="none"/>
        </w:rPr>
        <w:t>the</w:t>
      </w:r>
      <w:r w:rsidRPr="00705394">
        <w:rPr>
          <w:u w:val="none"/>
        </w:rPr>
        <w:t xml:space="preserve"> pay </w:t>
      </w:r>
      <w:r w:rsidR="00281BEA" w:rsidRPr="00705394">
        <w:rPr>
          <w:u w:val="none"/>
        </w:rPr>
        <w:t>determination</w:t>
      </w:r>
      <w:r w:rsidRPr="00705394">
        <w:rPr>
          <w:u w:val="none"/>
        </w:rPr>
        <w:t>.</w:t>
      </w:r>
    </w:p>
    <w:p w14:paraId="5430E7B8" w14:textId="77777777" w:rsidR="0017347D" w:rsidRPr="00705394" w:rsidRDefault="0017347D" w:rsidP="00396DA7">
      <w:pPr>
        <w:spacing w:after="0"/>
        <w:ind w:left="284"/>
        <w:jc w:val="both"/>
        <w:rPr>
          <w:u w:val="none"/>
        </w:rPr>
      </w:pPr>
    </w:p>
    <w:p w14:paraId="73366ED5" w14:textId="00B15B34" w:rsidR="00522071" w:rsidRPr="00705394" w:rsidRDefault="00185902" w:rsidP="001E1BBC">
      <w:pPr>
        <w:spacing w:after="0"/>
        <w:jc w:val="both"/>
        <w:rPr>
          <w:u w:val="none"/>
        </w:rPr>
      </w:pPr>
      <w:r w:rsidRPr="00705394">
        <w:rPr>
          <w:u w:val="none"/>
        </w:rPr>
        <w:t xml:space="preserve">In setting the headteacher’s pay range, the appropriate committee of the governing body must assign the school to a headteacher group and determine the </w:t>
      </w:r>
      <w:r w:rsidR="002B59F1" w:rsidRPr="00705394">
        <w:rPr>
          <w:u w:val="none"/>
        </w:rPr>
        <w:t>seven-point</w:t>
      </w:r>
      <w:r w:rsidRPr="00705394">
        <w:rPr>
          <w:u w:val="none"/>
        </w:rPr>
        <w:t xml:space="preserve"> (IPR) range. </w:t>
      </w:r>
      <w:r w:rsidR="0075269E" w:rsidRPr="00705394">
        <w:rPr>
          <w:u w:val="none"/>
        </w:rPr>
        <w:t xml:space="preserve"> </w:t>
      </w:r>
      <w:r w:rsidRPr="00705394">
        <w:rPr>
          <w:u w:val="none"/>
        </w:rPr>
        <w:t xml:space="preserve">The range should </w:t>
      </w:r>
      <w:r w:rsidR="00522071" w:rsidRPr="00705394">
        <w:rPr>
          <w:b/>
        </w:rPr>
        <w:t>only</w:t>
      </w:r>
      <w:r w:rsidR="00522071" w:rsidRPr="00705394">
        <w:rPr>
          <w:u w:val="none"/>
        </w:rPr>
        <w:t xml:space="preserve"> be reviewed: </w:t>
      </w:r>
    </w:p>
    <w:p w14:paraId="0A46DE4A" w14:textId="77777777" w:rsidR="001E1BBC" w:rsidRPr="00705394" w:rsidRDefault="001E1BBC" w:rsidP="001E1BBC">
      <w:pPr>
        <w:spacing w:after="0"/>
        <w:jc w:val="both"/>
        <w:rPr>
          <w:u w:val="none"/>
        </w:rPr>
      </w:pPr>
    </w:p>
    <w:p w14:paraId="5BCA6891" w14:textId="209701C7" w:rsidR="00522071" w:rsidRPr="00705394" w:rsidRDefault="00185902" w:rsidP="00B42818">
      <w:pPr>
        <w:numPr>
          <w:ilvl w:val="0"/>
          <w:numId w:val="19"/>
        </w:numPr>
        <w:spacing w:after="0"/>
        <w:ind w:left="1134" w:hanging="567"/>
        <w:jc w:val="both"/>
        <w:rPr>
          <w:u w:val="none"/>
        </w:rPr>
      </w:pPr>
      <w:r w:rsidRPr="00705394">
        <w:rPr>
          <w:u w:val="none"/>
        </w:rPr>
        <w:t>on appointment</w:t>
      </w:r>
      <w:r w:rsidR="00522071" w:rsidRPr="00705394">
        <w:rPr>
          <w:u w:val="none"/>
        </w:rPr>
        <w:t xml:space="preserve">, </w:t>
      </w:r>
      <w:r w:rsidR="00CB04DA" w:rsidRPr="00705394">
        <w:rPr>
          <w:u w:val="none"/>
        </w:rPr>
        <w:t>o</w:t>
      </w:r>
      <w:r w:rsidRPr="00705394">
        <w:rPr>
          <w:u w:val="none"/>
        </w:rPr>
        <w:t xml:space="preserve">r </w:t>
      </w:r>
    </w:p>
    <w:p w14:paraId="7F1A588A" w14:textId="77777777" w:rsidR="00522071" w:rsidRPr="00705394" w:rsidRDefault="00522071" w:rsidP="00B42818">
      <w:pPr>
        <w:numPr>
          <w:ilvl w:val="0"/>
          <w:numId w:val="19"/>
        </w:numPr>
        <w:spacing w:after="0"/>
        <w:ind w:left="1134" w:hanging="567"/>
        <w:jc w:val="both"/>
        <w:rPr>
          <w:u w:val="none"/>
        </w:rPr>
      </w:pPr>
      <w:r w:rsidRPr="00705394">
        <w:rPr>
          <w:u w:val="none"/>
        </w:rPr>
        <w:t xml:space="preserve">if </w:t>
      </w:r>
      <w:r w:rsidR="00185902" w:rsidRPr="00705394">
        <w:rPr>
          <w:u w:val="none"/>
        </w:rPr>
        <w:t xml:space="preserve">there are </w:t>
      </w:r>
      <w:r w:rsidR="00185902" w:rsidRPr="00705394">
        <w:t>significan</w:t>
      </w:r>
      <w:r w:rsidR="00185902" w:rsidRPr="00705394">
        <w:rPr>
          <w:u w:val="none"/>
        </w:rPr>
        <w:t>t changes to the duties and responsibilities of the post including where</w:t>
      </w:r>
      <w:r w:rsidR="00371FF5" w:rsidRPr="00705394">
        <w:rPr>
          <w:u w:val="none"/>
        </w:rPr>
        <w:t xml:space="preserve"> there is a significant increase or decrease in pupil numbers or where</w:t>
      </w:r>
      <w:r w:rsidR="00185902" w:rsidRPr="00705394">
        <w:rPr>
          <w:u w:val="none"/>
        </w:rPr>
        <w:t xml:space="preserve"> the head teacher becomes responsible and accountable for more than one school in a </w:t>
      </w:r>
      <w:r w:rsidRPr="00705394">
        <w:rPr>
          <w:u w:val="none"/>
        </w:rPr>
        <w:t xml:space="preserve">temporary collaboration or permanent </w:t>
      </w:r>
      <w:r w:rsidR="00185902" w:rsidRPr="00705394">
        <w:rPr>
          <w:u w:val="none"/>
        </w:rPr>
        <w:t xml:space="preserve">federation. </w:t>
      </w:r>
    </w:p>
    <w:p w14:paraId="30C3AC7B" w14:textId="77777777" w:rsidR="001E1BBC" w:rsidRPr="00705394" w:rsidRDefault="001E1BBC" w:rsidP="001E1BBC">
      <w:pPr>
        <w:spacing w:after="0"/>
        <w:ind w:left="709" w:hanging="283"/>
        <w:jc w:val="both"/>
        <w:rPr>
          <w:u w:val="none"/>
        </w:rPr>
      </w:pPr>
    </w:p>
    <w:p w14:paraId="5DBCB862" w14:textId="070EB03F" w:rsidR="00185902" w:rsidRPr="00705394" w:rsidRDefault="00185902" w:rsidP="001E1BBC">
      <w:pPr>
        <w:spacing w:after="0"/>
        <w:jc w:val="both"/>
        <w:rPr>
          <w:u w:val="none"/>
        </w:rPr>
      </w:pPr>
      <w:r w:rsidRPr="00705394">
        <w:rPr>
          <w:u w:val="none"/>
        </w:rPr>
        <w:t xml:space="preserve">In </w:t>
      </w:r>
      <w:r w:rsidR="006F61F7" w:rsidRPr="00705394">
        <w:rPr>
          <w:u w:val="none"/>
        </w:rPr>
        <w:t xml:space="preserve">reviewing </w:t>
      </w:r>
      <w:r w:rsidRPr="00705394">
        <w:rPr>
          <w:u w:val="none"/>
        </w:rPr>
        <w:t xml:space="preserve">the pay </w:t>
      </w:r>
      <w:r w:rsidR="00C20D75" w:rsidRPr="00705394">
        <w:rPr>
          <w:u w:val="none"/>
        </w:rPr>
        <w:t>range,</w:t>
      </w:r>
      <w:r w:rsidRPr="00705394">
        <w:rPr>
          <w:u w:val="none"/>
        </w:rPr>
        <w:t xml:space="preserve"> the governing body should not </w:t>
      </w:r>
      <w:r w:rsidR="00C20D75" w:rsidRPr="00705394">
        <w:rPr>
          <w:u w:val="none"/>
        </w:rPr>
        <w:t>consider</w:t>
      </w:r>
      <w:r w:rsidRPr="00705394">
        <w:rPr>
          <w:u w:val="none"/>
        </w:rPr>
        <w:t xml:space="preserve"> the </w:t>
      </w:r>
      <w:r w:rsidR="006F61F7" w:rsidRPr="00705394">
        <w:rPr>
          <w:u w:val="none"/>
        </w:rPr>
        <w:t xml:space="preserve">current </w:t>
      </w:r>
      <w:r w:rsidRPr="00705394">
        <w:rPr>
          <w:u w:val="none"/>
        </w:rPr>
        <w:t xml:space="preserve">salary of the serving headteacher. </w:t>
      </w:r>
      <w:r w:rsidR="0075269E" w:rsidRPr="00705394">
        <w:rPr>
          <w:u w:val="none"/>
        </w:rPr>
        <w:t xml:space="preserve"> </w:t>
      </w:r>
      <w:r w:rsidRPr="00705394">
        <w:rPr>
          <w:u w:val="none"/>
        </w:rPr>
        <w:t xml:space="preserve">The governing body is required to </w:t>
      </w:r>
      <w:r w:rsidR="00280BA6" w:rsidRPr="00705394">
        <w:rPr>
          <w:u w:val="none"/>
        </w:rPr>
        <w:t>consider</w:t>
      </w:r>
      <w:r w:rsidRPr="00705394">
        <w:rPr>
          <w:u w:val="none"/>
        </w:rPr>
        <w:t xml:space="preserve"> the following:</w:t>
      </w:r>
    </w:p>
    <w:p w14:paraId="2BFA6F4E" w14:textId="77777777" w:rsidR="00185902" w:rsidRPr="00705394" w:rsidRDefault="00185902" w:rsidP="00B42818">
      <w:pPr>
        <w:numPr>
          <w:ilvl w:val="0"/>
          <w:numId w:val="20"/>
        </w:numPr>
        <w:spacing w:after="0"/>
        <w:ind w:hanging="579"/>
        <w:jc w:val="both"/>
        <w:rPr>
          <w:u w:val="none"/>
        </w:rPr>
      </w:pPr>
      <w:r w:rsidRPr="00705394">
        <w:rPr>
          <w:u w:val="none"/>
        </w:rPr>
        <w:t xml:space="preserve">The school unit </w:t>
      </w:r>
      <w:proofErr w:type="gramStart"/>
      <w:r w:rsidRPr="00705394">
        <w:rPr>
          <w:u w:val="none"/>
        </w:rPr>
        <w:t>total</w:t>
      </w:r>
      <w:r w:rsidR="0075269E" w:rsidRPr="00705394">
        <w:rPr>
          <w:u w:val="none"/>
        </w:rPr>
        <w:t>;</w:t>
      </w:r>
      <w:proofErr w:type="gramEnd"/>
    </w:p>
    <w:p w14:paraId="418CC5CC" w14:textId="583039D1" w:rsidR="00185902" w:rsidRPr="00705394" w:rsidRDefault="0075269E" w:rsidP="00B42818">
      <w:pPr>
        <w:numPr>
          <w:ilvl w:val="0"/>
          <w:numId w:val="20"/>
        </w:numPr>
        <w:spacing w:after="0"/>
        <w:ind w:hanging="579"/>
        <w:jc w:val="both"/>
        <w:rPr>
          <w:u w:val="none"/>
        </w:rPr>
      </w:pPr>
      <w:proofErr w:type="gramStart"/>
      <w:r w:rsidRPr="00705394">
        <w:rPr>
          <w:u w:val="none"/>
        </w:rPr>
        <w:t>A</w:t>
      </w:r>
      <w:r w:rsidR="00185902" w:rsidRPr="00705394">
        <w:rPr>
          <w:u w:val="none"/>
        </w:rPr>
        <w:t>ll of</w:t>
      </w:r>
      <w:proofErr w:type="gramEnd"/>
      <w:r w:rsidR="00185902" w:rsidRPr="00705394">
        <w:rPr>
          <w:u w:val="none"/>
        </w:rPr>
        <w:t xml:space="preserve"> the permanent responsibilities of the headteacher </w:t>
      </w:r>
      <w:proofErr w:type="gramStart"/>
      <w:r w:rsidR="00185902" w:rsidRPr="00705394">
        <w:rPr>
          <w:u w:val="none"/>
        </w:rPr>
        <w:t>role</w:t>
      </w:r>
      <w:r w:rsidRPr="00705394">
        <w:rPr>
          <w:u w:val="none"/>
        </w:rPr>
        <w:t>;</w:t>
      </w:r>
      <w:proofErr w:type="gramEnd"/>
    </w:p>
    <w:p w14:paraId="508D015E" w14:textId="77777777" w:rsidR="00185902" w:rsidRPr="00705394" w:rsidRDefault="0075269E" w:rsidP="00B42818">
      <w:pPr>
        <w:numPr>
          <w:ilvl w:val="0"/>
          <w:numId w:val="20"/>
        </w:numPr>
        <w:spacing w:after="0"/>
        <w:ind w:hanging="579"/>
        <w:jc w:val="both"/>
        <w:rPr>
          <w:u w:val="none"/>
        </w:rPr>
      </w:pPr>
      <w:r w:rsidRPr="00705394">
        <w:rPr>
          <w:u w:val="none"/>
        </w:rPr>
        <w:t>A</w:t>
      </w:r>
      <w:r w:rsidR="00185902" w:rsidRPr="00705394">
        <w:rPr>
          <w:u w:val="none"/>
        </w:rPr>
        <w:t xml:space="preserve">ny challenges that are specific to the </w:t>
      </w:r>
      <w:proofErr w:type="gramStart"/>
      <w:r w:rsidR="00185902" w:rsidRPr="00705394">
        <w:rPr>
          <w:u w:val="none"/>
        </w:rPr>
        <w:t>role</w:t>
      </w:r>
      <w:r w:rsidRPr="00705394">
        <w:rPr>
          <w:u w:val="none"/>
        </w:rPr>
        <w:t>;</w:t>
      </w:r>
      <w:proofErr w:type="gramEnd"/>
    </w:p>
    <w:p w14:paraId="4C7A6052" w14:textId="77777777" w:rsidR="00185902" w:rsidRPr="00705394" w:rsidRDefault="0075269E" w:rsidP="00B42818">
      <w:pPr>
        <w:numPr>
          <w:ilvl w:val="0"/>
          <w:numId w:val="20"/>
        </w:numPr>
        <w:spacing w:after="0"/>
        <w:ind w:hanging="579"/>
        <w:jc w:val="both"/>
        <w:rPr>
          <w:u w:val="none"/>
        </w:rPr>
      </w:pPr>
      <w:r w:rsidRPr="00705394">
        <w:rPr>
          <w:u w:val="none"/>
        </w:rPr>
        <w:t>A</w:t>
      </w:r>
      <w:r w:rsidR="00185902" w:rsidRPr="00705394">
        <w:rPr>
          <w:u w:val="none"/>
        </w:rPr>
        <w:t>ll other relevant considerations</w:t>
      </w:r>
      <w:r w:rsidRPr="00705394">
        <w:rPr>
          <w:u w:val="none"/>
        </w:rPr>
        <w:t>; and</w:t>
      </w:r>
    </w:p>
    <w:p w14:paraId="0DCDF638" w14:textId="77777777" w:rsidR="00185902" w:rsidRPr="00705394" w:rsidRDefault="0075269E" w:rsidP="00B42818">
      <w:pPr>
        <w:numPr>
          <w:ilvl w:val="0"/>
          <w:numId w:val="20"/>
        </w:numPr>
        <w:spacing w:after="0"/>
        <w:ind w:hanging="579"/>
        <w:jc w:val="both"/>
        <w:rPr>
          <w:u w:val="none"/>
        </w:rPr>
      </w:pPr>
      <w:r w:rsidRPr="00705394">
        <w:rPr>
          <w:u w:val="none"/>
        </w:rPr>
        <w:t>A</w:t>
      </w:r>
      <w:r w:rsidR="00185902" w:rsidRPr="00705394">
        <w:rPr>
          <w:u w:val="none"/>
        </w:rPr>
        <w:t>ffordability</w:t>
      </w:r>
      <w:r w:rsidRPr="00705394">
        <w:rPr>
          <w:u w:val="none"/>
        </w:rPr>
        <w:t>.</w:t>
      </w:r>
    </w:p>
    <w:p w14:paraId="316B8050" w14:textId="77777777" w:rsidR="0017347D" w:rsidRPr="00705394" w:rsidRDefault="0017347D" w:rsidP="00396DA7">
      <w:pPr>
        <w:spacing w:after="0"/>
        <w:ind w:left="284"/>
        <w:jc w:val="both"/>
        <w:rPr>
          <w:u w:val="none"/>
        </w:rPr>
      </w:pPr>
    </w:p>
    <w:p w14:paraId="042638DC" w14:textId="6AEB4D09" w:rsidR="00185902" w:rsidRPr="00705394" w:rsidRDefault="00185902" w:rsidP="001E1BBC">
      <w:pPr>
        <w:spacing w:after="0"/>
        <w:jc w:val="both"/>
        <w:rPr>
          <w:u w:val="none"/>
        </w:rPr>
      </w:pPr>
      <w:r w:rsidRPr="00705394">
        <w:rPr>
          <w:u w:val="none"/>
        </w:rPr>
        <w:t xml:space="preserve">The determination must be made in line with the </w:t>
      </w:r>
      <w:r w:rsidR="00CB04DA" w:rsidRPr="00705394">
        <w:rPr>
          <w:u w:val="none"/>
        </w:rPr>
        <w:t xml:space="preserve">current </w:t>
      </w:r>
      <w:r w:rsidRPr="00705394">
        <w:rPr>
          <w:u w:val="none"/>
        </w:rPr>
        <w:t xml:space="preserve">STPCD and advice issued by the </w:t>
      </w:r>
      <w:r w:rsidR="0075269E" w:rsidRPr="00705394">
        <w:rPr>
          <w:u w:val="none"/>
        </w:rPr>
        <w:t>Local A</w:t>
      </w:r>
      <w:r w:rsidRPr="00705394">
        <w:rPr>
          <w:u w:val="none"/>
        </w:rPr>
        <w:t xml:space="preserve">uthority. </w:t>
      </w:r>
      <w:r w:rsidRPr="00705394">
        <w:rPr>
          <w:b/>
          <w:bCs/>
          <w:u w:val="none"/>
        </w:rPr>
        <w:t xml:space="preserve"> </w:t>
      </w:r>
      <w:r w:rsidRPr="00705394">
        <w:rPr>
          <w:u w:val="none"/>
        </w:rPr>
        <w:t>Unless in exceptional circumstances</w:t>
      </w:r>
      <w:r w:rsidR="00280BA6" w:rsidRPr="00705394">
        <w:rPr>
          <w:u w:val="none"/>
        </w:rPr>
        <w:t>,</w:t>
      </w:r>
      <w:r w:rsidRPr="00705394">
        <w:rPr>
          <w:u w:val="none"/>
        </w:rPr>
        <w:t xml:space="preserve"> it is no longer permissible to set an IPR outside of the school’s group size as determined by the pupil numbers on roll and the provisions of the STPCD.</w:t>
      </w:r>
      <w:r w:rsidR="002B3D93" w:rsidRPr="00705394">
        <w:rPr>
          <w:u w:val="none"/>
        </w:rPr>
        <w:t xml:space="preserve"> </w:t>
      </w:r>
      <w:r w:rsidRPr="00705394">
        <w:rPr>
          <w:u w:val="none"/>
        </w:rPr>
        <w:t xml:space="preserve">In the case of a new appointment to headship, the governing body may wish to consider the extent to which the leadership pay reflects how closely their preferred candidate meets the requirements of the post. </w:t>
      </w:r>
      <w:r w:rsidR="00EE6A2D" w:rsidRPr="00705394">
        <w:rPr>
          <w:u w:val="none"/>
        </w:rPr>
        <w:t xml:space="preserve"> </w:t>
      </w:r>
      <w:r w:rsidR="007208CB" w:rsidRPr="00705394">
        <w:rPr>
          <w:u w:val="none"/>
        </w:rPr>
        <w:t>In setting or revising the IPR t</w:t>
      </w:r>
      <w:r w:rsidRPr="00705394">
        <w:rPr>
          <w:u w:val="none"/>
        </w:rPr>
        <w:t>he governing body must</w:t>
      </w:r>
      <w:r w:rsidR="00125D99" w:rsidRPr="00705394">
        <w:rPr>
          <w:u w:val="none"/>
        </w:rPr>
        <w:t xml:space="preserve"> always</w:t>
      </w:r>
      <w:r w:rsidRPr="00705394">
        <w:rPr>
          <w:u w:val="none"/>
        </w:rPr>
        <w:t xml:space="preserve"> ensure that there is appropriate scope within the range for performance rela</w:t>
      </w:r>
      <w:r w:rsidR="00EE6A2D" w:rsidRPr="00705394">
        <w:rPr>
          <w:u w:val="none"/>
        </w:rPr>
        <w:t xml:space="preserve">ted pay progression over time. </w:t>
      </w:r>
    </w:p>
    <w:p w14:paraId="49600173" w14:textId="77777777" w:rsidR="0017347D" w:rsidRPr="00705394" w:rsidRDefault="0017347D" w:rsidP="00396DA7">
      <w:pPr>
        <w:spacing w:after="0"/>
        <w:ind w:left="284"/>
        <w:jc w:val="both"/>
        <w:rPr>
          <w:u w:val="none"/>
        </w:rPr>
      </w:pPr>
    </w:p>
    <w:p w14:paraId="03247518" w14:textId="1CE24185" w:rsidR="00703E41" w:rsidRPr="00705394" w:rsidRDefault="007208CB" w:rsidP="001E1BBC">
      <w:pPr>
        <w:spacing w:after="0"/>
        <w:jc w:val="both"/>
        <w:rPr>
          <w:u w:val="none"/>
        </w:rPr>
      </w:pPr>
      <w:r w:rsidRPr="00705394">
        <w:rPr>
          <w:u w:val="none"/>
        </w:rPr>
        <w:t xml:space="preserve">There is no need to </w:t>
      </w:r>
      <w:r w:rsidR="00A1538F" w:rsidRPr="00705394">
        <w:rPr>
          <w:u w:val="none"/>
        </w:rPr>
        <w:t xml:space="preserve">routinely </w:t>
      </w:r>
      <w:r w:rsidRPr="00705394">
        <w:rPr>
          <w:u w:val="none"/>
        </w:rPr>
        <w:t xml:space="preserve">re assess the pay or allowances for </w:t>
      </w:r>
      <w:r w:rsidR="006F61F7" w:rsidRPr="00705394">
        <w:rPr>
          <w:u w:val="none"/>
        </w:rPr>
        <w:t xml:space="preserve">an </w:t>
      </w:r>
      <w:r w:rsidRPr="00705394">
        <w:rPr>
          <w:u w:val="none"/>
        </w:rPr>
        <w:t xml:space="preserve">existing headteacher or members of the leadership team. The pay of those in leadership positions should only be reviewed where there are significant changes to duties, </w:t>
      </w:r>
      <w:r w:rsidR="00BB042D" w:rsidRPr="00705394">
        <w:rPr>
          <w:u w:val="none"/>
        </w:rPr>
        <w:t>accountabilities,</w:t>
      </w:r>
      <w:r w:rsidRPr="00705394">
        <w:rPr>
          <w:u w:val="none"/>
        </w:rPr>
        <w:t xml:space="preserve"> and responsibilities </w:t>
      </w:r>
      <w:r w:rsidRPr="00705394">
        <w:rPr>
          <w:u w:val="none"/>
        </w:rPr>
        <w:lastRenderedPageBreak/>
        <w:t xml:space="preserve">of the post.  </w:t>
      </w:r>
      <w:r w:rsidR="00280BA6" w:rsidRPr="00705394">
        <w:rPr>
          <w:u w:val="none"/>
        </w:rPr>
        <w:t>As such, a reassessment should</w:t>
      </w:r>
      <w:r w:rsidR="00185902" w:rsidRPr="00705394">
        <w:rPr>
          <w:u w:val="none"/>
        </w:rPr>
        <w:t xml:space="preserve"> </w:t>
      </w:r>
      <w:r w:rsidR="00185902" w:rsidRPr="00705394">
        <w:t>not be automatic</w:t>
      </w:r>
      <w:r w:rsidR="00703E41" w:rsidRPr="00705394">
        <w:t>,</w:t>
      </w:r>
      <w:r w:rsidR="00703E41" w:rsidRPr="00705394">
        <w:rPr>
          <w:u w:val="none"/>
        </w:rPr>
        <w:t xml:space="preserve"> for example just because the head teacher or other senior leader has reached the top of their pay range</w:t>
      </w:r>
      <w:r w:rsidR="00185902" w:rsidRPr="00705394">
        <w:rPr>
          <w:u w:val="none"/>
        </w:rPr>
        <w:t xml:space="preserve">. </w:t>
      </w:r>
    </w:p>
    <w:p w14:paraId="28ACC4CE" w14:textId="77777777" w:rsidR="008E3211" w:rsidRPr="00705394" w:rsidRDefault="008E3211" w:rsidP="001E1BBC">
      <w:pPr>
        <w:spacing w:after="0"/>
        <w:jc w:val="both"/>
        <w:rPr>
          <w:u w:val="none"/>
        </w:rPr>
      </w:pPr>
    </w:p>
    <w:p w14:paraId="0706D754" w14:textId="77777777" w:rsidR="00703E41" w:rsidRPr="00705394" w:rsidRDefault="00703E41" w:rsidP="001E1BBC">
      <w:pPr>
        <w:spacing w:after="0"/>
        <w:jc w:val="both"/>
      </w:pPr>
      <w:r w:rsidRPr="00705394">
        <w:t xml:space="preserve">Changes in pupil numbers </w:t>
      </w:r>
    </w:p>
    <w:p w14:paraId="2C7F5662" w14:textId="77777777" w:rsidR="0017347D" w:rsidRPr="00705394" w:rsidRDefault="0017347D" w:rsidP="001E1BBC">
      <w:pPr>
        <w:spacing w:after="0"/>
        <w:jc w:val="both"/>
      </w:pPr>
    </w:p>
    <w:p w14:paraId="2C21AF2A" w14:textId="06794D4F" w:rsidR="00185902" w:rsidRPr="00705394" w:rsidRDefault="00185902" w:rsidP="001E1BBC">
      <w:pPr>
        <w:spacing w:after="0"/>
        <w:jc w:val="both"/>
        <w:rPr>
          <w:u w:val="none"/>
        </w:rPr>
      </w:pPr>
      <w:r w:rsidRPr="00705394">
        <w:rPr>
          <w:u w:val="none"/>
        </w:rPr>
        <w:t>This may include fluctuations in pupil numbers which may affect the range within the group or the school group itself or where the post accrues/loses significant responsibilities.</w:t>
      </w:r>
      <w:r w:rsidR="00280BA6" w:rsidRPr="00705394">
        <w:rPr>
          <w:u w:val="none"/>
        </w:rPr>
        <w:t xml:space="preserve"> </w:t>
      </w:r>
      <w:r w:rsidR="00EE6A2D" w:rsidRPr="00705394">
        <w:rPr>
          <w:u w:val="none"/>
        </w:rPr>
        <w:t xml:space="preserve"> </w:t>
      </w:r>
      <w:r w:rsidRPr="00705394">
        <w:rPr>
          <w:u w:val="none"/>
        </w:rPr>
        <w:t>Where the school’s group size is reduced due to a reduction in pupil numbers the headteacher</w:t>
      </w:r>
      <w:r w:rsidR="00EE6A2D" w:rsidRPr="00705394">
        <w:rPr>
          <w:u w:val="none"/>
        </w:rPr>
        <w:t>’</w:t>
      </w:r>
      <w:r w:rsidRPr="00705394">
        <w:rPr>
          <w:u w:val="none"/>
        </w:rPr>
        <w:t xml:space="preserve">s pay range (IPR) should be reviewed and the headteacher may be placed on a protected salary </w:t>
      </w:r>
      <w:r w:rsidR="00C837BB" w:rsidRPr="00705394">
        <w:rPr>
          <w:u w:val="none"/>
        </w:rPr>
        <w:t xml:space="preserve">(see </w:t>
      </w:r>
      <w:r w:rsidR="00280BA6" w:rsidRPr="00705394">
        <w:rPr>
          <w:u w:val="none"/>
        </w:rPr>
        <w:t xml:space="preserve">policy and </w:t>
      </w:r>
      <w:r w:rsidR="00C837BB" w:rsidRPr="00705394">
        <w:rPr>
          <w:u w:val="none"/>
        </w:rPr>
        <w:t xml:space="preserve">guidance </w:t>
      </w:r>
      <w:r w:rsidR="00280BA6" w:rsidRPr="00705394">
        <w:rPr>
          <w:u w:val="none"/>
        </w:rPr>
        <w:t>paragraph</w:t>
      </w:r>
      <w:r w:rsidR="00C837BB" w:rsidRPr="00705394">
        <w:rPr>
          <w:u w:val="none"/>
        </w:rPr>
        <w:t xml:space="preserve"> 2</w:t>
      </w:r>
      <w:r w:rsidR="00280BA6" w:rsidRPr="00705394">
        <w:rPr>
          <w:u w:val="none"/>
        </w:rPr>
        <w:t>5</w:t>
      </w:r>
      <w:r w:rsidRPr="00705394">
        <w:rPr>
          <w:u w:val="none"/>
        </w:rPr>
        <w:t>).</w:t>
      </w:r>
      <w:r w:rsidR="00EE6A2D" w:rsidRPr="00705394">
        <w:rPr>
          <w:u w:val="none"/>
        </w:rPr>
        <w:t xml:space="preserve"> </w:t>
      </w:r>
      <w:r w:rsidRPr="00705394">
        <w:rPr>
          <w:u w:val="none"/>
        </w:rPr>
        <w:t xml:space="preserve">Where the unit total of the school is expected to rise or fall after the date on which the school group assignment is due, the governing body may instead assign the school to an appropriate group which </w:t>
      </w:r>
      <w:r w:rsidR="00125D99" w:rsidRPr="00705394">
        <w:rPr>
          <w:u w:val="none"/>
        </w:rPr>
        <w:t xml:space="preserve">would </w:t>
      </w:r>
      <w:r w:rsidRPr="00705394">
        <w:rPr>
          <w:u w:val="none"/>
        </w:rPr>
        <w:t>result after the expected change in pupil numbers has taken place (STPCD 8.1)</w:t>
      </w:r>
      <w:r w:rsidR="00EE6A2D" w:rsidRPr="00705394">
        <w:rPr>
          <w:u w:val="none"/>
        </w:rPr>
        <w:t xml:space="preserve">. </w:t>
      </w:r>
      <w:r w:rsidRPr="00705394">
        <w:rPr>
          <w:u w:val="none"/>
        </w:rPr>
        <w:t xml:space="preserve"> However, in such circumstances no assignment may be made by the governing body until the local authority has been consulted (STPCD 8.2)</w:t>
      </w:r>
      <w:r w:rsidR="00125D99" w:rsidRPr="00705394">
        <w:rPr>
          <w:u w:val="none"/>
        </w:rPr>
        <w:t>. Please seek advice from your HR Business Partner in these circumstances.</w:t>
      </w:r>
    </w:p>
    <w:p w14:paraId="2349B5A0" w14:textId="77777777" w:rsidR="001E1BBC" w:rsidRPr="00705394" w:rsidRDefault="001E1BBC" w:rsidP="001E1BBC">
      <w:pPr>
        <w:spacing w:after="0"/>
        <w:jc w:val="both"/>
      </w:pPr>
    </w:p>
    <w:p w14:paraId="5DC98D05" w14:textId="0E931B9B" w:rsidR="00185902" w:rsidRPr="00705394" w:rsidRDefault="00185902" w:rsidP="001E1BBC">
      <w:pPr>
        <w:spacing w:after="0"/>
        <w:jc w:val="both"/>
      </w:pPr>
      <w:r w:rsidRPr="00705394">
        <w:t>Paragraph 6</w:t>
      </w:r>
      <w:r w:rsidR="003376D3" w:rsidRPr="00705394">
        <w:t>.</w:t>
      </w:r>
      <w:r w:rsidR="00A41971" w:rsidRPr="00705394">
        <w:t>8</w:t>
      </w:r>
      <w:r w:rsidRPr="00705394">
        <w:t xml:space="preserve"> – Head</w:t>
      </w:r>
      <w:r w:rsidR="006F61F7" w:rsidRPr="00705394">
        <w:t>t</w:t>
      </w:r>
      <w:r w:rsidRPr="00705394">
        <w:t>eacher Appointments to More than One School</w:t>
      </w:r>
    </w:p>
    <w:p w14:paraId="1833E71D" w14:textId="77777777" w:rsidR="0017347D" w:rsidRPr="00705394" w:rsidRDefault="0017347D" w:rsidP="00396DA7">
      <w:pPr>
        <w:spacing w:after="0"/>
        <w:ind w:left="284"/>
        <w:jc w:val="both"/>
        <w:rPr>
          <w:u w:val="none"/>
        </w:rPr>
      </w:pPr>
    </w:p>
    <w:p w14:paraId="1A360566" w14:textId="53F8F14D" w:rsidR="00185902" w:rsidRPr="00705394" w:rsidRDefault="00185902" w:rsidP="001E1BBC">
      <w:pPr>
        <w:spacing w:after="0"/>
        <w:jc w:val="both"/>
        <w:rPr>
          <w:u w:val="none"/>
        </w:rPr>
      </w:pPr>
      <w:r w:rsidRPr="00705394">
        <w:rPr>
          <w:u w:val="none"/>
        </w:rPr>
        <w:t xml:space="preserve">The HR Service provides additional separate guidance for schools making new headteacher appointments to </w:t>
      </w:r>
      <w:r w:rsidR="00703E41" w:rsidRPr="00705394">
        <w:rPr>
          <w:u w:val="none"/>
        </w:rPr>
        <w:t>collaborating or federating schools</w:t>
      </w:r>
      <w:r w:rsidRPr="00705394">
        <w:rPr>
          <w:u w:val="none"/>
        </w:rPr>
        <w:t>.</w:t>
      </w:r>
      <w:r w:rsidR="00A7127B" w:rsidRPr="00705394">
        <w:rPr>
          <w:u w:val="none"/>
        </w:rPr>
        <w:t xml:space="preserve"> </w:t>
      </w:r>
      <w:r w:rsidRPr="00705394">
        <w:rPr>
          <w:u w:val="none"/>
        </w:rPr>
        <w:t>The HR Service</w:t>
      </w:r>
      <w:r w:rsidR="00A7127B" w:rsidRPr="00705394">
        <w:rPr>
          <w:u w:val="none"/>
        </w:rPr>
        <w:t>, Governing Body Services</w:t>
      </w:r>
      <w:r w:rsidRPr="00705394">
        <w:rPr>
          <w:u w:val="none"/>
        </w:rPr>
        <w:t xml:space="preserve"> and the Education Improvement Service also provide support and advice to schools </w:t>
      </w:r>
      <w:r w:rsidR="006F61F7" w:rsidRPr="00705394">
        <w:rPr>
          <w:u w:val="none"/>
        </w:rPr>
        <w:t>entering</w:t>
      </w:r>
      <w:r w:rsidRPr="00705394">
        <w:rPr>
          <w:u w:val="none"/>
        </w:rPr>
        <w:t xml:space="preserve"> collaborative working arrangements on either a temporary or permanent basis. </w:t>
      </w:r>
      <w:r w:rsidR="007E4100" w:rsidRPr="00705394">
        <w:rPr>
          <w:u w:val="none"/>
        </w:rPr>
        <w:t xml:space="preserve"> </w:t>
      </w:r>
      <w:r w:rsidRPr="00705394">
        <w:rPr>
          <w:u w:val="none"/>
        </w:rPr>
        <w:t xml:space="preserve">(See </w:t>
      </w:r>
      <w:r w:rsidR="007E4100" w:rsidRPr="00705394">
        <w:rPr>
          <w:u w:val="none"/>
        </w:rPr>
        <w:t xml:space="preserve">Pay Policy </w:t>
      </w:r>
      <w:r w:rsidRPr="00705394">
        <w:rPr>
          <w:u w:val="none"/>
        </w:rPr>
        <w:t>Appendix 2</w:t>
      </w:r>
      <w:r w:rsidR="00703E41" w:rsidRPr="00705394">
        <w:rPr>
          <w:u w:val="none"/>
        </w:rPr>
        <w:t>b</w:t>
      </w:r>
      <w:r w:rsidRPr="00705394">
        <w:rPr>
          <w:u w:val="none"/>
        </w:rPr>
        <w:t xml:space="preserve"> – Head</w:t>
      </w:r>
      <w:r w:rsidR="006F61F7" w:rsidRPr="00705394">
        <w:rPr>
          <w:u w:val="none"/>
        </w:rPr>
        <w:t>t</w:t>
      </w:r>
      <w:r w:rsidRPr="00705394">
        <w:rPr>
          <w:u w:val="none"/>
        </w:rPr>
        <w:t>eacher Appointments to more than one school)</w:t>
      </w:r>
      <w:r w:rsidR="007E4100" w:rsidRPr="00705394">
        <w:rPr>
          <w:u w:val="none"/>
        </w:rPr>
        <w:t>.</w:t>
      </w:r>
      <w:r w:rsidR="00125D99" w:rsidRPr="00705394">
        <w:rPr>
          <w:u w:val="none"/>
        </w:rPr>
        <w:t xml:space="preserve">  Please contact </w:t>
      </w:r>
      <w:r w:rsidR="00125D99" w:rsidRPr="00705394">
        <w:rPr>
          <w:b/>
          <w:u w:val="none"/>
        </w:rPr>
        <w:t>Governor Services</w:t>
      </w:r>
      <w:r w:rsidR="00125D99" w:rsidRPr="00705394">
        <w:rPr>
          <w:u w:val="none"/>
        </w:rPr>
        <w:t xml:space="preserve"> for a copy of the </w:t>
      </w:r>
      <w:r w:rsidR="00125D99" w:rsidRPr="00705394">
        <w:rPr>
          <w:b/>
          <w:u w:val="none"/>
        </w:rPr>
        <w:t>local authority toolkit</w:t>
      </w:r>
      <w:r w:rsidR="00125D99" w:rsidRPr="00705394">
        <w:rPr>
          <w:u w:val="none"/>
        </w:rPr>
        <w:t xml:space="preserve"> in the first instance.</w:t>
      </w:r>
    </w:p>
    <w:p w14:paraId="2579E6EF" w14:textId="77777777" w:rsidR="00125D99" w:rsidRPr="00705394" w:rsidRDefault="00125D99" w:rsidP="001E1BBC">
      <w:pPr>
        <w:spacing w:after="0"/>
        <w:jc w:val="both"/>
        <w:rPr>
          <w:u w:val="none"/>
        </w:rPr>
      </w:pPr>
    </w:p>
    <w:p w14:paraId="509D203C" w14:textId="77777777" w:rsidR="00185902" w:rsidRPr="00705394" w:rsidRDefault="00522071" w:rsidP="001E1BBC">
      <w:pPr>
        <w:spacing w:after="0"/>
        <w:jc w:val="both"/>
      </w:pPr>
      <w:r w:rsidRPr="00705394">
        <w:t>Paragraph 6.</w:t>
      </w:r>
      <w:r w:rsidR="00A41971" w:rsidRPr="00705394">
        <w:t>9</w:t>
      </w:r>
      <w:r w:rsidRPr="00705394">
        <w:t xml:space="preserve"> - </w:t>
      </w:r>
      <w:r w:rsidR="00185902" w:rsidRPr="00705394">
        <w:t xml:space="preserve">School Collaboration Agreements </w:t>
      </w:r>
    </w:p>
    <w:p w14:paraId="36EA8D97" w14:textId="77777777" w:rsidR="00185902" w:rsidRPr="00705394" w:rsidRDefault="00185902" w:rsidP="001E1BBC">
      <w:pPr>
        <w:spacing w:after="0"/>
        <w:jc w:val="both"/>
        <w:rPr>
          <w:u w:val="none"/>
        </w:rPr>
      </w:pPr>
    </w:p>
    <w:p w14:paraId="5F46B3FE" w14:textId="1465FF47" w:rsidR="00185902" w:rsidRPr="00705394" w:rsidRDefault="00185902" w:rsidP="001E1BBC">
      <w:pPr>
        <w:spacing w:after="0"/>
        <w:jc w:val="both"/>
        <w:rPr>
          <w:b/>
          <w:u w:val="none"/>
        </w:rPr>
      </w:pPr>
      <w:r w:rsidRPr="00705394">
        <w:rPr>
          <w:u w:val="none"/>
        </w:rPr>
        <w:t>The School Collaboration Agreements provide schools with scope for establishing innovative leadership solutions on both a permanent and temporary basis. The EIS</w:t>
      </w:r>
      <w:r w:rsidR="00703E41" w:rsidRPr="00705394">
        <w:rPr>
          <w:u w:val="none"/>
        </w:rPr>
        <w:t xml:space="preserve">, Governor Services </w:t>
      </w:r>
      <w:r w:rsidRPr="00705394">
        <w:rPr>
          <w:u w:val="none"/>
        </w:rPr>
        <w:t xml:space="preserve">and </w:t>
      </w:r>
      <w:r w:rsidR="00703E41" w:rsidRPr="00705394">
        <w:rPr>
          <w:u w:val="none"/>
        </w:rPr>
        <w:t xml:space="preserve">the </w:t>
      </w:r>
      <w:r w:rsidR="00125D99" w:rsidRPr="00705394">
        <w:rPr>
          <w:u w:val="none"/>
        </w:rPr>
        <w:t>HR Service will</w:t>
      </w:r>
      <w:r w:rsidRPr="00705394">
        <w:rPr>
          <w:u w:val="none"/>
        </w:rPr>
        <w:t xml:space="preserve"> jointly advise and support governing bodies on the most appropriate options available. In situations where the school appoints a headteacher or other staff in leadership positions on a temporary basis, the contractual position should be set out carefully and clearly in writing by the school to the employee(s) involved. </w:t>
      </w:r>
      <w:r w:rsidR="00EE6A2D" w:rsidRPr="00705394">
        <w:rPr>
          <w:u w:val="none"/>
        </w:rPr>
        <w:t xml:space="preserve"> </w:t>
      </w:r>
      <w:r w:rsidRPr="00705394">
        <w:rPr>
          <w:u w:val="none"/>
        </w:rPr>
        <w:t xml:space="preserve">In establishing any fixed term contracts, the governing body should map out the impact of any temporary arrangements on substantive posts and contracts should include the necessary clauses to enable the early termination of these appointments should this be necessary. </w:t>
      </w:r>
      <w:r w:rsidR="00EE6A2D" w:rsidRPr="00705394">
        <w:rPr>
          <w:u w:val="none"/>
        </w:rPr>
        <w:t xml:space="preserve"> </w:t>
      </w:r>
      <w:r w:rsidRPr="00705394">
        <w:rPr>
          <w:u w:val="none"/>
        </w:rPr>
        <w:t xml:space="preserve">Where the headteacher is appointed on a temporary basis to turn around a school assessed to be vulnerable to a poor Ofsted judgement or a school that is judged as requiring improvement or special measures, the governing body will need to determine whether the achievement of appraisal objectives and the level of reward associated with that should be assessed over a shorter or a longer timescale than would normally be the case. </w:t>
      </w:r>
      <w:r w:rsidR="00703E41" w:rsidRPr="00705394">
        <w:rPr>
          <w:u w:val="none"/>
        </w:rPr>
        <w:t>A</w:t>
      </w:r>
      <w:r w:rsidR="00FB3FD5" w:rsidRPr="00705394">
        <w:rPr>
          <w:u w:val="none"/>
        </w:rPr>
        <w:t xml:space="preserve"> recommended</w:t>
      </w:r>
      <w:r w:rsidR="00703E41" w:rsidRPr="00705394">
        <w:rPr>
          <w:u w:val="none"/>
        </w:rPr>
        <w:t xml:space="preserve"> </w:t>
      </w:r>
      <w:hyperlink r:id="rId21" w:history="1">
        <w:r w:rsidR="00333469" w:rsidRPr="00705394">
          <w:rPr>
            <w:rStyle w:val="Hyperlink"/>
            <w:color w:val="auto"/>
          </w:rPr>
          <w:t>template for Executive Head</w:t>
        </w:r>
        <w:r w:rsidR="006F61F7" w:rsidRPr="00705394">
          <w:rPr>
            <w:rStyle w:val="Hyperlink"/>
            <w:color w:val="auto"/>
          </w:rPr>
          <w:t>t</w:t>
        </w:r>
        <w:r w:rsidR="00333469" w:rsidRPr="00705394">
          <w:rPr>
            <w:rStyle w:val="Hyperlink"/>
            <w:color w:val="auto"/>
          </w:rPr>
          <w:t>eacher/Head of School job description</w:t>
        </w:r>
      </w:hyperlink>
      <w:r w:rsidR="00333469" w:rsidRPr="00705394">
        <w:rPr>
          <w:u w:val="none"/>
        </w:rPr>
        <w:t xml:space="preserve"> </w:t>
      </w:r>
      <w:r w:rsidR="00703E41" w:rsidRPr="00705394">
        <w:rPr>
          <w:u w:val="none"/>
        </w:rPr>
        <w:t>is available</w:t>
      </w:r>
      <w:r w:rsidR="00333469" w:rsidRPr="00705394">
        <w:rPr>
          <w:u w:val="none"/>
        </w:rPr>
        <w:t>.</w:t>
      </w:r>
      <w:r w:rsidR="00703E41" w:rsidRPr="00705394">
        <w:rPr>
          <w:u w:val="none"/>
        </w:rPr>
        <w:t xml:space="preserve"> </w:t>
      </w:r>
    </w:p>
    <w:p w14:paraId="367404D2" w14:textId="77777777" w:rsidR="00EE6A2D" w:rsidRPr="00705394" w:rsidRDefault="00EE6A2D" w:rsidP="00396DA7">
      <w:pPr>
        <w:spacing w:after="0"/>
        <w:ind w:left="284"/>
        <w:jc w:val="both"/>
        <w:rPr>
          <w:u w:val="none"/>
        </w:rPr>
      </w:pPr>
    </w:p>
    <w:p w14:paraId="6D057881" w14:textId="77777777" w:rsidR="00B33D00" w:rsidRDefault="00B33D00" w:rsidP="001E1BBC">
      <w:pPr>
        <w:pStyle w:val="NoSpacing"/>
        <w:spacing w:line="276" w:lineRule="auto"/>
        <w:jc w:val="both"/>
        <w:rPr>
          <w:rFonts w:ascii="Arial" w:hAnsi="Arial" w:cs="Arial"/>
          <w:sz w:val="24"/>
          <w:szCs w:val="24"/>
          <w:u w:val="single"/>
        </w:rPr>
      </w:pPr>
    </w:p>
    <w:p w14:paraId="1BE9B532" w14:textId="19BFC56C" w:rsidR="00EE6A2D" w:rsidRPr="00705394" w:rsidRDefault="00EE6A2D" w:rsidP="001E1BBC">
      <w:pPr>
        <w:pStyle w:val="NoSpacing"/>
        <w:spacing w:line="276" w:lineRule="auto"/>
        <w:jc w:val="both"/>
        <w:rPr>
          <w:rFonts w:ascii="Arial" w:hAnsi="Arial" w:cs="Arial"/>
          <w:sz w:val="24"/>
          <w:szCs w:val="24"/>
          <w:u w:val="single"/>
        </w:rPr>
      </w:pPr>
      <w:r w:rsidRPr="00705394">
        <w:rPr>
          <w:rFonts w:ascii="Arial" w:hAnsi="Arial" w:cs="Arial"/>
          <w:sz w:val="24"/>
          <w:szCs w:val="24"/>
          <w:u w:val="single"/>
        </w:rPr>
        <w:lastRenderedPageBreak/>
        <w:t>Temporary Head</w:t>
      </w:r>
      <w:r w:rsidR="006F61F7" w:rsidRPr="00705394">
        <w:rPr>
          <w:rFonts w:ascii="Arial" w:hAnsi="Arial" w:cs="Arial"/>
          <w:sz w:val="24"/>
          <w:szCs w:val="24"/>
          <w:u w:val="single"/>
        </w:rPr>
        <w:t>t</w:t>
      </w:r>
      <w:r w:rsidRPr="00705394">
        <w:rPr>
          <w:rFonts w:ascii="Arial" w:hAnsi="Arial" w:cs="Arial"/>
          <w:sz w:val="24"/>
          <w:szCs w:val="24"/>
          <w:u w:val="single"/>
        </w:rPr>
        <w:t xml:space="preserve">eacher Appointments </w:t>
      </w:r>
    </w:p>
    <w:p w14:paraId="6FD90EE3" w14:textId="77777777" w:rsidR="00EE6A2D" w:rsidRPr="00705394" w:rsidRDefault="00EE6A2D" w:rsidP="001E1BBC">
      <w:pPr>
        <w:pStyle w:val="NoSpacing"/>
        <w:spacing w:line="276" w:lineRule="auto"/>
        <w:jc w:val="both"/>
        <w:rPr>
          <w:rFonts w:ascii="Arial" w:hAnsi="Arial" w:cs="Arial"/>
          <w:sz w:val="24"/>
          <w:szCs w:val="24"/>
        </w:rPr>
      </w:pPr>
    </w:p>
    <w:p w14:paraId="751CFE7E" w14:textId="6D798808" w:rsidR="00EE6A2D" w:rsidRPr="00705394" w:rsidRDefault="00EE6A2D" w:rsidP="001E1BBC">
      <w:pPr>
        <w:pStyle w:val="NoSpacing"/>
        <w:spacing w:line="276" w:lineRule="auto"/>
        <w:jc w:val="both"/>
        <w:rPr>
          <w:rFonts w:ascii="Arial" w:hAnsi="Arial" w:cs="Arial"/>
          <w:sz w:val="24"/>
          <w:szCs w:val="24"/>
        </w:rPr>
      </w:pPr>
      <w:r w:rsidRPr="00705394">
        <w:rPr>
          <w:rFonts w:ascii="Arial" w:hAnsi="Arial" w:cs="Arial"/>
          <w:sz w:val="24"/>
          <w:szCs w:val="24"/>
        </w:rPr>
        <w:t>Where there is a vacancy in the post of headteacher and it is not possible to appoint a deputy or another member of the leadership team to the position of acting head</w:t>
      </w:r>
      <w:r w:rsidR="006F61F7" w:rsidRPr="00705394">
        <w:rPr>
          <w:rFonts w:ascii="Arial" w:hAnsi="Arial" w:cs="Arial"/>
          <w:sz w:val="24"/>
          <w:szCs w:val="24"/>
        </w:rPr>
        <w:t>t</w:t>
      </w:r>
      <w:r w:rsidRPr="00705394">
        <w:rPr>
          <w:rFonts w:ascii="Arial" w:hAnsi="Arial" w:cs="Arial"/>
          <w:sz w:val="24"/>
          <w:szCs w:val="24"/>
        </w:rPr>
        <w:t>eacher, a headteacher of another school may be appointed to be responsible and accountable in addition to their continuing role at their own school.</w:t>
      </w:r>
    </w:p>
    <w:p w14:paraId="745C147E" w14:textId="77777777" w:rsidR="00EE6A2D" w:rsidRPr="00705394" w:rsidRDefault="00EE6A2D" w:rsidP="001E1BBC">
      <w:pPr>
        <w:pStyle w:val="NoSpacing"/>
        <w:spacing w:line="276" w:lineRule="auto"/>
        <w:jc w:val="both"/>
        <w:rPr>
          <w:rFonts w:ascii="Arial" w:hAnsi="Arial" w:cs="Arial"/>
          <w:sz w:val="24"/>
          <w:szCs w:val="24"/>
        </w:rPr>
      </w:pPr>
    </w:p>
    <w:p w14:paraId="0B8B1532" w14:textId="6A6488C0" w:rsidR="00EE6A2D" w:rsidRPr="00705394" w:rsidRDefault="00EE6A2D" w:rsidP="001E1BBC">
      <w:pPr>
        <w:pStyle w:val="NoSpacing"/>
        <w:spacing w:line="276" w:lineRule="auto"/>
        <w:jc w:val="both"/>
        <w:rPr>
          <w:rFonts w:ascii="Arial" w:hAnsi="Arial" w:cs="Arial"/>
          <w:sz w:val="24"/>
          <w:szCs w:val="24"/>
        </w:rPr>
      </w:pPr>
      <w:r w:rsidRPr="00705394">
        <w:rPr>
          <w:rFonts w:ascii="Arial" w:hAnsi="Arial" w:cs="Arial"/>
          <w:sz w:val="24"/>
          <w:szCs w:val="24"/>
        </w:rPr>
        <w:t xml:space="preserve">The temporary arrangements should be regarded as acting headship on a temporary basis for as long as arrangements are made for a permanent headteacher to be recruited or to make alternative arrangements for the governance of the school. </w:t>
      </w:r>
      <w:r w:rsidR="002B59F1" w:rsidRPr="00705394">
        <w:rPr>
          <w:rFonts w:ascii="Arial" w:hAnsi="Arial" w:cs="Arial"/>
          <w:sz w:val="24"/>
          <w:szCs w:val="24"/>
        </w:rPr>
        <w:t>T</w:t>
      </w:r>
      <w:r w:rsidRPr="00705394">
        <w:rPr>
          <w:rFonts w:ascii="Arial" w:hAnsi="Arial" w:cs="Arial"/>
          <w:sz w:val="24"/>
          <w:szCs w:val="24"/>
        </w:rPr>
        <w:t xml:space="preserve">his may include consideration of amalgamation or establishing a hard federation. Where temporary arrangements of this sort are put in place it is expected that this will be time limited and subject to regular review and the maximum duration should </w:t>
      </w:r>
      <w:r w:rsidR="00522071" w:rsidRPr="00705394">
        <w:rPr>
          <w:rFonts w:ascii="Arial" w:hAnsi="Arial" w:cs="Arial"/>
          <w:sz w:val="24"/>
          <w:szCs w:val="24"/>
        </w:rPr>
        <w:t xml:space="preserve">normally </w:t>
      </w:r>
      <w:r w:rsidRPr="00705394">
        <w:rPr>
          <w:rFonts w:ascii="Arial" w:hAnsi="Arial" w:cs="Arial"/>
          <w:sz w:val="24"/>
          <w:szCs w:val="24"/>
        </w:rPr>
        <w:t xml:space="preserve">be two years. </w:t>
      </w:r>
    </w:p>
    <w:p w14:paraId="71B8D689" w14:textId="77777777" w:rsidR="00EE6A2D" w:rsidRPr="00705394" w:rsidRDefault="00EE6A2D" w:rsidP="001E1BBC">
      <w:pPr>
        <w:pStyle w:val="NoSpacing"/>
        <w:spacing w:line="276" w:lineRule="auto"/>
        <w:jc w:val="both"/>
        <w:rPr>
          <w:rFonts w:ascii="Arial" w:hAnsi="Arial" w:cs="Arial"/>
          <w:sz w:val="24"/>
          <w:szCs w:val="24"/>
        </w:rPr>
      </w:pPr>
    </w:p>
    <w:p w14:paraId="5B0B2886" w14:textId="3821B3D8" w:rsidR="007F772A" w:rsidRPr="00705394" w:rsidRDefault="00EE6A2D" w:rsidP="002E286A">
      <w:pPr>
        <w:pStyle w:val="NoSpacing"/>
        <w:spacing w:line="276" w:lineRule="auto"/>
        <w:jc w:val="both"/>
        <w:rPr>
          <w:rFonts w:ascii="Arial" w:hAnsi="Arial" w:cs="Arial"/>
          <w:sz w:val="24"/>
          <w:szCs w:val="24"/>
        </w:rPr>
      </w:pPr>
      <w:r w:rsidRPr="00705394">
        <w:rPr>
          <w:rFonts w:ascii="Arial" w:hAnsi="Arial" w:cs="Arial"/>
          <w:sz w:val="24"/>
          <w:szCs w:val="24"/>
        </w:rPr>
        <w:t xml:space="preserve">The governing bodies of each school should establish how the temporary arrangements will work in practice and how they will be </w:t>
      </w:r>
      <w:r w:rsidR="00A7127B" w:rsidRPr="00705394">
        <w:rPr>
          <w:rFonts w:ascii="Arial" w:hAnsi="Arial" w:cs="Arial"/>
          <w:sz w:val="24"/>
          <w:szCs w:val="24"/>
        </w:rPr>
        <w:t>ended</w:t>
      </w:r>
      <w:r w:rsidRPr="00705394">
        <w:rPr>
          <w:rFonts w:ascii="Arial" w:hAnsi="Arial" w:cs="Arial"/>
          <w:sz w:val="24"/>
          <w:szCs w:val="24"/>
        </w:rPr>
        <w:t xml:space="preserve">. The employing school will issue a temporary fixed term variation of </w:t>
      </w:r>
      <w:r w:rsidR="00A7127B" w:rsidRPr="00705394">
        <w:rPr>
          <w:rFonts w:ascii="Arial" w:hAnsi="Arial" w:cs="Arial"/>
          <w:sz w:val="24"/>
          <w:szCs w:val="24"/>
        </w:rPr>
        <w:t>contract,</w:t>
      </w:r>
      <w:r w:rsidRPr="00705394">
        <w:rPr>
          <w:rFonts w:ascii="Arial" w:hAnsi="Arial" w:cs="Arial"/>
          <w:sz w:val="24"/>
          <w:szCs w:val="24"/>
        </w:rPr>
        <w:t xml:space="preserve"> and this will specify that in addition to their substantive post, the headteacher is employed </w:t>
      </w:r>
      <w:r w:rsidRPr="002663D2">
        <w:rPr>
          <w:rFonts w:ascii="Arial" w:hAnsi="Arial" w:cs="Arial"/>
          <w:sz w:val="24"/>
          <w:szCs w:val="24"/>
        </w:rPr>
        <w:t>additionally as headteache</w:t>
      </w:r>
      <w:r w:rsidR="00125D99" w:rsidRPr="002663D2">
        <w:rPr>
          <w:rFonts w:ascii="Arial" w:hAnsi="Arial" w:cs="Arial"/>
          <w:sz w:val="24"/>
          <w:szCs w:val="24"/>
        </w:rPr>
        <w:t xml:space="preserve">r of the additional school(s). </w:t>
      </w:r>
      <w:r w:rsidRPr="002663D2">
        <w:rPr>
          <w:rFonts w:ascii="Arial" w:hAnsi="Arial" w:cs="Arial"/>
          <w:sz w:val="24"/>
          <w:szCs w:val="24"/>
        </w:rPr>
        <w:t>At the end of the fixed term variation the headteacher will revert to their substantive post</w:t>
      </w:r>
      <w:r w:rsidR="00703E41" w:rsidRPr="002663D2">
        <w:rPr>
          <w:rFonts w:ascii="Arial" w:hAnsi="Arial" w:cs="Arial"/>
          <w:sz w:val="24"/>
          <w:szCs w:val="24"/>
        </w:rPr>
        <w:t xml:space="preserve"> at their own school</w:t>
      </w:r>
      <w:r w:rsidRPr="002663D2">
        <w:rPr>
          <w:rFonts w:ascii="Arial" w:hAnsi="Arial" w:cs="Arial"/>
          <w:sz w:val="24"/>
          <w:szCs w:val="24"/>
        </w:rPr>
        <w:t xml:space="preserve">. </w:t>
      </w:r>
      <w:r w:rsidR="004728FE" w:rsidRPr="002663D2">
        <w:rPr>
          <w:rFonts w:ascii="Arial" w:hAnsi="Arial" w:cs="Arial"/>
          <w:sz w:val="24"/>
          <w:szCs w:val="24"/>
        </w:rPr>
        <w:t>Under the Collaboration Regulations the governing bodies may arrange for a Joint Executive Committee (JEC) made up of governors from all the schools involved to be established to oversee the fixed term arrangements. This joint committee should have delegated power to deal with the pay and appraisal of the headteacher and other relevant s</w:t>
      </w:r>
      <w:r w:rsidRPr="002663D2">
        <w:rPr>
          <w:rFonts w:ascii="Arial" w:hAnsi="Arial" w:cs="Arial"/>
          <w:sz w:val="24"/>
          <w:szCs w:val="24"/>
        </w:rPr>
        <w:t xml:space="preserve">taffing issues. </w:t>
      </w:r>
    </w:p>
    <w:p w14:paraId="561E861A" w14:textId="77777777" w:rsidR="002E286A" w:rsidRPr="00705394" w:rsidRDefault="002E286A" w:rsidP="004728FE">
      <w:pPr>
        <w:pStyle w:val="NoSpacing"/>
        <w:spacing w:line="276" w:lineRule="auto"/>
      </w:pPr>
    </w:p>
    <w:p w14:paraId="6C0B8316" w14:textId="77777777" w:rsidR="00345C0C" w:rsidRPr="00705394" w:rsidRDefault="004728FE" w:rsidP="004728FE">
      <w:pPr>
        <w:pStyle w:val="NoSpacing"/>
        <w:spacing w:line="276" w:lineRule="auto"/>
        <w:rPr>
          <w:rFonts w:ascii="Arial" w:hAnsi="Arial" w:cs="Arial"/>
          <w:sz w:val="18"/>
          <w:szCs w:val="18"/>
        </w:rPr>
      </w:pPr>
      <w:hyperlink r:id="rId22" w:history="1">
        <w:r w:rsidRPr="00705394">
          <w:rPr>
            <w:rStyle w:val="Hyperlink"/>
            <w:rFonts w:ascii="Arial" w:hAnsi="Arial" w:cs="Arial"/>
            <w:color w:val="auto"/>
            <w:sz w:val="24"/>
            <w:szCs w:val="18"/>
          </w:rPr>
          <w:t>The School Governance (Collaboration) (England) Regulations 2003 SI 2003/1962</w:t>
        </w:r>
      </w:hyperlink>
    </w:p>
    <w:p w14:paraId="10B0D590" w14:textId="77777777" w:rsidR="00345C0C" w:rsidRPr="00705394" w:rsidRDefault="00345C0C" w:rsidP="004728FE">
      <w:pPr>
        <w:pStyle w:val="NoSpacing"/>
        <w:spacing w:line="276" w:lineRule="auto"/>
        <w:rPr>
          <w:rFonts w:ascii="Arial" w:hAnsi="Arial" w:cs="Arial"/>
          <w:sz w:val="24"/>
          <w:szCs w:val="24"/>
        </w:rPr>
      </w:pPr>
    </w:p>
    <w:p w14:paraId="6AFD9E72" w14:textId="7FFD4958" w:rsidR="00EE6A2D" w:rsidRPr="00705394" w:rsidRDefault="00EE6A2D" w:rsidP="004728FE">
      <w:pPr>
        <w:pStyle w:val="NoSpacing"/>
        <w:spacing w:line="276" w:lineRule="auto"/>
        <w:rPr>
          <w:rFonts w:ascii="Arial" w:hAnsi="Arial" w:cs="Arial"/>
          <w:sz w:val="24"/>
          <w:szCs w:val="24"/>
        </w:rPr>
      </w:pPr>
      <w:r w:rsidRPr="00705394">
        <w:rPr>
          <w:rFonts w:ascii="Arial" w:hAnsi="Arial" w:cs="Arial"/>
          <w:sz w:val="24"/>
          <w:szCs w:val="24"/>
        </w:rPr>
        <w:t xml:space="preserve">This joint committee should also have delegated power regarding the financial arrangements which will apply during the collaboration period. For example, the joint committee should determine </w:t>
      </w:r>
      <w:r w:rsidR="00125D99" w:rsidRPr="00705394">
        <w:rPr>
          <w:rFonts w:ascii="Arial" w:hAnsi="Arial" w:cs="Arial"/>
          <w:sz w:val="24"/>
          <w:szCs w:val="24"/>
        </w:rPr>
        <w:t xml:space="preserve">the proportionate costs of the EHT </w:t>
      </w:r>
      <w:proofErr w:type="gramStart"/>
      <w:r w:rsidR="00125D99" w:rsidRPr="00705394">
        <w:rPr>
          <w:rFonts w:ascii="Arial" w:hAnsi="Arial" w:cs="Arial"/>
          <w:sz w:val="24"/>
          <w:szCs w:val="24"/>
        </w:rPr>
        <w:t>role</w:t>
      </w:r>
      <w:proofErr w:type="gramEnd"/>
      <w:r w:rsidR="00125D99" w:rsidRPr="00705394">
        <w:rPr>
          <w:rFonts w:ascii="Arial" w:hAnsi="Arial" w:cs="Arial"/>
          <w:sz w:val="24"/>
          <w:szCs w:val="24"/>
        </w:rPr>
        <w:t xml:space="preserve"> and </w:t>
      </w:r>
      <w:r w:rsidRPr="00705394">
        <w:rPr>
          <w:rFonts w:ascii="Arial" w:hAnsi="Arial" w:cs="Arial"/>
          <w:sz w:val="24"/>
          <w:szCs w:val="24"/>
        </w:rPr>
        <w:t xml:space="preserve">any payment </w:t>
      </w:r>
      <w:r w:rsidR="009E590E" w:rsidRPr="00705394">
        <w:rPr>
          <w:rFonts w:ascii="Arial" w:hAnsi="Arial" w:cs="Arial"/>
          <w:sz w:val="24"/>
          <w:szCs w:val="24"/>
        </w:rPr>
        <w:t>based on</w:t>
      </w:r>
      <w:r w:rsidRPr="00705394">
        <w:rPr>
          <w:rFonts w:ascii="Arial" w:hAnsi="Arial" w:cs="Arial"/>
          <w:sz w:val="24"/>
          <w:szCs w:val="24"/>
        </w:rPr>
        <w:t xml:space="preserve"> temporary additional responsibility for teachers, other than the headteacher, in each school, and the arrangements for reviewing and ending those payments.  Advice should </w:t>
      </w:r>
      <w:r w:rsidR="00125D99" w:rsidRPr="00705394">
        <w:rPr>
          <w:rFonts w:ascii="Arial" w:hAnsi="Arial" w:cs="Arial"/>
          <w:sz w:val="24"/>
          <w:szCs w:val="24"/>
        </w:rPr>
        <w:t xml:space="preserve">always </w:t>
      </w:r>
      <w:r w:rsidRPr="00705394">
        <w:rPr>
          <w:rFonts w:ascii="Arial" w:hAnsi="Arial" w:cs="Arial"/>
          <w:sz w:val="24"/>
          <w:szCs w:val="24"/>
        </w:rPr>
        <w:t>be sought from EIS</w:t>
      </w:r>
      <w:r w:rsidR="00E16456" w:rsidRPr="00705394">
        <w:rPr>
          <w:rFonts w:ascii="Arial" w:hAnsi="Arial" w:cs="Arial"/>
          <w:sz w:val="24"/>
          <w:szCs w:val="24"/>
        </w:rPr>
        <w:t xml:space="preserve">, Governor </w:t>
      </w:r>
      <w:r w:rsidR="00A7127B" w:rsidRPr="00705394">
        <w:rPr>
          <w:rFonts w:ascii="Arial" w:hAnsi="Arial" w:cs="Arial"/>
          <w:sz w:val="24"/>
          <w:szCs w:val="24"/>
        </w:rPr>
        <w:t>Services,</w:t>
      </w:r>
      <w:r w:rsidRPr="00705394">
        <w:rPr>
          <w:rFonts w:ascii="Arial" w:hAnsi="Arial" w:cs="Arial"/>
          <w:sz w:val="24"/>
          <w:szCs w:val="24"/>
        </w:rPr>
        <w:t xml:space="preserve"> and the HR Service in setting up collaboration agreements</w:t>
      </w:r>
      <w:r w:rsidR="00522071" w:rsidRPr="00705394">
        <w:rPr>
          <w:rFonts w:ascii="Arial" w:hAnsi="Arial" w:cs="Arial"/>
          <w:sz w:val="24"/>
          <w:szCs w:val="24"/>
        </w:rPr>
        <w:t xml:space="preserve"> and in setting pay</w:t>
      </w:r>
      <w:r w:rsidRPr="00705394">
        <w:rPr>
          <w:rFonts w:ascii="Arial" w:hAnsi="Arial" w:cs="Arial"/>
          <w:sz w:val="24"/>
          <w:szCs w:val="24"/>
        </w:rPr>
        <w:t>.</w:t>
      </w:r>
    </w:p>
    <w:p w14:paraId="1EB470E7" w14:textId="77777777" w:rsidR="00EE6A2D" w:rsidRPr="00705394" w:rsidRDefault="00EE6A2D" w:rsidP="00396DA7">
      <w:pPr>
        <w:pStyle w:val="NoSpacing"/>
        <w:spacing w:line="276" w:lineRule="auto"/>
        <w:ind w:left="284"/>
        <w:jc w:val="both"/>
        <w:rPr>
          <w:rFonts w:ascii="Arial" w:hAnsi="Arial" w:cs="Arial"/>
          <w:sz w:val="24"/>
          <w:szCs w:val="24"/>
        </w:rPr>
      </w:pPr>
    </w:p>
    <w:p w14:paraId="0B5C2091" w14:textId="32F3BA0B" w:rsidR="00EE6A2D" w:rsidRPr="00705394" w:rsidRDefault="00EE6A2D" w:rsidP="001E1BBC">
      <w:pPr>
        <w:pStyle w:val="NoSpacing"/>
        <w:spacing w:line="276" w:lineRule="auto"/>
        <w:jc w:val="both"/>
        <w:rPr>
          <w:rFonts w:ascii="Arial" w:hAnsi="Arial" w:cs="Arial"/>
          <w:sz w:val="24"/>
          <w:szCs w:val="24"/>
        </w:rPr>
      </w:pPr>
      <w:r w:rsidRPr="00705394">
        <w:rPr>
          <w:rFonts w:ascii="Arial" w:hAnsi="Arial" w:cs="Arial"/>
          <w:sz w:val="24"/>
          <w:szCs w:val="24"/>
        </w:rPr>
        <w:t xml:space="preserve">The joint committee should also take account of the circumstances of each school and the workload implications, including the extent to which the headteacher is likely to be absent from the individual schools. Any temporary payments made under paragraph 10.1 to 10.4 of the </w:t>
      </w:r>
      <w:r w:rsidR="009E590E" w:rsidRPr="00705394">
        <w:rPr>
          <w:rFonts w:ascii="Arial" w:hAnsi="Arial" w:cs="Arial"/>
          <w:sz w:val="24"/>
          <w:szCs w:val="24"/>
        </w:rPr>
        <w:t>STPCD,</w:t>
      </w:r>
      <w:r w:rsidRPr="00705394">
        <w:rPr>
          <w:rFonts w:ascii="Arial" w:hAnsi="Arial" w:cs="Arial"/>
          <w:sz w:val="24"/>
          <w:szCs w:val="24"/>
        </w:rPr>
        <w:t xml:space="preserve"> and </w:t>
      </w:r>
      <w:r w:rsidR="00CB04DA" w:rsidRPr="00705394">
        <w:rPr>
          <w:rFonts w:ascii="Arial" w:hAnsi="Arial" w:cs="Arial"/>
          <w:sz w:val="24"/>
          <w:szCs w:val="24"/>
        </w:rPr>
        <w:t xml:space="preserve">paragraph </w:t>
      </w:r>
      <w:r w:rsidRPr="00705394">
        <w:rPr>
          <w:rFonts w:ascii="Arial" w:hAnsi="Arial" w:cs="Arial"/>
          <w:sz w:val="24"/>
          <w:szCs w:val="24"/>
        </w:rPr>
        <w:t>2</w:t>
      </w:r>
      <w:r w:rsidR="00CB04DA" w:rsidRPr="00705394">
        <w:rPr>
          <w:rFonts w:ascii="Arial" w:hAnsi="Arial" w:cs="Arial"/>
          <w:sz w:val="24"/>
          <w:szCs w:val="24"/>
        </w:rPr>
        <w:t>3</w:t>
      </w:r>
      <w:r w:rsidR="006F61F7" w:rsidRPr="00705394">
        <w:rPr>
          <w:rFonts w:ascii="Arial" w:hAnsi="Arial" w:cs="Arial"/>
          <w:sz w:val="24"/>
          <w:szCs w:val="24"/>
        </w:rPr>
        <w:t>.0</w:t>
      </w:r>
      <w:r w:rsidRPr="00705394">
        <w:rPr>
          <w:rFonts w:ascii="Arial" w:hAnsi="Arial" w:cs="Arial"/>
          <w:sz w:val="24"/>
          <w:szCs w:val="24"/>
        </w:rPr>
        <w:t xml:space="preserve"> of the Nottinghamshire Pay Policy should take account of the full responsibilities of the post. Where there is a deputy headteacher in the school, the governing body should consider whether it may be more appropriate to increase their pay range temporarily to take account of the increased responsibilities in the absence of the headteacher.  Additionally, a teacher may be temporarily appointed, in the absence of the substantive post holder, to a post in the staffing structure which attracts a TLR payment; and in the case of a classroom teacher where none of those are appropriate, the joint committee may consider the use of additional payments as set out in the STPCD at paragraph 26.1(d) and </w:t>
      </w:r>
      <w:r w:rsidR="00555D8B" w:rsidRPr="00705394">
        <w:rPr>
          <w:rFonts w:ascii="Arial" w:hAnsi="Arial" w:cs="Arial"/>
          <w:sz w:val="24"/>
          <w:szCs w:val="24"/>
        </w:rPr>
        <w:t xml:space="preserve">paragraph 22.0 </w:t>
      </w:r>
      <w:r w:rsidRPr="00705394">
        <w:rPr>
          <w:rFonts w:ascii="Arial" w:hAnsi="Arial" w:cs="Arial"/>
          <w:sz w:val="24"/>
          <w:szCs w:val="24"/>
        </w:rPr>
        <w:t xml:space="preserve">of the Nottinghamshire Pay Policy.  The </w:t>
      </w:r>
      <w:r w:rsidR="00703E41" w:rsidRPr="00705394">
        <w:rPr>
          <w:rFonts w:ascii="Arial" w:hAnsi="Arial" w:cs="Arial"/>
          <w:sz w:val="24"/>
          <w:szCs w:val="24"/>
        </w:rPr>
        <w:t>JEC is accountable for e</w:t>
      </w:r>
      <w:r w:rsidRPr="00705394">
        <w:rPr>
          <w:rFonts w:ascii="Arial" w:hAnsi="Arial" w:cs="Arial"/>
          <w:sz w:val="24"/>
          <w:szCs w:val="24"/>
        </w:rPr>
        <w:t>nsur</w:t>
      </w:r>
      <w:r w:rsidR="00703E41" w:rsidRPr="00705394">
        <w:rPr>
          <w:rFonts w:ascii="Arial" w:hAnsi="Arial" w:cs="Arial"/>
          <w:sz w:val="24"/>
          <w:szCs w:val="24"/>
        </w:rPr>
        <w:t>ing</w:t>
      </w:r>
      <w:r w:rsidRPr="00705394">
        <w:rPr>
          <w:rFonts w:ascii="Arial" w:hAnsi="Arial" w:cs="Arial"/>
          <w:sz w:val="24"/>
          <w:szCs w:val="24"/>
        </w:rPr>
        <w:t xml:space="preserve"> </w:t>
      </w:r>
      <w:r w:rsidRPr="00705394">
        <w:rPr>
          <w:rFonts w:ascii="Arial" w:hAnsi="Arial" w:cs="Arial"/>
          <w:sz w:val="24"/>
          <w:szCs w:val="24"/>
        </w:rPr>
        <w:lastRenderedPageBreak/>
        <w:t>that any payment for additional responsibilities is in line with the provisions of the Document and the school’s pay policy</w:t>
      </w:r>
      <w:r w:rsidR="00703E41" w:rsidRPr="00705394">
        <w:rPr>
          <w:rFonts w:ascii="Arial" w:hAnsi="Arial" w:cs="Arial"/>
          <w:sz w:val="24"/>
          <w:szCs w:val="24"/>
        </w:rPr>
        <w:t>, transparent, appropriately authorised as per the articles of government and properly recorded using Appendix 2a,</w:t>
      </w:r>
      <w:r w:rsidR="005A1B14" w:rsidRPr="00705394">
        <w:rPr>
          <w:rFonts w:ascii="Arial" w:hAnsi="Arial" w:cs="Arial"/>
          <w:sz w:val="24"/>
          <w:szCs w:val="24"/>
        </w:rPr>
        <w:t xml:space="preserve"> </w:t>
      </w:r>
      <w:r w:rsidR="00703E41" w:rsidRPr="00705394">
        <w:rPr>
          <w:rFonts w:ascii="Arial" w:hAnsi="Arial" w:cs="Arial"/>
          <w:sz w:val="24"/>
          <w:szCs w:val="24"/>
        </w:rPr>
        <w:t>b or c</w:t>
      </w:r>
      <w:r w:rsidR="007E4100" w:rsidRPr="00705394">
        <w:rPr>
          <w:rFonts w:ascii="Arial" w:hAnsi="Arial" w:cs="Arial"/>
          <w:sz w:val="24"/>
          <w:szCs w:val="24"/>
        </w:rPr>
        <w:t xml:space="preserve"> in the </w:t>
      </w:r>
      <w:r w:rsidR="009B78C1" w:rsidRPr="00705394">
        <w:rPr>
          <w:rFonts w:ascii="Arial" w:hAnsi="Arial" w:cs="Arial"/>
          <w:sz w:val="24"/>
          <w:szCs w:val="24"/>
        </w:rPr>
        <w:t xml:space="preserve">Pay </w:t>
      </w:r>
      <w:r w:rsidR="007E4100" w:rsidRPr="00705394">
        <w:rPr>
          <w:rFonts w:ascii="Arial" w:hAnsi="Arial" w:cs="Arial"/>
          <w:sz w:val="24"/>
          <w:szCs w:val="24"/>
        </w:rPr>
        <w:t>Policy</w:t>
      </w:r>
      <w:r w:rsidR="009B78C1" w:rsidRPr="00705394">
        <w:rPr>
          <w:rFonts w:ascii="Arial" w:hAnsi="Arial" w:cs="Arial"/>
          <w:sz w:val="24"/>
          <w:szCs w:val="24"/>
        </w:rPr>
        <w:t xml:space="preserve"> Toolkit</w:t>
      </w:r>
      <w:r w:rsidR="00703E41" w:rsidRPr="00705394">
        <w:rPr>
          <w:rFonts w:ascii="Arial" w:hAnsi="Arial" w:cs="Arial"/>
          <w:sz w:val="24"/>
          <w:szCs w:val="24"/>
        </w:rPr>
        <w:t>.</w:t>
      </w:r>
      <w:r w:rsidRPr="00705394">
        <w:rPr>
          <w:rFonts w:ascii="Arial" w:hAnsi="Arial" w:cs="Arial"/>
          <w:sz w:val="24"/>
          <w:szCs w:val="24"/>
        </w:rPr>
        <w:t xml:space="preserve"> </w:t>
      </w:r>
    </w:p>
    <w:p w14:paraId="685A1B90" w14:textId="77777777" w:rsidR="00EE6A2D" w:rsidRPr="00705394" w:rsidRDefault="00EE6A2D" w:rsidP="00396DA7">
      <w:pPr>
        <w:pStyle w:val="NoSpacing"/>
        <w:spacing w:line="276" w:lineRule="auto"/>
        <w:ind w:left="284"/>
        <w:jc w:val="both"/>
        <w:rPr>
          <w:rFonts w:ascii="Arial" w:hAnsi="Arial" w:cs="Arial"/>
          <w:sz w:val="24"/>
          <w:szCs w:val="24"/>
        </w:rPr>
      </w:pPr>
    </w:p>
    <w:p w14:paraId="63E048B0" w14:textId="5EFAE22B" w:rsidR="00EE6A2D" w:rsidRPr="00705394" w:rsidRDefault="00EE6A2D" w:rsidP="001E1BBC">
      <w:pPr>
        <w:pStyle w:val="NoSpacing"/>
        <w:spacing w:line="276" w:lineRule="auto"/>
        <w:jc w:val="both"/>
        <w:rPr>
          <w:rFonts w:ascii="Arial" w:hAnsi="Arial" w:cs="Arial"/>
          <w:sz w:val="24"/>
          <w:szCs w:val="24"/>
        </w:rPr>
      </w:pPr>
      <w:r w:rsidRPr="00705394">
        <w:rPr>
          <w:rFonts w:ascii="Arial" w:hAnsi="Arial" w:cs="Arial"/>
          <w:sz w:val="24"/>
          <w:szCs w:val="24"/>
        </w:rPr>
        <w:t>Where the arrangement for the headteacher is temporary, any adjustment to their pay and that of other teachers is also temporary, and safeguarding provisions will not apply when the arrangements cease.</w:t>
      </w:r>
    </w:p>
    <w:p w14:paraId="2E517EED" w14:textId="77777777" w:rsidR="00EE6A2D" w:rsidRPr="00705394" w:rsidRDefault="00EE6A2D" w:rsidP="001E1BBC">
      <w:pPr>
        <w:pStyle w:val="NoSpacing"/>
        <w:spacing w:line="276" w:lineRule="auto"/>
        <w:jc w:val="both"/>
        <w:rPr>
          <w:rFonts w:ascii="Arial" w:hAnsi="Arial" w:cs="Arial"/>
          <w:sz w:val="24"/>
          <w:szCs w:val="24"/>
        </w:rPr>
      </w:pPr>
    </w:p>
    <w:p w14:paraId="077F0EA9" w14:textId="26D1CEB3" w:rsidR="00185902" w:rsidRPr="00705394" w:rsidRDefault="00185902" w:rsidP="001E1BBC">
      <w:pPr>
        <w:spacing w:after="0"/>
        <w:jc w:val="both"/>
      </w:pPr>
      <w:r w:rsidRPr="00705394">
        <w:t>Paragraph 6.</w:t>
      </w:r>
      <w:r w:rsidR="003376D3" w:rsidRPr="00705394">
        <w:t>1</w:t>
      </w:r>
      <w:r w:rsidR="00A41971" w:rsidRPr="00705394">
        <w:t>0</w:t>
      </w:r>
      <w:r w:rsidRPr="00705394">
        <w:t xml:space="preserve"> – Deputy and Assistant Head</w:t>
      </w:r>
      <w:r w:rsidR="003F5569" w:rsidRPr="00705394">
        <w:t>t</w:t>
      </w:r>
      <w:r w:rsidRPr="00705394">
        <w:t>eacher</w:t>
      </w:r>
      <w:r w:rsidR="00A41971" w:rsidRPr="00705394">
        <w:t>s</w:t>
      </w:r>
      <w:r w:rsidRPr="00705394">
        <w:t xml:space="preserve"> </w:t>
      </w:r>
    </w:p>
    <w:p w14:paraId="30622497" w14:textId="77777777" w:rsidR="007E4100" w:rsidRPr="00705394" w:rsidRDefault="007E4100" w:rsidP="001E1BBC">
      <w:pPr>
        <w:spacing w:after="0"/>
        <w:jc w:val="both"/>
      </w:pPr>
    </w:p>
    <w:p w14:paraId="40227B5D" w14:textId="07A4F34F" w:rsidR="00185902" w:rsidRPr="00705394" w:rsidRDefault="00185902" w:rsidP="001E1BBC">
      <w:pPr>
        <w:spacing w:after="0"/>
        <w:jc w:val="both"/>
        <w:rPr>
          <w:u w:val="none"/>
        </w:rPr>
      </w:pPr>
      <w:r w:rsidRPr="00705394">
        <w:rPr>
          <w:u w:val="none"/>
        </w:rPr>
        <w:t xml:space="preserve">In determining the </w:t>
      </w:r>
      <w:r w:rsidR="009B78C1" w:rsidRPr="00705394">
        <w:rPr>
          <w:u w:val="none"/>
        </w:rPr>
        <w:t>five-point</w:t>
      </w:r>
      <w:r w:rsidRPr="00705394">
        <w:rPr>
          <w:u w:val="none"/>
        </w:rPr>
        <w:t xml:space="preserve"> individual pay range and reviewing the salaries of other posts on the leadership pay range, the governing body should give due conside</w:t>
      </w:r>
      <w:r w:rsidR="007E4100" w:rsidRPr="00705394">
        <w:rPr>
          <w:u w:val="none"/>
        </w:rPr>
        <w:t>ration to the following factors</w:t>
      </w:r>
      <w:r w:rsidR="00510F4B" w:rsidRPr="00705394">
        <w:rPr>
          <w:u w:val="none"/>
        </w:rPr>
        <w:t>:</w:t>
      </w:r>
    </w:p>
    <w:p w14:paraId="05E375B5" w14:textId="77777777" w:rsidR="007E4100" w:rsidRPr="00705394" w:rsidRDefault="007E4100" w:rsidP="00396DA7">
      <w:pPr>
        <w:spacing w:after="0"/>
        <w:ind w:left="284"/>
        <w:jc w:val="both"/>
        <w:rPr>
          <w:u w:val="none"/>
        </w:rPr>
      </w:pPr>
    </w:p>
    <w:p w14:paraId="022748D8" w14:textId="0277FC08" w:rsidR="00185902" w:rsidRPr="00705394" w:rsidRDefault="00185902" w:rsidP="00B42818">
      <w:pPr>
        <w:numPr>
          <w:ilvl w:val="0"/>
          <w:numId w:val="3"/>
        </w:numPr>
        <w:spacing w:after="0"/>
        <w:ind w:left="567" w:hanging="425"/>
        <w:jc w:val="both"/>
        <w:rPr>
          <w:u w:val="none"/>
        </w:rPr>
      </w:pPr>
      <w:r w:rsidRPr="00705394">
        <w:rPr>
          <w:u w:val="none"/>
        </w:rPr>
        <w:t xml:space="preserve">The duties, responsibilities, challenges and demands of the individual leadership post which </w:t>
      </w:r>
      <w:r w:rsidR="009E590E" w:rsidRPr="00705394">
        <w:rPr>
          <w:u w:val="none"/>
        </w:rPr>
        <w:t>considers</w:t>
      </w:r>
      <w:r w:rsidRPr="00705394">
        <w:rPr>
          <w:u w:val="none"/>
        </w:rPr>
        <w:t xml:space="preserve"> the need to ensure pay equality for posts of equal job weight and responsibility </w:t>
      </w:r>
    </w:p>
    <w:p w14:paraId="382240C4" w14:textId="59F35E00" w:rsidR="00185902" w:rsidRPr="00705394" w:rsidRDefault="00185902" w:rsidP="00B42818">
      <w:pPr>
        <w:numPr>
          <w:ilvl w:val="0"/>
          <w:numId w:val="3"/>
        </w:numPr>
        <w:spacing w:after="0"/>
        <w:ind w:left="567" w:hanging="425"/>
        <w:jc w:val="both"/>
        <w:rPr>
          <w:u w:val="none"/>
        </w:rPr>
      </w:pPr>
      <w:r w:rsidRPr="00705394">
        <w:rPr>
          <w:u w:val="none"/>
        </w:rPr>
        <w:t xml:space="preserve">Pay differentials within the school between the headteacher and other members of the leadership group, leading practitioners and other senior teachers </w:t>
      </w:r>
      <w:r w:rsidR="00D67FC3" w:rsidRPr="00705394">
        <w:rPr>
          <w:u w:val="none"/>
        </w:rPr>
        <w:t>considering</w:t>
      </w:r>
      <w:r w:rsidRPr="00705394">
        <w:rPr>
          <w:u w:val="none"/>
        </w:rPr>
        <w:t xml:space="preserve"> differing duties and levels of responsibility and challenge within the school structure. Where more than one leadership post is established the individual post range will be determined separately</w:t>
      </w:r>
    </w:p>
    <w:p w14:paraId="151B5ED3" w14:textId="77777777" w:rsidR="00185902" w:rsidRPr="00705394" w:rsidRDefault="00185902" w:rsidP="00B42818">
      <w:pPr>
        <w:numPr>
          <w:ilvl w:val="0"/>
          <w:numId w:val="3"/>
        </w:numPr>
        <w:spacing w:after="0"/>
        <w:ind w:left="567" w:hanging="425"/>
        <w:jc w:val="both"/>
        <w:rPr>
          <w:i/>
          <w:iCs/>
          <w:u w:val="none"/>
        </w:rPr>
      </w:pPr>
      <w:r w:rsidRPr="00705394">
        <w:rPr>
          <w:u w:val="none"/>
        </w:rPr>
        <w:t>Advice and guidance from the local authority, HR Service and/or Education Improvement Adviser as appropriate</w:t>
      </w:r>
      <w:r w:rsidRPr="00705394">
        <w:rPr>
          <w:i/>
          <w:iCs/>
          <w:u w:val="none"/>
        </w:rPr>
        <w:t>.</w:t>
      </w:r>
    </w:p>
    <w:p w14:paraId="561170EF" w14:textId="77777777" w:rsidR="00185902" w:rsidRPr="00705394" w:rsidRDefault="00185902" w:rsidP="001E1BBC">
      <w:pPr>
        <w:spacing w:after="0"/>
        <w:ind w:left="567" w:hanging="425"/>
        <w:jc w:val="both"/>
        <w:rPr>
          <w:i/>
          <w:iCs/>
          <w:u w:val="none"/>
        </w:rPr>
      </w:pPr>
    </w:p>
    <w:p w14:paraId="76266813" w14:textId="628D907E" w:rsidR="00185902" w:rsidRPr="00705394" w:rsidRDefault="00185902" w:rsidP="001E1BBC">
      <w:pPr>
        <w:spacing w:after="0"/>
        <w:jc w:val="both"/>
        <w:rPr>
          <w:u w:val="none"/>
        </w:rPr>
      </w:pPr>
      <w:r w:rsidRPr="00705394">
        <w:rPr>
          <w:u w:val="none"/>
        </w:rPr>
        <w:t xml:space="preserve">The governing body should take care not to allow the leadership pay ranges to overlap </w:t>
      </w:r>
      <w:r w:rsidR="00125D99" w:rsidRPr="00705394">
        <w:rPr>
          <w:u w:val="none"/>
        </w:rPr>
        <w:t>with the headteacher IPR</w:t>
      </w:r>
      <w:r w:rsidR="00B450A5" w:rsidRPr="00705394">
        <w:rPr>
          <w:u w:val="none"/>
        </w:rPr>
        <w:t>,</w:t>
      </w:r>
      <w:r w:rsidR="00125D99" w:rsidRPr="00705394">
        <w:rPr>
          <w:u w:val="none"/>
        </w:rPr>
        <w:t xml:space="preserve"> which should be </w:t>
      </w:r>
      <w:r w:rsidRPr="00705394">
        <w:rPr>
          <w:u w:val="none"/>
        </w:rPr>
        <w:t>separate.</w:t>
      </w:r>
      <w:r w:rsidR="00EE6A2D" w:rsidRPr="00705394">
        <w:rPr>
          <w:u w:val="none"/>
        </w:rPr>
        <w:t xml:space="preserve"> </w:t>
      </w:r>
      <w:r w:rsidRPr="00705394">
        <w:rPr>
          <w:u w:val="none"/>
        </w:rPr>
        <w:t xml:space="preserve"> In the case of an appointment to a deputy headteacher post, the post holder is responsible for discharging, in full, the responsibilities in the absence of the headteacher. Where the absence exceeds a period of four weeks, the deputy should be paid in accordance with acting up arrangements outlined in paragraph 19.0 of the pay policy.  </w:t>
      </w:r>
    </w:p>
    <w:p w14:paraId="3A738648" w14:textId="77777777" w:rsidR="007E4100" w:rsidRPr="00705394" w:rsidRDefault="007E4100" w:rsidP="00396DA7">
      <w:pPr>
        <w:spacing w:after="0"/>
        <w:ind w:left="284"/>
        <w:jc w:val="both"/>
        <w:rPr>
          <w:u w:val="none"/>
        </w:rPr>
      </w:pPr>
    </w:p>
    <w:p w14:paraId="7CF348DA" w14:textId="03F9A8A3" w:rsidR="00185902" w:rsidRPr="00705394" w:rsidRDefault="00185902" w:rsidP="001E1BBC">
      <w:pPr>
        <w:spacing w:after="0"/>
        <w:jc w:val="both"/>
      </w:pPr>
      <w:r w:rsidRPr="00705394">
        <w:t>Paragraph 6.</w:t>
      </w:r>
      <w:r w:rsidR="003376D3" w:rsidRPr="00705394">
        <w:t>1</w:t>
      </w:r>
      <w:r w:rsidR="00A41971" w:rsidRPr="00705394">
        <w:t>5</w:t>
      </w:r>
      <w:r w:rsidRPr="00705394">
        <w:t xml:space="preserve"> – 6.</w:t>
      </w:r>
      <w:r w:rsidR="003376D3" w:rsidRPr="00705394">
        <w:t>1</w:t>
      </w:r>
      <w:r w:rsidR="00A41971" w:rsidRPr="00705394">
        <w:t>6</w:t>
      </w:r>
      <w:r w:rsidRPr="00705394">
        <w:t xml:space="preserve"> Leading Practitioner</w:t>
      </w:r>
    </w:p>
    <w:p w14:paraId="1C3EC517" w14:textId="77777777" w:rsidR="007E4100" w:rsidRPr="00705394" w:rsidRDefault="007E4100" w:rsidP="001E1BBC">
      <w:pPr>
        <w:spacing w:after="0"/>
        <w:jc w:val="both"/>
      </w:pPr>
    </w:p>
    <w:p w14:paraId="2F1BBA6E" w14:textId="22B45991" w:rsidR="001E1BBC" w:rsidRPr="00705394" w:rsidRDefault="00185902" w:rsidP="001E1BBC">
      <w:pPr>
        <w:spacing w:after="0"/>
        <w:jc w:val="both"/>
        <w:rPr>
          <w:u w:val="none"/>
        </w:rPr>
      </w:pPr>
      <w:r w:rsidRPr="00705394">
        <w:rPr>
          <w:u w:val="none"/>
        </w:rPr>
        <w:t>The governing body should be satisfied that the lead practitioner can demonstrate excellence in teaching and be able to model and lead the improvement of teaching skills.  There are no national criteria for appointment to th</w:t>
      </w:r>
      <w:r w:rsidR="003F5569" w:rsidRPr="00705394">
        <w:rPr>
          <w:u w:val="none"/>
        </w:rPr>
        <w:t xml:space="preserve">is </w:t>
      </w:r>
      <w:r w:rsidR="009E590E" w:rsidRPr="00705394">
        <w:rPr>
          <w:u w:val="none"/>
        </w:rPr>
        <w:t>post,</w:t>
      </w:r>
      <w:r w:rsidRPr="00705394">
        <w:rPr>
          <w:u w:val="none"/>
        </w:rPr>
        <w:t xml:space="preserve"> so local authority guidance is provided in this section. </w:t>
      </w:r>
    </w:p>
    <w:p w14:paraId="55CBD4D8" w14:textId="77777777" w:rsidR="00185902" w:rsidRPr="00705394" w:rsidRDefault="00185902" w:rsidP="001E1BBC">
      <w:pPr>
        <w:spacing w:after="0"/>
        <w:jc w:val="both"/>
        <w:rPr>
          <w:u w:val="none"/>
        </w:rPr>
      </w:pPr>
      <w:r w:rsidRPr="00705394">
        <w:rPr>
          <w:u w:val="none"/>
        </w:rPr>
        <w:t xml:space="preserve"> </w:t>
      </w:r>
    </w:p>
    <w:p w14:paraId="07B135DE" w14:textId="125D93A4" w:rsidR="00185902" w:rsidRPr="00705394" w:rsidRDefault="00185902" w:rsidP="001E1BBC">
      <w:pPr>
        <w:spacing w:after="0"/>
        <w:jc w:val="both"/>
        <w:rPr>
          <w:u w:val="none"/>
        </w:rPr>
      </w:pPr>
      <w:r w:rsidRPr="00705394">
        <w:rPr>
          <w:u w:val="none"/>
        </w:rPr>
        <w:t xml:space="preserve">Advertisement should be made according to the </w:t>
      </w:r>
      <w:r w:rsidR="009B78C1" w:rsidRPr="00705394">
        <w:rPr>
          <w:u w:val="none"/>
        </w:rPr>
        <w:t>school’s</w:t>
      </w:r>
      <w:r w:rsidRPr="00705394">
        <w:rPr>
          <w:u w:val="none"/>
        </w:rPr>
        <w:t xml:space="preserve"> recruitment and selection policy and the appointing panel should ensure that the successful candidate has a sustained track record of successful </w:t>
      </w:r>
      <w:r w:rsidR="00C7203E" w:rsidRPr="00705394">
        <w:rPr>
          <w:u w:val="none"/>
        </w:rPr>
        <w:t xml:space="preserve">and sustained </w:t>
      </w:r>
      <w:r w:rsidRPr="00705394">
        <w:rPr>
          <w:u w:val="none"/>
        </w:rPr>
        <w:t xml:space="preserve">teaching on the upper pay range and can demonstrate excellence in teaching and have contributed to leading the improvement of teaching skills throughout the school. </w:t>
      </w:r>
    </w:p>
    <w:p w14:paraId="346C3F7E" w14:textId="77777777" w:rsidR="00522071" w:rsidRPr="00705394" w:rsidRDefault="00522071" w:rsidP="00396DA7">
      <w:pPr>
        <w:spacing w:after="0"/>
        <w:ind w:left="284"/>
        <w:jc w:val="both"/>
        <w:rPr>
          <w:u w:val="none"/>
        </w:rPr>
      </w:pPr>
    </w:p>
    <w:p w14:paraId="37CCA74E" w14:textId="11BAF749" w:rsidR="00185902" w:rsidRPr="00705394" w:rsidRDefault="00185902" w:rsidP="001E1BBC">
      <w:pPr>
        <w:spacing w:after="0"/>
        <w:jc w:val="both"/>
        <w:rPr>
          <w:u w:val="none"/>
        </w:rPr>
      </w:pPr>
      <w:r w:rsidRPr="00705394">
        <w:rPr>
          <w:u w:val="none"/>
        </w:rPr>
        <w:t xml:space="preserve">The headteacher is responsible for determining </w:t>
      </w:r>
      <w:r w:rsidR="009E590E" w:rsidRPr="00705394">
        <w:rPr>
          <w:u w:val="none"/>
        </w:rPr>
        <w:t>whether</w:t>
      </w:r>
      <w:r w:rsidRPr="00705394">
        <w:rPr>
          <w:u w:val="none"/>
        </w:rPr>
        <w:t xml:space="preserve"> the post(s) should contain an element of outreach but there is no requirement to contain this provision. Where this is a </w:t>
      </w:r>
      <w:r w:rsidR="009E590E" w:rsidRPr="00705394">
        <w:rPr>
          <w:u w:val="none"/>
        </w:rPr>
        <w:lastRenderedPageBreak/>
        <w:t>requirement,</w:t>
      </w:r>
      <w:r w:rsidRPr="00705394">
        <w:rPr>
          <w:u w:val="none"/>
        </w:rPr>
        <w:t xml:space="preserve"> the teacher appointed to a leading practitioner role may be required to act as a lead practitioner in other schools or to support teachers in other schools as necessary. The governing body may determine that different leading practitioner posts in the school are to be paid at different individual post ranges. Appointment should normally be made to the minimum of the range and there must be scope for individual performance related pay p</w:t>
      </w:r>
      <w:r w:rsidR="00522071" w:rsidRPr="00705394">
        <w:rPr>
          <w:u w:val="none"/>
        </w:rPr>
        <w:t xml:space="preserve">rogression over time. (STPCD </w:t>
      </w:r>
      <w:r w:rsidR="00165BF6">
        <w:rPr>
          <w:u w:val="none"/>
        </w:rPr>
        <w:t xml:space="preserve">paragraph </w:t>
      </w:r>
      <w:r w:rsidR="00522071" w:rsidRPr="00705394">
        <w:rPr>
          <w:u w:val="none"/>
        </w:rPr>
        <w:t>16</w:t>
      </w:r>
      <w:r w:rsidRPr="00705394">
        <w:rPr>
          <w:u w:val="none"/>
        </w:rPr>
        <w:t xml:space="preserve">) In determining the </w:t>
      </w:r>
      <w:r w:rsidR="009B78C1" w:rsidRPr="00705394">
        <w:rPr>
          <w:u w:val="none"/>
        </w:rPr>
        <w:t>five-point</w:t>
      </w:r>
      <w:r w:rsidRPr="00705394">
        <w:rPr>
          <w:u w:val="none"/>
        </w:rPr>
        <w:t xml:space="preserve"> individual pay range for a leading practitioner post the governing body should give due conside</w:t>
      </w:r>
      <w:r w:rsidR="007E4100" w:rsidRPr="00705394">
        <w:rPr>
          <w:u w:val="none"/>
        </w:rPr>
        <w:t xml:space="preserve">ration to the following </w:t>
      </w:r>
      <w:proofErr w:type="gramStart"/>
      <w:r w:rsidR="007E4100" w:rsidRPr="00705394">
        <w:rPr>
          <w:u w:val="none"/>
        </w:rPr>
        <w:t>factors;</w:t>
      </w:r>
      <w:proofErr w:type="gramEnd"/>
    </w:p>
    <w:p w14:paraId="413B2FB5" w14:textId="77777777" w:rsidR="007E4100" w:rsidRPr="00705394" w:rsidRDefault="007E4100" w:rsidP="001E1BBC">
      <w:pPr>
        <w:spacing w:after="0"/>
        <w:jc w:val="both"/>
        <w:rPr>
          <w:u w:val="none"/>
        </w:rPr>
      </w:pPr>
    </w:p>
    <w:p w14:paraId="16A1FA77" w14:textId="1395171D" w:rsidR="00185902" w:rsidRPr="00705394" w:rsidRDefault="00185902" w:rsidP="00B42818">
      <w:pPr>
        <w:pStyle w:val="ListParagraph"/>
        <w:numPr>
          <w:ilvl w:val="0"/>
          <w:numId w:val="11"/>
        </w:numPr>
        <w:spacing w:after="0"/>
        <w:ind w:left="709" w:hanging="425"/>
        <w:jc w:val="both"/>
        <w:rPr>
          <w:u w:val="none"/>
        </w:rPr>
      </w:pPr>
      <w:r w:rsidRPr="00705394">
        <w:rPr>
          <w:u w:val="none"/>
        </w:rPr>
        <w:t xml:space="preserve">The duties, responsibilities, challenges and demands of the individual post which </w:t>
      </w:r>
      <w:r w:rsidR="009E590E" w:rsidRPr="00705394">
        <w:rPr>
          <w:u w:val="none"/>
        </w:rPr>
        <w:t>considers</w:t>
      </w:r>
      <w:r w:rsidRPr="00705394">
        <w:rPr>
          <w:u w:val="none"/>
        </w:rPr>
        <w:t xml:space="preserve"> the need to ensure pay equality for posts of equal job weight and responsibility</w:t>
      </w:r>
    </w:p>
    <w:p w14:paraId="5F125430" w14:textId="0395AC64" w:rsidR="00185902" w:rsidRPr="00705394" w:rsidRDefault="00185902" w:rsidP="00B42818">
      <w:pPr>
        <w:pStyle w:val="ListParagraph"/>
        <w:numPr>
          <w:ilvl w:val="0"/>
          <w:numId w:val="11"/>
        </w:numPr>
        <w:spacing w:after="0"/>
        <w:ind w:left="709" w:hanging="425"/>
        <w:jc w:val="both"/>
        <w:rPr>
          <w:u w:val="none"/>
        </w:rPr>
      </w:pPr>
      <w:r w:rsidRPr="00705394">
        <w:rPr>
          <w:u w:val="none"/>
        </w:rPr>
        <w:t>Pay differentials for other leadership and leading practitioner posts of differing levels of responsibility and challenge within the school structure.  Where more than one post is established the individual post range will be determined separately</w:t>
      </w:r>
    </w:p>
    <w:p w14:paraId="5D348EAD" w14:textId="77777777" w:rsidR="00185902" w:rsidRPr="00705394" w:rsidRDefault="00185902" w:rsidP="00B42818">
      <w:pPr>
        <w:pStyle w:val="ListParagraph"/>
        <w:numPr>
          <w:ilvl w:val="0"/>
          <w:numId w:val="11"/>
        </w:numPr>
        <w:spacing w:after="0"/>
        <w:ind w:left="709" w:hanging="425"/>
        <w:jc w:val="both"/>
        <w:rPr>
          <w:u w:val="none"/>
        </w:rPr>
      </w:pPr>
      <w:r w:rsidRPr="00705394">
        <w:rPr>
          <w:u w:val="none"/>
        </w:rPr>
        <w:t>Internal pay relativities for all other teaching / leadership posts of differing levels of responsibilities and challenge within the school structure.</w:t>
      </w:r>
    </w:p>
    <w:p w14:paraId="44526980" w14:textId="77777777" w:rsidR="00185902" w:rsidRPr="00705394" w:rsidRDefault="00185902" w:rsidP="00B42818">
      <w:pPr>
        <w:pStyle w:val="ListParagraph"/>
        <w:numPr>
          <w:ilvl w:val="0"/>
          <w:numId w:val="11"/>
        </w:numPr>
        <w:spacing w:after="0"/>
        <w:ind w:left="709" w:hanging="425"/>
        <w:jc w:val="both"/>
        <w:rPr>
          <w:u w:val="none"/>
        </w:rPr>
      </w:pPr>
      <w:r w:rsidRPr="00705394">
        <w:rPr>
          <w:u w:val="none"/>
        </w:rPr>
        <w:t>That the post holder is responsible for and will act as:</w:t>
      </w:r>
    </w:p>
    <w:p w14:paraId="28A6277F" w14:textId="20033087" w:rsidR="00185902" w:rsidRPr="00705394" w:rsidRDefault="00185902" w:rsidP="00B42818">
      <w:pPr>
        <w:pStyle w:val="ListParagraph"/>
        <w:numPr>
          <w:ilvl w:val="0"/>
          <w:numId w:val="12"/>
        </w:numPr>
        <w:spacing w:after="0"/>
        <w:ind w:left="284" w:firstLine="567"/>
        <w:jc w:val="both"/>
        <w:rPr>
          <w:u w:val="none"/>
        </w:rPr>
      </w:pPr>
      <w:r w:rsidRPr="00705394">
        <w:rPr>
          <w:u w:val="none"/>
        </w:rPr>
        <w:t>An exemplar of teaching skills</w:t>
      </w:r>
    </w:p>
    <w:p w14:paraId="0945FE5E" w14:textId="3569675C" w:rsidR="00185902" w:rsidRPr="00705394" w:rsidRDefault="00185902" w:rsidP="00B42818">
      <w:pPr>
        <w:pStyle w:val="ListParagraph"/>
        <w:numPr>
          <w:ilvl w:val="0"/>
          <w:numId w:val="12"/>
        </w:numPr>
        <w:spacing w:after="0"/>
        <w:ind w:left="284" w:firstLine="567"/>
        <w:jc w:val="both"/>
        <w:rPr>
          <w:u w:val="none"/>
        </w:rPr>
      </w:pPr>
      <w:r w:rsidRPr="00705394">
        <w:rPr>
          <w:u w:val="none"/>
        </w:rPr>
        <w:t>Lead in the improvement of teaching skills in the school</w:t>
      </w:r>
    </w:p>
    <w:p w14:paraId="5D3C1DB6" w14:textId="77777777" w:rsidR="00185902" w:rsidRPr="00705394" w:rsidRDefault="00185902" w:rsidP="00B42818">
      <w:pPr>
        <w:pStyle w:val="ListParagraph"/>
        <w:numPr>
          <w:ilvl w:val="0"/>
          <w:numId w:val="12"/>
        </w:numPr>
        <w:spacing w:after="0"/>
        <w:ind w:left="1418" w:hanging="567"/>
        <w:jc w:val="both"/>
        <w:rPr>
          <w:u w:val="none"/>
        </w:rPr>
      </w:pPr>
      <w:r w:rsidRPr="00705394">
        <w:rPr>
          <w:u w:val="none"/>
        </w:rPr>
        <w:t>Carry out the professional responsibilities of a teacher, including any additional duties delegated by the head teacher commensurate with the level of pay.</w:t>
      </w:r>
    </w:p>
    <w:p w14:paraId="664CA67B" w14:textId="77777777" w:rsidR="00185902" w:rsidRPr="00705394" w:rsidRDefault="00185902" w:rsidP="003F5569">
      <w:pPr>
        <w:spacing w:after="0"/>
        <w:jc w:val="both"/>
        <w:rPr>
          <w:u w:val="none"/>
        </w:rPr>
      </w:pPr>
      <w:r w:rsidRPr="00705394">
        <w:rPr>
          <w:u w:val="none"/>
        </w:rPr>
        <w:t>Advice and guidance from the local authority, HR Service and/or Education Improvement Adviser as appropriate.</w:t>
      </w:r>
    </w:p>
    <w:p w14:paraId="259BB4F2" w14:textId="0307C367" w:rsidR="00185902" w:rsidRPr="00705394" w:rsidRDefault="00185902" w:rsidP="001E1BBC">
      <w:pPr>
        <w:spacing w:after="0"/>
        <w:jc w:val="both"/>
        <w:rPr>
          <w:u w:val="none"/>
        </w:rPr>
      </w:pPr>
      <w:r w:rsidRPr="00705394">
        <w:rPr>
          <w:u w:val="none"/>
        </w:rPr>
        <w:br/>
        <w:t xml:space="preserve">The post holder will take a leadership role in developing, </w:t>
      </w:r>
      <w:r w:rsidR="00A7127B" w:rsidRPr="00705394">
        <w:rPr>
          <w:u w:val="none"/>
        </w:rPr>
        <w:t>implementing,</w:t>
      </w:r>
      <w:r w:rsidRPr="00705394">
        <w:rPr>
          <w:u w:val="none"/>
        </w:rPr>
        <w:t xml:space="preserve"> and evaluating policies and practice within school that contribute to school improvement. These will inclu</w:t>
      </w:r>
      <w:r w:rsidR="007E4100" w:rsidRPr="00705394">
        <w:rPr>
          <w:u w:val="none"/>
        </w:rPr>
        <w:t>de (to be made school specific)</w:t>
      </w:r>
      <w:r w:rsidR="007F7668" w:rsidRPr="00705394">
        <w:rPr>
          <w:u w:val="none"/>
        </w:rPr>
        <w:t>:</w:t>
      </w:r>
    </w:p>
    <w:p w14:paraId="61796FD8" w14:textId="77777777" w:rsidR="007E4100" w:rsidRPr="00705394" w:rsidRDefault="007E4100" w:rsidP="00396DA7">
      <w:pPr>
        <w:spacing w:after="0"/>
        <w:ind w:left="284"/>
        <w:jc w:val="both"/>
        <w:rPr>
          <w:u w:val="none"/>
        </w:rPr>
      </w:pPr>
    </w:p>
    <w:p w14:paraId="0AC499B3" w14:textId="5BDFF41F" w:rsidR="00185902" w:rsidRPr="00705394" w:rsidRDefault="00185902" w:rsidP="00A41971">
      <w:pPr>
        <w:pStyle w:val="ListParagraph"/>
        <w:numPr>
          <w:ilvl w:val="0"/>
          <w:numId w:val="10"/>
        </w:numPr>
        <w:spacing w:after="0"/>
        <w:ind w:left="284" w:firstLine="0"/>
        <w:jc w:val="both"/>
        <w:rPr>
          <w:u w:val="none"/>
        </w:rPr>
      </w:pPr>
      <w:r w:rsidRPr="00705394">
        <w:rPr>
          <w:u w:val="none"/>
        </w:rPr>
        <w:t xml:space="preserve">Coaching, mentoring and induction of teachers, including trainees and </w:t>
      </w:r>
      <w:r w:rsidR="00663E8F" w:rsidRPr="00705394">
        <w:rPr>
          <w:u w:val="none"/>
        </w:rPr>
        <w:t>ECT’s</w:t>
      </w:r>
    </w:p>
    <w:p w14:paraId="33490E8B" w14:textId="39A541D3" w:rsidR="00185902" w:rsidRPr="00705394" w:rsidRDefault="00185902" w:rsidP="00A41971">
      <w:pPr>
        <w:pStyle w:val="ListParagraph"/>
        <w:numPr>
          <w:ilvl w:val="0"/>
          <w:numId w:val="10"/>
        </w:numPr>
        <w:spacing w:after="0"/>
        <w:ind w:left="709" w:hanging="425"/>
        <w:jc w:val="both"/>
        <w:rPr>
          <w:u w:val="none"/>
        </w:rPr>
      </w:pPr>
      <w:r w:rsidRPr="00705394">
        <w:rPr>
          <w:u w:val="none"/>
        </w:rPr>
        <w:t>Disseminating materials and advising on practice, research and continuing professional development provision</w:t>
      </w:r>
    </w:p>
    <w:p w14:paraId="14BFABE9" w14:textId="13DB1019" w:rsidR="00185902" w:rsidRPr="00705394" w:rsidRDefault="00185902" w:rsidP="00A41971">
      <w:pPr>
        <w:pStyle w:val="ListParagraph"/>
        <w:numPr>
          <w:ilvl w:val="0"/>
          <w:numId w:val="10"/>
        </w:numPr>
        <w:spacing w:after="0"/>
        <w:ind w:left="709" w:hanging="425"/>
        <w:jc w:val="both"/>
        <w:rPr>
          <w:u w:val="none"/>
        </w:rPr>
      </w:pPr>
      <w:r w:rsidRPr="00705394">
        <w:rPr>
          <w:u w:val="none"/>
        </w:rPr>
        <w:t>Assessment and impact evaluation, including through demonstration lessons and classroom observation</w:t>
      </w:r>
    </w:p>
    <w:p w14:paraId="1832D314" w14:textId="77777777" w:rsidR="00185902" w:rsidRPr="00705394" w:rsidRDefault="00185902" w:rsidP="00A41971">
      <w:pPr>
        <w:pStyle w:val="ListParagraph"/>
        <w:numPr>
          <w:ilvl w:val="0"/>
          <w:numId w:val="10"/>
        </w:numPr>
        <w:spacing w:after="0"/>
        <w:ind w:left="709" w:hanging="425"/>
        <w:jc w:val="both"/>
        <w:rPr>
          <w:u w:val="none"/>
        </w:rPr>
      </w:pPr>
      <w:r w:rsidRPr="00705394">
        <w:rPr>
          <w:u w:val="none"/>
        </w:rPr>
        <w:t xml:space="preserve">Provide targeted support (and deliver support plans) to teachers identified within the appraisal process who are experiencing difficulties.   </w:t>
      </w:r>
    </w:p>
    <w:p w14:paraId="70D85A0A" w14:textId="77777777" w:rsidR="00185902" w:rsidRPr="00705394" w:rsidRDefault="00185902" w:rsidP="00A41971">
      <w:pPr>
        <w:spacing w:after="0"/>
        <w:ind w:left="284"/>
        <w:jc w:val="both"/>
        <w:rPr>
          <w:u w:val="none"/>
        </w:rPr>
      </w:pPr>
    </w:p>
    <w:p w14:paraId="37031F2E" w14:textId="403FA966" w:rsidR="00185902" w:rsidRPr="00705394" w:rsidRDefault="00185902" w:rsidP="00A41971">
      <w:pPr>
        <w:spacing w:after="0"/>
        <w:jc w:val="both"/>
        <w:rPr>
          <w:u w:val="none"/>
        </w:rPr>
      </w:pPr>
      <w:r w:rsidRPr="00705394">
        <w:rPr>
          <w:u w:val="none"/>
        </w:rPr>
        <w:t xml:space="preserve">A model outline job description for the Lead Practitioner post is attached as </w:t>
      </w:r>
      <w:r w:rsidR="003F5569" w:rsidRPr="00705394">
        <w:rPr>
          <w:u w:val="none"/>
        </w:rPr>
        <w:t xml:space="preserve">Pay Policy </w:t>
      </w:r>
      <w:r w:rsidR="00C7203E" w:rsidRPr="00705394">
        <w:rPr>
          <w:u w:val="none"/>
        </w:rPr>
        <w:t xml:space="preserve">Toolkit </w:t>
      </w:r>
      <w:r w:rsidRPr="00705394">
        <w:rPr>
          <w:u w:val="none"/>
        </w:rPr>
        <w:t>Appendix 1</w:t>
      </w:r>
      <w:r w:rsidR="00EE6A2D" w:rsidRPr="00705394">
        <w:rPr>
          <w:u w:val="none"/>
        </w:rPr>
        <w:t>2</w:t>
      </w:r>
      <w:r w:rsidRPr="00705394">
        <w:rPr>
          <w:u w:val="none"/>
        </w:rPr>
        <w:t xml:space="preserve">. </w:t>
      </w:r>
    </w:p>
    <w:p w14:paraId="0DCFF0C5" w14:textId="77777777" w:rsidR="00051CCC" w:rsidRPr="00705394" w:rsidRDefault="00051CCC" w:rsidP="00A41971">
      <w:pPr>
        <w:spacing w:after="0"/>
        <w:jc w:val="both"/>
      </w:pPr>
    </w:p>
    <w:p w14:paraId="6D60B625" w14:textId="77777777" w:rsidR="00B33D00" w:rsidRDefault="00B33D00" w:rsidP="00A41971">
      <w:pPr>
        <w:spacing w:after="0"/>
        <w:jc w:val="both"/>
      </w:pPr>
    </w:p>
    <w:p w14:paraId="4016700A" w14:textId="77777777" w:rsidR="00B33D00" w:rsidRDefault="00B33D00" w:rsidP="00A41971">
      <w:pPr>
        <w:spacing w:after="0"/>
        <w:jc w:val="both"/>
      </w:pPr>
    </w:p>
    <w:p w14:paraId="0360528E" w14:textId="77777777" w:rsidR="00B33D00" w:rsidRDefault="00B33D00" w:rsidP="00A41971">
      <w:pPr>
        <w:spacing w:after="0"/>
        <w:jc w:val="both"/>
      </w:pPr>
    </w:p>
    <w:p w14:paraId="727AAC7E" w14:textId="77777777" w:rsidR="00B33D00" w:rsidRDefault="00B33D00" w:rsidP="00A41971">
      <w:pPr>
        <w:spacing w:after="0"/>
        <w:jc w:val="both"/>
      </w:pPr>
    </w:p>
    <w:p w14:paraId="748EDEC6" w14:textId="77777777" w:rsidR="00B33D00" w:rsidRDefault="00B33D00" w:rsidP="00A41971">
      <w:pPr>
        <w:spacing w:after="0"/>
        <w:jc w:val="both"/>
      </w:pPr>
    </w:p>
    <w:p w14:paraId="6E43DEA5" w14:textId="77777777" w:rsidR="00B33D00" w:rsidRDefault="00B33D00" w:rsidP="00A41971">
      <w:pPr>
        <w:spacing w:after="0"/>
        <w:jc w:val="both"/>
      </w:pPr>
    </w:p>
    <w:p w14:paraId="61DFD9C5" w14:textId="77777777" w:rsidR="00B33D00" w:rsidRDefault="00B33D00" w:rsidP="00A41971">
      <w:pPr>
        <w:spacing w:after="0"/>
        <w:jc w:val="both"/>
      </w:pPr>
    </w:p>
    <w:p w14:paraId="7D546CDC" w14:textId="3CC1622B" w:rsidR="00051CCC" w:rsidRPr="00705394" w:rsidRDefault="007E4100" w:rsidP="00A41971">
      <w:pPr>
        <w:spacing w:after="0"/>
        <w:jc w:val="both"/>
      </w:pPr>
      <w:r w:rsidRPr="00705394">
        <w:lastRenderedPageBreak/>
        <w:t xml:space="preserve">Paragraph </w:t>
      </w:r>
      <w:r w:rsidR="00051CCC" w:rsidRPr="00705394">
        <w:t>6.1</w:t>
      </w:r>
      <w:r w:rsidR="00A41971" w:rsidRPr="00705394">
        <w:t>3</w:t>
      </w:r>
      <w:r w:rsidR="00051CCC" w:rsidRPr="00705394">
        <w:t xml:space="preserve"> </w:t>
      </w:r>
      <w:r w:rsidR="003F5569" w:rsidRPr="00705394">
        <w:t xml:space="preserve">/ 18.0 </w:t>
      </w:r>
      <w:r w:rsidR="00051CCC" w:rsidRPr="00705394">
        <w:t>SENC</w:t>
      </w:r>
      <w:r w:rsidR="00A41971" w:rsidRPr="00705394">
        <w:t xml:space="preserve">o </w:t>
      </w:r>
      <w:r w:rsidR="00051CCC" w:rsidRPr="00705394">
        <w:t xml:space="preserve">and SEN </w:t>
      </w:r>
      <w:r w:rsidR="00281BEA" w:rsidRPr="00705394">
        <w:t>A</w:t>
      </w:r>
      <w:r w:rsidR="00051CCC" w:rsidRPr="00705394">
        <w:t>llowances</w:t>
      </w:r>
    </w:p>
    <w:p w14:paraId="2AE13613" w14:textId="77777777" w:rsidR="007E4100" w:rsidRPr="00705394" w:rsidRDefault="007E4100" w:rsidP="00A41971">
      <w:pPr>
        <w:spacing w:after="0"/>
        <w:jc w:val="both"/>
      </w:pPr>
    </w:p>
    <w:p w14:paraId="1CE43E03" w14:textId="77777777" w:rsidR="002D0B1D" w:rsidRPr="00705394" w:rsidRDefault="002D0B1D" w:rsidP="00A41971">
      <w:pPr>
        <w:spacing w:after="0"/>
        <w:jc w:val="both"/>
        <w:rPr>
          <w:u w:val="none"/>
        </w:rPr>
      </w:pPr>
      <w:r w:rsidRPr="00705394">
        <w:rPr>
          <w:u w:val="none"/>
        </w:rPr>
        <w:t>Appointment to the post of SENC</w:t>
      </w:r>
      <w:r w:rsidR="00A41971" w:rsidRPr="00705394">
        <w:rPr>
          <w:u w:val="none"/>
        </w:rPr>
        <w:t>o</w:t>
      </w:r>
      <w:r w:rsidRPr="00705394">
        <w:rPr>
          <w:u w:val="none"/>
        </w:rPr>
        <w:t xml:space="preserve"> must be in line with the relevant legislation. </w:t>
      </w:r>
      <w:r w:rsidR="007E4100" w:rsidRPr="00705394">
        <w:rPr>
          <w:u w:val="none"/>
        </w:rPr>
        <w:t xml:space="preserve"> </w:t>
      </w:r>
      <w:r w:rsidRPr="00705394">
        <w:rPr>
          <w:u w:val="none"/>
        </w:rPr>
        <w:t xml:space="preserve">Schools are required to appoint a teacher in their school who is designated as the SENCO and the requirement for them to undertake the National Award for Special Educational Needs Co-ordination has been in force since 1 September 2009. </w:t>
      </w:r>
    </w:p>
    <w:p w14:paraId="7B2BBB06" w14:textId="77777777" w:rsidR="007E4100" w:rsidRPr="00705394" w:rsidRDefault="007E4100" w:rsidP="00A41971">
      <w:pPr>
        <w:spacing w:after="0"/>
        <w:jc w:val="both"/>
        <w:rPr>
          <w:u w:val="none"/>
        </w:rPr>
      </w:pPr>
    </w:p>
    <w:p w14:paraId="57B2CF63" w14:textId="77777777" w:rsidR="001E1BBC" w:rsidRPr="00705394" w:rsidRDefault="002D0B1D" w:rsidP="00A41971">
      <w:pPr>
        <w:spacing w:after="0"/>
        <w:jc w:val="both"/>
        <w:rPr>
          <w:u w:val="none"/>
        </w:rPr>
      </w:pPr>
      <w:r w:rsidRPr="00705394">
        <w:rPr>
          <w:u w:val="none"/>
        </w:rPr>
        <w:t xml:space="preserve">It was originally a requirement under The Education (Special Educational Needs Co-ordinators) (England) Regulations 2008 (SI No 2945), which was amended in 2009 (SI 1387). </w:t>
      </w:r>
      <w:r w:rsidR="007E4100" w:rsidRPr="00705394">
        <w:rPr>
          <w:u w:val="none"/>
        </w:rPr>
        <w:t xml:space="preserve"> </w:t>
      </w:r>
      <w:r w:rsidRPr="00705394">
        <w:rPr>
          <w:u w:val="none"/>
        </w:rPr>
        <w:t>More recently the requirement has been enshrined in section 67 of the Children and Families Act 2014 and section 49 of The Special Educational Needs and Disability Regulations 2014 (SI 1530).</w:t>
      </w:r>
    </w:p>
    <w:p w14:paraId="01CAECB3" w14:textId="77777777" w:rsidR="002D0B1D" w:rsidRPr="00705394" w:rsidRDefault="002D0B1D" w:rsidP="00A41971">
      <w:pPr>
        <w:spacing w:after="0"/>
        <w:jc w:val="both"/>
        <w:rPr>
          <w:u w:val="none"/>
        </w:rPr>
      </w:pPr>
      <w:r w:rsidRPr="00705394">
        <w:rPr>
          <w:u w:val="none"/>
        </w:rPr>
        <w:t xml:space="preserve"> </w:t>
      </w:r>
    </w:p>
    <w:p w14:paraId="60E7396F" w14:textId="13A28877" w:rsidR="005A1B14" w:rsidRPr="00705394" w:rsidRDefault="002D0B1D" w:rsidP="00A41971">
      <w:pPr>
        <w:spacing w:after="0"/>
        <w:jc w:val="both"/>
      </w:pPr>
      <w:r w:rsidRPr="00705394">
        <w:rPr>
          <w:u w:val="none"/>
        </w:rPr>
        <w:t xml:space="preserve">The regulations do not </w:t>
      </w:r>
      <w:r w:rsidR="00A47BE9" w:rsidRPr="00705394">
        <w:rPr>
          <w:u w:val="none"/>
        </w:rPr>
        <w:t>refer</w:t>
      </w:r>
      <w:r w:rsidRPr="00705394">
        <w:rPr>
          <w:u w:val="none"/>
        </w:rPr>
        <w:t xml:space="preserve"> to pay, and this is for individual governing bodies to determine at an individual school level. </w:t>
      </w:r>
      <w:r w:rsidR="007E4100" w:rsidRPr="00705394">
        <w:rPr>
          <w:u w:val="none"/>
        </w:rPr>
        <w:t xml:space="preserve"> </w:t>
      </w:r>
      <w:r w:rsidRPr="00705394">
        <w:rPr>
          <w:u w:val="none"/>
        </w:rPr>
        <w:t>Most schools will offer a TLR or some form of incentive to the SENC</w:t>
      </w:r>
      <w:r w:rsidR="00A41971" w:rsidRPr="00705394">
        <w:rPr>
          <w:u w:val="none"/>
        </w:rPr>
        <w:t>o</w:t>
      </w:r>
      <w:r w:rsidRPr="00705394">
        <w:rPr>
          <w:u w:val="none"/>
        </w:rPr>
        <w:t xml:space="preserve"> in acknowledgement of the additional responsibilities the post brings. </w:t>
      </w:r>
      <w:r w:rsidR="007E4100" w:rsidRPr="00705394">
        <w:rPr>
          <w:u w:val="none"/>
        </w:rPr>
        <w:t xml:space="preserve"> </w:t>
      </w:r>
      <w:r w:rsidRPr="00705394">
        <w:rPr>
          <w:u w:val="none"/>
        </w:rPr>
        <w:t xml:space="preserve">These could be seen as being commensurate with those of a head of year or </w:t>
      </w:r>
      <w:r w:rsidR="00A47BE9" w:rsidRPr="00705394">
        <w:rPr>
          <w:u w:val="none"/>
        </w:rPr>
        <w:t>department,</w:t>
      </w:r>
      <w:r w:rsidRPr="00705394">
        <w:rPr>
          <w:u w:val="none"/>
        </w:rPr>
        <w:t xml:space="preserve"> but it will depend upon the specific responsibilities of the post within the school. </w:t>
      </w:r>
      <w:r w:rsidR="007E4100" w:rsidRPr="00705394">
        <w:rPr>
          <w:u w:val="none"/>
        </w:rPr>
        <w:t xml:space="preserve"> </w:t>
      </w:r>
      <w:r w:rsidRPr="00705394">
        <w:rPr>
          <w:u w:val="none"/>
        </w:rPr>
        <w:t>The SENC</w:t>
      </w:r>
      <w:r w:rsidR="00A41971" w:rsidRPr="00705394">
        <w:rPr>
          <w:u w:val="none"/>
        </w:rPr>
        <w:t>o</w:t>
      </w:r>
      <w:r w:rsidRPr="00705394">
        <w:rPr>
          <w:u w:val="none"/>
        </w:rPr>
        <w:t xml:space="preserve"> will also often, but not always</w:t>
      </w:r>
      <w:r w:rsidR="00A41971" w:rsidRPr="00705394">
        <w:rPr>
          <w:u w:val="none"/>
        </w:rPr>
        <w:t>,</w:t>
      </w:r>
      <w:r w:rsidRPr="00705394">
        <w:rPr>
          <w:u w:val="none"/>
        </w:rPr>
        <w:t xml:space="preserve"> be a member of the school’s senior leadership team (this was statutory in the original draft regulations, but government decided to make this a legal </w:t>
      </w:r>
      <w:r w:rsidR="007F7668" w:rsidRPr="00705394">
        <w:rPr>
          <w:u w:val="none"/>
        </w:rPr>
        <w:t>duty,</w:t>
      </w:r>
      <w:r w:rsidRPr="00705394">
        <w:rPr>
          <w:u w:val="none"/>
        </w:rPr>
        <w:t xml:space="preserve"> and it was removed before the regulations were finalised). </w:t>
      </w:r>
    </w:p>
    <w:p w14:paraId="21935030" w14:textId="77777777" w:rsidR="00B450A5" w:rsidRPr="00705394" w:rsidRDefault="00B450A5" w:rsidP="00A41971">
      <w:pPr>
        <w:spacing w:after="0"/>
        <w:jc w:val="both"/>
      </w:pPr>
    </w:p>
    <w:p w14:paraId="2B780B65" w14:textId="72C58837" w:rsidR="00BC68E8" w:rsidRPr="00705394" w:rsidRDefault="00BC68E8" w:rsidP="00A41971">
      <w:pPr>
        <w:spacing w:after="0"/>
        <w:jc w:val="both"/>
      </w:pPr>
      <w:r w:rsidRPr="00705394">
        <w:t>Paragraph 6.1</w:t>
      </w:r>
      <w:r w:rsidR="00A41971" w:rsidRPr="00705394">
        <w:t>7 – 6.20</w:t>
      </w:r>
      <w:r w:rsidR="00522071" w:rsidRPr="00705394">
        <w:t xml:space="preserve"> </w:t>
      </w:r>
      <w:r w:rsidR="003F5569" w:rsidRPr="00705394">
        <w:t>all teachers - s</w:t>
      </w:r>
      <w:r w:rsidR="00522071" w:rsidRPr="00705394">
        <w:t xml:space="preserve">alary on </w:t>
      </w:r>
      <w:r w:rsidR="003F5569" w:rsidRPr="00705394">
        <w:t>a</w:t>
      </w:r>
      <w:r w:rsidR="00522071" w:rsidRPr="00705394">
        <w:t xml:space="preserve">ppointment </w:t>
      </w:r>
    </w:p>
    <w:p w14:paraId="3759DFE2" w14:textId="77777777" w:rsidR="007E4100" w:rsidRPr="00705394" w:rsidRDefault="007E4100" w:rsidP="00A41971">
      <w:pPr>
        <w:spacing w:after="0"/>
        <w:jc w:val="both"/>
      </w:pPr>
    </w:p>
    <w:p w14:paraId="64E750F2" w14:textId="286E31C8" w:rsidR="006B1024" w:rsidRPr="00705394" w:rsidRDefault="00BC68E8" w:rsidP="006B1024">
      <w:pPr>
        <w:pStyle w:val="Default"/>
        <w:rPr>
          <w:color w:val="auto"/>
        </w:rPr>
      </w:pPr>
      <w:r w:rsidRPr="00705394">
        <w:rPr>
          <w:color w:val="auto"/>
        </w:rPr>
        <w:t>The</w:t>
      </w:r>
      <w:r w:rsidR="00F750FE" w:rsidRPr="00705394">
        <w:rPr>
          <w:color w:val="auto"/>
        </w:rPr>
        <w:t xml:space="preserve"> legal basis changed in 2014 and there</w:t>
      </w:r>
      <w:r w:rsidRPr="00705394">
        <w:rPr>
          <w:color w:val="auto"/>
        </w:rPr>
        <w:t xml:space="preserve"> is no assumption that a teacher will be paid at the same rate as they were paid in a previous school</w:t>
      </w:r>
      <w:r w:rsidR="00A41971" w:rsidRPr="00705394">
        <w:rPr>
          <w:color w:val="auto"/>
        </w:rPr>
        <w:t>. C</w:t>
      </w:r>
      <w:r w:rsidR="00B450A5" w:rsidRPr="00705394">
        <w:rPr>
          <w:color w:val="auto"/>
        </w:rPr>
        <w:t xml:space="preserve">hanges to the STPCD mean that </w:t>
      </w:r>
      <w:r w:rsidRPr="00705394">
        <w:rPr>
          <w:color w:val="auto"/>
        </w:rPr>
        <w:t>the governing body is no</w:t>
      </w:r>
      <w:r w:rsidR="00A41971" w:rsidRPr="00705394">
        <w:rPr>
          <w:color w:val="auto"/>
        </w:rPr>
        <w:t xml:space="preserve"> longer</w:t>
      </w:r>
      <w:r w:rsidRPr="00705394">
        <w:rPr>
          <w:color w:val="auto"/>
        </w:rPr>
        <w:t xml:space="preserve"> bound by a pay decision taken by another school</w:t>
      </w:r>
      <w:r w:rsidR="00281BEA" w:rsidRPr="00705394">
        <w:rPr>
          <w:color w:val="auto"/>
        </w:rPr>
        <w:t>.</w:t>
      </w:r>
      <w:r w:rsidRPr="00705394">
        <w:rPr>
          <w:color w:val="auto"/>
        </w:rPr>
        <w:t xml:space="preserve"> </w:t>
      </w:r>
      <w:r w:rsidR="006B1024" w:rsidRPr="00705394">
        <w:rPr>
          <w:color w:val="auto"/>
        </w:rPr>
        <w:t xml:space="preserve">Whilst there is no longer any statutory requirement in the STPCD for the relevant body to match teachers’ previous salaries when they are appointed to a post, it is free to do so if it chooses. </w:t>
      </w:r>
    </w:p>
    <w:p w14:paraId="76D78CF4" w14:textId="77777777" w:rsidR="006B1024" w:rsidRPr="00705394" w:rsidRDefault="006B1024" w:rsidP="006B1024">
      <w:pPr>
        <w:pStyle w:val="Default"/>
        <w:rPr>
          <w:color w:val="auto"/>
        </w:rPr>
      </w:pPr>
    </w:p>
    <w:p w14:paraId="67AE202D" w14:textId="3421D74A" w:rsidR="006B1024" w:rsidRPr="00705394" w:rsidRDefault="006B1024" w:rsidP="006B1024">
      <w:pPr>
        <w:pStyle w:val="Default"/>
        <w:rPr>
          <w:color w:val="auto"/>
        </w:rPr>
      </w:pPr>
      <w:r w:rsidRPr="00705394">
        <w:rPr>
          <w:color w:val="auto"/>
        </w:rPr>
        <w:t xml:space="preserve">This includes the freedom to pay teachers more than their previous salary from the start of their new employment in a school. The relevant body must ensure that, when considering new appointments and appropriate levels of salary, the decisions taken </w:t>
      </w:r>
      <w:r w:rsidR="00165BF6" w:rsidRPr="00705394">
        <w:rPr>
          <w:color w:val="auto"/>
        </w:rPr>
        <w:t>regarding</w:t>
      </w:r>
      <w:r w:rsidRPr="00705394">
        <w:rPr>
          <w:color w:val="auto"/>
        </w:rPr>
        <w:t xml:space="preserve"> pay portability do not discriminate against teachers because of a protected characteristic under the Equality Act 2010. </w:t>
      </w:r>
    </w:p>
    <w:p w14:paraId="332FAC09" w14:textId="77777777" w:rsidR="006B1024" w:rsidRPr="00705394" w:rsidRDefault="006B1024" w:rsidP="006B1024">
      <w:pPr>
        <w:pStyle w:val="Default"/>
        <w:rPr>
          <w:color w:val="auto"/>
        </w:rPr>
      </w:pPr>
    </w:p>
    <w:p w14:paraId="72285607" w14:textId="03CE897A" w:rsidR="006B1024" w:rsidRPr="00705394" w:rsidRDefault="006B1024" w:rsidP="006B1024">
      <w:pPr>
        <w:pStyle w:val="Default"/>
        <w:rPr>
          <w:color w:val="auto"/>
        </w:rPr>
      </w:pPr>
      <w:r w:rsidRPr="00705394">
        <w:rPr>
          <w:color w:val="auto"/>
        </w:rPr>
        <w:t xml:space="preserve">The governing body must avoid discriminating against teachers returning to the profession following a career break whether they return to the same school or to another school. The school will carefully assess starting pay to </w:t>
      </w:r>
      <w:r w:rsidR="003F5569" w:rsidRPr="00705394">
        <w:rPr>
          <w:color w:val="auto"/>
        </w:rPr>
        <w:t xml:space="preserve">avoid </w:t>
      </w:r>
      <w:r w:rsidRPr="00705394">
        <w:rPr>
          <w:color w:val="auto"/>
        </w:rPr>
        <w:t xml:space="preserve">disadvantage to women teachers who have taken a break from teaching to give birth and/or to care for their children. </w:t>
      </w:r>
    </w:p>
    <w:p w14:paraId="1927D101" w14:textId="77777777" w:rsidR="00185902" w:rsidRPr="00705394" w:rsidRDefault="00185902" w:rsidP="001E1BBC">
      <w:pPr>
        <w:spacing w:after="0"/>
        <w:jc w:val="both"/>
      </w:pPr>
      <w:r w:rsidRPr="00705394">
        <w:br/>
        <w:t>Paragraph 6.1</w:t>
      </w:r>
      <w:r w:rsidR="00281BEA" w:rsidRPr="00705394">
        <w:t>8</w:t>
      </w:r>
      <w:r w:rsidRPr="00705394">
        <w:t xml:space="preserve"> – Leadership and Leading Practitioner Appointments</w:t>
      </w:r>
    </w:p>
    <w:p w14:paraId="2789CA70" w14:textId="77777777" w:rsidR="007E4100" w:rsidRPr="00705394" w:rsidRDefault="007E4100" w:rsidP="001E1BBC">
      <w:pPr>
        <w:spacing w:after="0"/>
        <w:jc w:val="both"/>
      </w:pPr>
    </w:p>
    <w:p w14:paraId="6C27F191" w14:textId="257CBFD3" w:rsidR="00185902" w:rsidRPr="00705394" w:rsidRDefault="00185902" w:rsidP="001E1BBC">
      <w:pPr>
        <w:spacing w:after="0"/>
        <w:jc w:val="both"/>
        <w:rPr>
          <w:u w:val="none"/>
        </w:rPr>
      </w:pPr>
      <w:r w:rsidRPr="00705394">
        <w:rPr>
          <w:u w:val="none"/>
        </w:rPr>
        <w:t xml:space="preserve">All </w:t>
      </w:r>
      <w:r w:rsidR="00522071" w:rsidRPr="00705394">
        <w:rPr>
          <w:u w:val="none"/>
        </w:rPr>
        <w:t xml:space="preserve">leadership </w:t>
      </w:r>
      <w:r w:rsidRPr="00705394">
        <w:rPr>
          <w:u w:val="none"/>
        </w:rPr>
        <w:t xml:space="preserve">appointments should normally be made to the minimum point of the appropriate </w:t>
      </w:r>
      <w:r w:rsidR="00703E41" w:rsidRPr="00705394">
        <w:rPr>
          <w:u w:val="none"/>
        </w:rPr>
        <w:t xml:space="preserve">5 point </w:t>
      </w:r>
      <w:r w:rsidRPr="00705394">
        <w:rPr>
          <w:u w:val="none"/>
        </w:rPr>
        <w:t xml:space="preserve">pay range, except for in exceptional circumstances. </w:t>
      </w:r>
      <w:r w:rsidR="00281BEA" w:rsidRPr="00705394">
        <w:rPr>
          <w:u w:val="none"/>
        </w:rPr>
        <w:t xml:space="preserve"> </w:t>
      </w:r>
      <w:r w:rsidRPr="00705394">
        <w:rPr>
          <w:u w:val="none"/>
        </w:rPr>
        <w:t xml:space="preserve">The STPCD no longer stipulates that the starting salary should be no more than 3 points above the minimum (4 points in the case of a headteacher) but does stipulate that there must be scope for pay </w:t>
      </w:r>
      <w:r w:rsidRPr="00705394">
        <w:rPr>
          <w:u w:val="none"/>
        </w:rPr>
        <w:lastRenderedPageBreak/>
        <w:t>progression over time</w:t>
      </w:r>
      <w:r w:rsidR="004F30E1" w:rsidRPr="00705394">
        <w:rPr>
          <w:u w:val="none"/>
        </w:rPr>
        <w:t>.</w:t>
      </w:r>
      <w:r w:rsidR="00281BEA" w:rsidRPr="00705394">
        <w:rPr>
          <w:u w:val="none"/>
        </w:rPr>
        <w:t xml:space="preserve"> </w:t>
      </w:r>
      <w:r w:rsidRPr="00705394">
        <w:rPr>
          <w:u w:val="none"/>
        </w:rPr>
        <w:t xml:space="preserve">The number and pay range for all posts paid on the leadership range should be set out in the school structure plan. </w:t>
      </w:r>
    </w:p>
    <w:p w14:paraId="536B416F" w14:textId="77777777" w:rsidR="00897A11" w:rsidRPr="00705394" w:rsidRDefault="00897A11" w:rsidP="001E1BBC">
      <w:pPr>
        <w:spacing w:after="0"/>
        <w:jc w:val="both"/>
      </w:pPr>
    </w:p>
    <w:p w14:paraId="54BA1F9B" w14:textId="7F5CB3B5" w:rsidR="00185902" w:rsidRPr="00705394" w:rsidRDefault="003376D3" w:rsidP="001E1BBC">
      <w:pPr>
        <w:spacing w:after="0"/>
        <w:jc w:val="both"/>
      </w:pPr>
      <w:r w:rsidRPr="00705394">
        <w:t>Paragraph 6.</w:t>
      </w:r>
      <w:r w:rsidR="00952EDE" w:rsidRPr="00705394">
        <w:t>19</w:t>
      </w:r>
      <w:r w:rsidR="00185902" w:rsidRPr="00705394">
        <w:t xml:space="preserve"> – MPR and UPR Appointments</w:t>
      </w:r>
    </w:p>
    <w:p w14:paraId="035B66D0" w14:textId="77777777" w:rsidR="007E4100" w:rsidRPr="00705394" w:rsidRDefault="007E4100" w:rsidP="001E1BBC">
      <w:pPr>
        <w:spacing w:after="0"/>
        <w:jc w:val="both"/>
      </w:pPr>
    </w:p>
    <w:p w14:paraId="6483E372" w14:textId="6EAEE8F8" w:rsidR="00185902" w:rsidRPr="00705394" w:rsidRDefault="00185902" w:rsidP="001E1BBC">
      <w:pPr>
        <w:spacing w:after="0"/>
        <w:jc w:val="both"/>
        <w:rPr>
          <w:u w:val="none"/>
        </w:rPr>
      </w:pPr>
      <w:r w:rsidRPr="00705394">
        <w:rPr>
          <w:u w:val="none"/>
        </w:rPr>
        <w:t xml:space="preserve">The STPCD no longer requires </w:t>
      </w:r>
      <w:r w:rsidR="00C06135" w:rsidRPr="00705394">
        <w:rPr>
          <w:u w:val="none"/>
        </w:rPr>
        <w:t xml:space="preserve">pay portability for teachers moving between schools </w:t>
      </w:r>
      <w:r w:rsidR="004F30E1" w:rsidRPr="00705394">
        <w:rPr>
          <w:u w:val="none"/>
        </w:rPr>
        <w:t xml:space="preserve">meaning that since September 2014, </w:t>
      </w:r>
      <w:r w:rsidR="00C06135" w:rsidRPr="00705394">
        <w:rPr>
          <w:u w:val="none"/>
        </w:rPr>
        <w:t xml:space="preserve">a </w:t>
      </w:r>
      <w:r w:rsidRPr="00705394">
        <w:rPr>
          <w:u w:val="none"/>
        </w:rPr>
        <w:t xml:space="preserve">governing body </w:t>
      </w:r>
      <w:r w:rsidR="004F30E1" w:rsidRPr="00705394">
        <w:rPr>
          <w:u w:val="none"/>
        </w:rPr>
        <w:t xml:space="preserve">is no longer required </w:t>
      </w:r>
      <w:r w:rsidRPr="00705394">
        <w:rPr>
          <w:u w:val="none"/>
        </w:rPr>
        <w:t xml:space="preserve">to </w:t>
      </w:r>
      <w:r w:rsidR="00C06135" w:rsidRPr="00705394">
        <w:rPr>
          <w:u w:val="none"/>
        </w:rPr>
        <w:t xml:space="preserve">appoint </w:t>
      </w:r>
      <w:r w:rsidRPr="00705394">
        <w:rPr>
          <w:u w:val="none"/>
        </w:rPr>
        <w:t>a new teacher</w:t>
      </w:r>
      <w:r w:rsidR="00764807" w:rsidRPr="00705394">
        <w:rPr>
          <w:u w:val="none"/>
        </w:rPr>
        <w:t xml:space="preserve"> </w:t>
      </w:r>
      <w:r w:rsidRPr="00705394">
        <w:rPr>
          <w:u w:val="none"/>
        </w:rPr>
        <w:t>in accordance with their previous salary</w:t>
      </w:r>
      <w:r w:rsidR="00F750FE" w:rsidRPr="00705394">
        <w:rPr>
          <w:u w:val="none"/>
        </w:rPr>
        <w:t xml:space="preserve"> paid by another school</w:t>
      </w:r>
      <w:r w:rsidRPr="00705394">
        <w:rPr>
          <w:u w:val="none"/>
        </w:rPr>
        <w:t xml:space="preserve">. </w:t>
      </w:r>
      <w:r w:rsidR="00281BEA" w:rsidRPr="00705394">
        <w:rPr>
          <w:u w:val="none"/>
        </w:rPr>
        <w:t xml:space="preserve"> </w:t>
      </w:r>
      <w:r w:rsidR="00764807" w:rsidRPr="00705394">
        <w:rPr>
          <w:u w:val="none"/>
        </w:rPr>
        <w:t xml:space="preserve">Schools can, if they wish, </w:t>
      </w:r>
      <w:r w:rsidR="009E590E" w:rsidRPr="00705394">
        <w:rPr>
          <w:u w:val="none"/>
        </w:rPr>
        <w:t>consider</w:t>
      </w:r>
      <w:r w:rsidR="00764807" w:rsidRPr="00705394">
        <w:rPr>
          <w:u w:val="none"/>
        </w:rPr>
        <w:t xml:space="preserve"> the current salary of the teacher in determining pay so long as it is within the advertised pay band.  Schools may, therefore, receive advance calls from prospective candidates for clarification on this matter.</w:t>
      </w:r>
      <w:r w:rsidR="00C7203E" w:rsidRPr="00705394">
        <w:rPr>
          <w:u w:val="none"/>
        </w:rPr>
        <w:t xml:space="preserve"> Governors may also want to </w:t>
      </w:r>
      <w:r w:rsidR="00374AE7" w:rsidRPr="00705394">
        <w:rPr>
          <w:u w:val="none"/>
        </w:rPr>
        <w:t>consider</w:t>
      </w:r>
      <w:r w:rsidR="00C7203E" w:rsidRPr="00705394">
        <w:rPr>
          <w:u w:val="none"/>
        </w:rPr>
        <w:t xml:space="preserve"> the school</w:t>
      </w:r>
      <w:r w:rsidR="00374AE7" w:rsidRPr="00705394">
        <w:rPr>
          <w:u w:val="none"/>
        </w:rPr>
        <w:t>’</w:t>
      </w:r>
      <w:r w:rsidR="00C7203E" w:rsidRPr="00705394">
        <w:rPr>
          <w:u w:val="none"/>
        </w:rPr>
        <w:t xml:space="preserve">s overall budget, the nature of the post required, the level of skill and experience required and the wider school context. There is no assumption that the teacher will be paid the same as they were in the previous school. </w:t>
      </w:r>
    </w:p>
    <w:p w14:paraId="32B97ADC" w14:textId="77777777" w:rsidR="007E4100" w:rsidRPr="00705394" w:rsidRDefault="007E4100" w:rsidP="00396DA7">
      <w:pPr>
        <w:spacing w:after="0"/>
        <w:ind w:left="284"/>
        <w:jc w:val="both"/>
        <w:rPr>
          <w:u w:val="none"/>
        </w:rPr>
      </w:pPr>
    </w:p>
    <w:p w14:paraId="10AB19B9" w14:textId="530CB06D" w:rsidR="00185902" w:rsidRPr="00705394" w:rsidRDefault="00185902" w:rsidP="001E1BBC">
      <w:pPr>
        <w:spacing w:after="0"/>
        <w:jc w:val="both"/>
        <w:rPr>
          <w:u w:val="none"/>
        </w:rPr>
      </w:pPr>
      <w:r w:rsidRPr="00705394">
        <w:rPr>
          <w:u w:val="none"/>
        </w:rPr>
        <w:t xml:space="preserve">Where a post has been advertised at a particular pay band (see Pay Policy </w:t>
      </w:r>
      <w:r w:rsidR="00A03869" w:rsidRPr="00705394">
        <w:rPr>
          <w:u w:val="none"/>
        </w:rPr>
        <w:t xml:space="preserve">Toolkit </w:t>
      </w:r>
      <w:r w:rsidRPr="00705394">
        <w:rPr>
          <w:u w:val="none"/>
        </w:rPr>
        <w:t xml:space="preserve">Appendix 4) it is anticipated that appointment will be made to the minimum point of that </w:t>
      </w:r>
      <w:r w:rsidR="00165BF6">
        <w:rPr>
          <w:u w:val="none"/>
        </w:rPr>
        <w:t xml:space="preserve">pay </w:t>
      </w:r>
      <w:r w:rsidRPr="00705394">
        <w:rPr>
          <w:u w:val="none"/>
        </w:rPr>
        <w:t xml:space="preserve">band.  Where the successful candidate is already on the minimum point of the band or above, discretion can be applied to appoint to a higher point in the band.  For </w:t>
      </w:r>
      <w:r w:rsidR="009E590E" w:rsidRPr="00705394">
        <w:rPr>
          <w:u w:val="none"/>
        </w:rPr>
        <w:t>example,</w:t>
      </w:r>
      <w:r w:rsidRPr="00705394">
        <w:rPr>
          <w:u w:val="none"/>
        </w:rPr>
        <w:t xml:space="preserve"> a UPR teacher applying for a band C post could be appointed on point 6</w:t>
      </w:r>
      <w:r w:rsidR="004F30E1" w:rsidRPr="00705394">
        <w:rPr>
          <w:u w:val="none"/>
        </w:rPr>
        <w:t xml:space="preserve"> (the maximum of the MPR)</w:t>
      </w:r>
      <w:r w:rsidR="00B450A5" w:rsidRPr="00705394">
        <w:rPr>
          <w:u w:val="none"/>
        </w:rPr>
        <w:t>, depending on the salary structure agreed by the governing body</w:t>
      </w:r>
      <w:r w:rsidRPr="00705394">
        <w:rPr>
          <w:u w:val="none"/>
        </w:rPr>
        <w:t xml:space="preserve">. </w:t>
      </w:r>
    </w:p>
    <w:p w14:paraId="0F0692D8" w14:textId="77777777" w:rsidR="008569E9" w:rsidRPr="00705394" w:rsidRDefault="008569E9" w:rsidP="001E1BBC">
      <w:pPr>
        <w:spacing w:after="0"/>
        <w:jc w:val="both"/>
      </w:pPr>
    </w:p>
    <w:p w14:paraId="0A3C2AA2" w14:textId="77777777" w:rsidR="00185902" w:rsidRPr="00705394" w:rsidRDefault="00185902" w:rsidP="001E1BBC">
      <w:pPr>
        <w:spacing w:after="0"/>
        <w:jc w:val="both"/>
      </w:pPr>
      <w:r w:rsidRPr="00705394">
        <w:t>Paragraphs 6.</w:t>
      </w:r>
      <w:r w:rsidR="003376D3" w:rsidRPr="00705394">
        <w:t>21</w:t>
      </w:r>
      <w:r w:rsidRPr="00705394">
        <w:t xml:space="preserve"> to 6.</w:t>
      </w:r>
      <w:r w:rsidR="003376D3" w:rsidRPr="00705394">
        <w:t>22</w:t>
      </w:r>
      <w:r w:rsidRPr="00705394">
        <w:t xml:space="preserve"> – Recruitment and Retention Payments Teachers</w:t>
      </w:r>
      <w:r w:rsidR="00E06AF8" w:rsidRPr="00705394">
        <w:t xml:space="preserve"> Only</w:t>
      </w:r>
      <w:r w:rsidRPr="00705394">
        <w:t xml:space="preserve"> </w:t>
      </w:r>
    </w:p>
    <w:p w14:paraId="413C4B3D" w14:textId="77777777" w:rsidR="007E4100" w:rsidRPr="00705394" w:rsidRDefault="007E4100" w:rsidP="001E1BBC">
      <w:pPr>
        <w:spacing w:after="0"/>
        <w:jc w:val="both"/>
      </w:pPr>
    </w:p>
    <w:p w14:paraId="411F3A74" w14:textId="2F05E63A" w:rsidR="00185902" w:rsidRPr="00705394" w:rsidRDefault="004F30E1" w:rsidP="001E1BBC">
      <w:pPr>
        <w:spacing w:after="0"/>
        <w:jc w:val="both"/>
        <w:rPr>
          <w:u w:val="none"/>
        </w:rPr>
      </w:pPr>
      <w:r w:rsidRPr="00705394">
        <w:rPr>
          <w:u w:val="none"/>
        </w:rPr>
        <w:t>R</w:t>
      </w:r>
      <w:r w:rsidR="00185902" w:rsidRPr="00705394">
        <w:rPr>
          <w:u w:val="none"/>
        </w:rPr>
        <w:t xml:space="preserve">ecruitment and retention </w:t>
      </w:r>
      <w:r w:rsidRPr="00705394">
        <w:rPr>
          <w:u w:val="none"/>
        </w:rPr>
        <w:t xml:space="preserve">payments </w:t>
      </w:r>
      <w:r w:rsidR="00185902" w:rsidRPr="00705394">
        <w:rPr>
          <w:u w:val="none"/>
        </w:rPr>
        <w:t xml:space="preserve">may only be made for these purposes and not for carrying out </w:t>
      </w:r>
      <w:r w:rsidRPr="00705394">
        <w:rPr>
          <w:u w:val="none"/>
        </w:rPr>
        <w:t xml:space="preserve">other </w:t>
      </w:r>
      <w:r w:rsidR="00185902" w:rsidRPr="00705394">
        <w:rPr>
          <w:u w:val="none"/>
        </w:rPr>
        <w:t>specific responsibilities or to supplement pay</w:t>
      </w:r>
      <w:r w:rsidRPr="00705394">
        <w:rPr>
          <w:u w:val="none"/>
        </w:rPr>
        <w:t xml:space="preserve">. </w:t>
      </w:r>
      <w:r w:rsidR="00281BEA" w:rsidRPr="00705394">
        <w:rPr>
          <w:u w:val="none"/>
        </w:rPr>
        <w:t xml:space="preserve"> </w:t>
      </w:r>
      <w:r w:rsidRPr="00705394">
        <w:rPr>
          <w:u w:val="none"/>
        </w:rPr>
        <w:t xml:space="preserve">They may only be paid </w:t>
      </w:r>
      <w:r w:rsidR="00185902" w:rsidRPr="00705394">
        <w:rPr>
          <w:u w:val="none"/>
        </w:rPr>
        <w:t>for a fixed period</w:t>
      </w:r>
      <w:r w:rsidR="00AE0A5D" w:rsidRPr="00705394">
        <w:rPr>
          <w:u w:val="none"/>
        </w:rPr>
        <w:t xml:space="preserve">. </w:t>
      </w:r>
      <w:r w:rsidR="00281BEA" w:rsidRPr="00705394">
        <w:rPr>
          <w:u w:val="none"/>
        </w:rPr>
        <w:t xml:space="preserve"> </w:t>
      </w:r>
      <w:r w:rsidR="00185902" w:rsidRPr="00705394">
        <w:rPr>
          <w:u w:val="none"/>
        </w:rPr>
        <w:t xml:space="preserve">Where a teacher is </w:t>
      </w:r>
      <w:r w:rsidR="00AE0A5D" w:rsidRPr="00705394">
        <w:rPr>
          <w:u w:val="none"/>
        </w:rPr>
        <w:t xml:space="preserve">awarded a </w:t>
      </w:r>
      <w:r w:rsidR="007E4100" w:rsidRPr="00705394">
        <w:rPr>
          <w:u w:val="none"/>
        </w:rPr>
        <w:t>recruitment</w:t>
      </w:r>
      <w:r w:rsidR="00185902" w:rsidRPr="00705394">
        <w:rPr>
          <w:u w:val="none"/>
        </w:rPr>
        <w:t xml:space="preserve"> and retention payment or benefit</w:t>
      </w:r>
      <w:r w:rsidR="00AE0A5D" w:rsidRPr="00705394">
        <w:rPr>
          <w:u w:val="none"/>
        </w:rPr>
        <w:t xml:space="preserve">, </w:t>
      </w:r>
      <w:r w:rsidR="00185902" w:rsidRPr="00705394">
        <w:rPr>
          <w:u w:val="none"/>
        </w:rPr>
        <w:t xml:space="preserve">the school must provide written notification to set out </w:t>
      </w:r>
      <w:r w:rsidR="007E4100" w:rsidRPr="00705394">
        <w:rPr>
          <w:u w:val="none"/>
        </w:rPr>
        <w:t>stat</w:t>
      </w:r>
      <w:r w:rsidR="00AE0A5D" w:rsidRPr="00705394">
        <w:rPr>
          <w:u w:val="none"/>
        </w:rPr>
        <w:t>ing</w:t>
      </w:r>
      <w:r w:rsidR="00B054D5" w:rsidRPr="00705394">
        <w:rPr>
          <w:u w:val="none"/>
        </w:rPr>
        <w:t>:</w:t>
      </w:r>
    </w:p>
    <w:p w14:paraId="66123F11" w14:textId="77777777" w:rsidR="007E4100" w:rsidRPr="00705394" w:rsidRDefault="007E4100" w:rsidP="00396DA7">
      <w:pPr>
        <w:spacing w:after="0"/>
        <w:ind w:left="284"/>
        <w:jc w:val="both"/>
        <w:rPr>
          <w:u w:val="none"/>
        </w:rPr>
      </w:pPr>
    </w:p>
    <w:p w14:paraId="650A6197" w14:textId="492959DC" w:rsidR="00185902" w:rsidRPr="00705394" w:rsidRDefault="00185902" w:rsidP="00B42818">
      <w:pPr>
        <w:widowControl w:val="0"/>
        <w:numPr>
          <w:ilvl w:val="0"/>
          <w:numId w:val="21"/>
        </w:numPr>
        <w:overflowPunct w:val="0"/>
        <w:autoSpaceDE w:val="0"/>
        <w:autoSpaceDN w:val="0"/>
        <w:adjustRightInd w:val="0"/>
        <w:spacing w:after="0"/>
        <w:jc w:val="both"/>
        <w:textAlignment w:val="baseline"/>
        <w:rPr>
          <w:u w:val="none"/>
        </w:rPr>
      </w:pPr>
      <w:r w:rsidRPr="00705394">
        <w:rPr>
          <w:u w:val="none"/>
        </w:rPr>
        <w:t>Whether the award is for recruitment or retention</w:t>
      </w:r>
    </w:p>
    <w:p w14:paraId="5A4EC5B4" w14:textId="77777777" w:rsidR="00185902" w:rsidRPr="00705394" w:rsidRDefault="00185902" w:rsidP="00B42818">
      <w:pPr>
        <w:widowControl w:val="0"/>
        <w:numPr>
          <w:ilvl w:val="0"/>
          <w:numId w:val="21"/>
        </w:numPr>
        <w:overflowPunct w:val="0"/>
        <w:autoSpaceDE w:val="0"/>
        <w:autoSpaceDN w:val="0"/>
        <w:adjustRightInd w:val="0"/>
        <w:spacing w:after="0"/>
        <w:jc w:val="both"/>
        <w:textAlignment w:val="baseline"/>
        <w:rPr>
          <w:u w:val="none"/>
        </w:rPr>
      </w:pPr>
      <w:r w:rsidRPr="00705394">
        <w:rPr>
          <w:u w:val="none"/>
        </w:rPr>
        <w:t>The nature of the award (cash sums, travel or housing costs etc.</w:t>
      </w:r>
      <w:proofErr w:type="gramStart"/>
      <w:r w:rsidRPr="00705394">
        <w:rPr>
          <w:u w:val="none"/>
        </w:rPr>
        <w:t>);</w:t>
      </w:r>
      <w:proofErr w:type="gramEnd"/>
    </w:p>
    <w:p w14:paraId="1B038128" w14:textId="77777777" w:rsidR="00185902" w:rsidRPr="00705394" w:rsidRDefault="00185902" w:rsidP="00B42818">
      <w:pPr>
        <w:widowControl w:val="0"/>
        <w:numPr>
          <w:ilvl w:val="0"/>
          <w:numId w:val="21"/>
        </w:numPr>
        <w:overflowPunct w:val="0"/>
        <w:autoSpaceDE w:val="0"/>
        <w:autoSpaceDN w:val="0"/>
        <w:adjustRightInd w:val="0"/>
        <w:spacing w:after="0"/>
        <w:jc w:val="both"/>
        <w:textAlignment w:val="baseline"/>
        <w:rPr>
          <w:u w:val="none"/>
        </w:rPr>
      </w:pPr>
      <w:r w:rsidRPr="00705394">
        <w:rPr>
          <w:u w:val="none"/>
        </w:rPr>
        <w:t>When/how it will be paid (as applicable</w:t>
      </w:r>
      <w:proofErr w:type="gramStart"/>
      <w:r w:rsidRPr="00705394">
        <w:rPr>
          <w:u w:val="none"/>
        </w:rPr>
        <w:t>);</w:t>
      </w:r>
      <w:proofErr w:type="gramEnd"/>
    </w:p>
    <w:p w14:paraId="707E8B2F" w14:textId="6CBB8B39" w:rsidR="00185902" w:rsidRPr="00705394" w:rsidRDefault="00185902" w:rsidP="00B42818">
      <w:pPr>
        <w:widowControl w:val="0"/>
        <w:numPr>
          <w:ilvl w:val="0"/>
          <w:numId w:val="21"/>
        </w:numPr>
        <w:overflowPunct w:val="0"/>
        <w:autoSpaceDE w:val="0"/>
        <w:autoSpaceDN w:val="0"/>
        <w:adjustRightInd w:val="0"/>
        <w:spacing w:after="0"/>
        <w:jc w:val="both"/>
        <w:textAlignment w:val="baseline"/>
        <w:rPr>
          <w:u w:val="none"/>
        </w:rPr>
      </w:pPr>
      <w:r w:rsidRPr="00705394">
        <w:rPr>
          <w:u w:val="none"/>
        </w:rPr>
        <w:t>Unless it is a ‘one-off’ award, the start date and expected duration of the incentive</w:t>
      </w:r>
    </w:p>
    <w:p w14:paraId="41AE77FF" w14:textId="77777777" w:rsidR="00185902" w:rsidRPr="00705394" w:rsidRDefault="00185902" w:rsidP="00B42818">
      <w:pPr>
        <w:widowControl w:val="0"/>
        <w:numPr>
          <w:ilvl w:val="0"/>
          <w:numId w:val="21"/>
        </w:numPr>
        <w:overflowPunct w:val="0"/>
        <w:autoSpaceDE w:val="0"/>
        <w:autoSpaceDN w:val="0"/>
        <w:adjustRightInd w:val="0"/>
        <w:spacing w:after="0"/>
        <w:jc w:val="both"/>
        <w:textAlignment w:val="baseline"/>
        <w:rPr>
          <w:u w:val="none"/>
        </w:rPr>
      </w:pPr>
      <w:r w:rsidRPr="00705394">
        <w:rPr>
          <w:u w:val="none"/>
        </w:rPr>
        <w:t>The review date after which it may be withdrawn; and</w:t>
      </w:r>
    </w:p>
    <w:p w14:paraId="5D3E3718" w14:textId="77777777" w:rsidR="00185902" w:rsidRPr="00705394" w:rsidRDefault="00185902" w:rsidP="00B42818">
      <w:pPr>
        <w:widowControl w:val="0"/>
        <w:numPr>
          <w:ilvl w:val="0"/>
          <w:numId w:val="21"/>
        </w:numPr>
        <w:overflowPunct w:val="0"/>
        <w:autoSpaceDE w:val="0"/>
        <w:autoSpaceDN w:val="0"/>
        <w:adjustRightInd w:val="0"/>
        <w:spacing w:after="0"/>
        <w:jc w:val="both"/>
        <w:textAlignment w:val="baseline"/>
        <w:rPr>
          <w:u w:val="none"/>
        </w:rPr>
      </w:pPr>
      <w:r w:rsidRPr="00705394">
        <w:rPr>
          <w:u w:val="none"/>
        </w:rPr>
        <w:t>The basis for any uplifts which will be applied (</w:t>
      </w:r>
      <w:r w:rsidR="00AE0A5D" w:rsidRPr="00705394">
        <w:rPr>
          <w:u w:val="none"/>
        </w:rPr>
        <w:t>if</w:t>
      </w:r>
      <w:r w:rsidRPr="00705394">
        <w:rPr>
          <w:u w:val="none"/>
        </w:rPr>
        <w:t xml:space="preserve"> applicable).</w:t>
      </w:r>
    </w:p>
    <w:p w14:paraId="36D47C2B" w14:textId="77777777" w:rsidR="00185902" w:rsidRPr="00705394" w:rsidRDefault="00764807" w:rsidP="001E1BBC">
      <w:pPr>
        <w:spacing w:after="0"/>
        <w:jc w:val="both"/>
      </w:pPr>
      <w:r w:rsidRPr="00705394">
        <w:br/>
      </w:r>
      <w:r w:rsidR="003376D3" w:rsidRPr="00705394">
        <w:t>Paragraph 6.23 –</w:t>
      </w:r>
      <w:r w:rsidR="00185902" w:rsidRPr="00705394">
        <w:t xml:space="preserve"> Recruitment </w:t>
      </w:r>
      <w:r w:rsidR="007E4100" w:rsidRPr="00705394">
        <w:t>and Retention P</w:t>
      </w:r>
      <w:r w:rsidR="00185902" w:rsidRPr="00705394">
        <w:t xml:space="preserve">ayments - General </w:t>
      </w:r>
    </w:p>
    <w:p w14:paraId="10AC5F68" w14:textId="77777777" w:rsidR="007E4100" w:rsidRPr="00705394" w:rsidRDefault="007E4100" w:rsidP="001E1BBC">
      <w:pPr>
        <w:spacing w:after="0"/>
        <w:jc w:val="both"/>
      </w:pPr>
    </w:p>
    <w:p w14:paraId="3FD4CDD5" w14:textId="65023887" w:rsidR="00185902" w:rsidRPr="00705394" w:rsidRDefault="00185902" w:rsidP="001E1BBC">
      <w:pPr>
        <w:spacing w:after="0"/>
        <w:jc w:val="both"/>
        <w:rPr>
          <w:u w:val="none"/>
        </w:rPr>
      </w:pPr>
      <w:r w:rsidRPr="00705394">
        <w:rPr>
          <w:u w:val="none"/>
        </w:rPr>
        <w:t xml:space="preserve">There is no set amount in the </w:t>
      </w:r>
      <w:r w:rsidR="009E590E" w:rsidRPr="00705394">
        <w:rPr>
          <w:u w:val="none"/>
        </w:rPr>
        <w:t>STPCD,</w:t>
      </w:r>
      <w:r w:rsidRPr="00705394">
        <w:rPr>
          <w:u w:val="none"/>
        </w:rPr>
        <w:t xml:space="preserve"> and the governing body must determine whether they are going to pay these allowances and, if so, the value, including any non- monetary benefits for which a notional monetary value should be given.</w:t>
      </w:r>
      <w:r w:rsidR="00C06135" w:rsidRPr="00705394">
        <w:rPr>
          <w:u w:val="none"/>
        </w:rPr>
        <w:t xml:space="preserve"> </w:t>
      </w:r>
      <w:r w:rsidR="00281BEA" w:rsidRPr="00705394">
        <w:rPr>
          <w:u w:val="none"/>
        </w:rPr>
        <w:t xml:space="preserve"> </w:t>
      </w:r>
      <w:r w:rsidR="005C1759" w:rsidRPr="00705394">
        <w:rPr>
          <w:u w:val="none"/>
        </w:rPr>
        <w:t xml:space="preserve">They may only be paid as an additional allowance to a classroom teacher. </w:t>
      </w:r>
      <w:r w:rsidR="00281BEA" w:rsidRPr="00705394">
        <w:rPr>
          <w:u w:val="none"/>
        </w:rPr>
        <w:t xml:space="preserve"> </w:t>
      </w:r>
      <w:r w:rsidR="005C1759" w:rsidRPr="00705394">
        <w:rPr>
          <w:u w:val="none"/>
        </w:rPr>
        <w:t xml:space="preserve">For a </w:t>
      </w:r>
      <w:r w:rsidR="006E6B3C" w:rsidRPr="00705394">
        <w:rPr>
          <w:u w:val="none"/>
        </w:rPr>
        <w:t xml:space="preserve">headteacher or </w:t>
      </w:r>
      <w:r w:rsidR="005C1759" w:rsidRPr="00705394">
        <w:rPr>
          <w:u w:val="none"/>
        </w:rPr>
        <w:t xml:space="preserve">member of the leadership team paid on the LPR this allowance must form part of the IPR calculation. </w:t>
      </w:r>
      <w:r w:rsidR="00281BEA" w:rsidRPr="00705394">
        <w:rPr>
          <w:u w:val="none"/>
        </w:rPr>
        <w:t xml:space="preserve"> </w:t>
      </w:r>
      <w:r w:rsidR="00C06135" w:rsidRPr="00705394">
        <w:rPr>
          <w:u w:val="none"/>
        </w:rPr>
        <w:t>There are significant restrictions on the payment of these allowances and advice should be sought</w:t>
      </w:r>
      <w:r w:rsidR="007E4100" w:rsidRPr="00705394">
        <w:rPr>
          <w:u w:val="none"/>
        </w:rPr>
        <w:t>.</w:t>
      </w:r>
      <w:r w:rsidR="002809EB" w:rsidRPr="00705394">
        <w:rPr>
          <w:u w:val="none"/>
        </w:rPr>
        <w:t xml:space="preserve"> Given the requirement to review employee salaries each year, it is recommended that R and R payments are paid for one year then reviewed and paid for a maximum of three years. </w:t>
      </w:r>
    </w:p>
    <w:p w14:paraId="61E92EEE" w14:textId="77777777" w:rsidR="007E4100" w:rsidRPr="00705394" w:rsidRDefault="007E4100" w:rsidP="00396DA7">
      <w:pPr>
        <w:spacing w:after="0"/>
        <w:ind w:left="284"/>
        <w:jc w:val="both"/>
      </w:pPr>
    </w:p>
    <w:p w14:paraId="0F7BC384" w14:textId="3DC1E266" w:rsidR="0086466D" w:rsidRPr="00705394" w:rsidRDefault="0086466D" w:rsidP="001E1BBC">
      <w:pPr>
        <w:spacing w:after="0"/>
        <w:jc w:val="both"/>
        <w:rPr>
          <w:b/>
          <w:bCs/>
          <w:u w:val="none"/>
        </w:rPr>
      </w:pPr>
      <w:r w:rsidRPr="00705394">
        <w:rPr>
          <w:b/>
          <w:bCs/>
          <w:u w:val="none"/>
        </w:rPr>
        <w:lastRenderedPageBreak/>
        <w:t xml:space="preserve">Working Time Paragraph 7 </w:t>
      </w:r>
    </w:p>
    <w:p w14:paraId="52173E9E" w14:textId="77777777" w:rsidR="0086466D" w:rsidRPr="00705394" w:rsidRDefault="0086466D" w:rsidP="001E1BBC">
      <w:pPr>
        <w:spacing w:after="0"/>
        <w:jc w:val="both"/>
        <w:rPr>
          <w:b/>
          <w:bCs/>
          <w:u w:val="none"/>
        </w:rPr>
      </w:pPr>
    </w:p>
    <w:p w14:paraId="4C6336BA" w14:textId="02A7504F" w:rsidR="0086466D" w:rsidRPr="00705394" w:rsidRDefault="0086466D" w:rsidP="001E1BBC">
      <w:pPr>
        <w:spacing w:after="0"/>
        <w:jc w:val="both"/>
        <w:rPr>
          <w:b/>
          <w:bCs/>
          <w:u w:val="none"/>
        </w:rPr>
      </w:pPr>
      <w:r w:rsidRPr="00705394">
        <w:rPr>
          <w:u w:val="none"/>
        </w:rPr>
        <w:t>The requirement for classroom teachers to work a maximum of 1265 hours (195 days pa) does not apply to teachers paid on the leadership range. As such, Head</w:t>
      </w:r>
      <w:r w:rsidR="00952EDE" w:rsidRPr="00705394">
        <w:rPr>
          <w:u w:val="none"/>
        </w:rPr>
        <w:t>t</w:t>
      </w:r>
      <w:r w:rsidRPr="00705394">
        <w:rPr>
          <w:u w:val="none"/>
        </w:rPr>
        <w:t>eachers, Deputy Head</w:t>
      </w:r>
      <w:r w:rsidR="00952EDE" w:rsidRPr="00705394">
        <w:rPr>
          <w:u w:val="none"/>
        </w:rPr>
        <w:t>t</w:t>
      </w:r>
      <w:r w:rsidRPr="00705394">
        <w:rPr>
          <w:u w:val="none"/>
        </w:rPr>
        <w:t>eachers, Assistant Head</w:t>
      </w:r>
      <w:r w:rsidR="00952EDE" w:rsidRPr="00705394">
        <w:rPr>
          <w:u w:val="none"/>
        </w:rPr>
        <w:t>t</w:t>
      </w:r>
      <w:r w:rsidRPr="00705394">
        <w:rPr>
          <w:u w:val="none"/>
        </w:rPr>
        <w:t xml:space="preserve">eachers or those paid on the Leading Practitioners Range   may be required to attend their workplace during school closure periods, such as the school holidays. Any such requests should be reasonable and the subject of consultation so that any dates and times are mutually convenient and do not impinge on their ability to take time away </w:t>
      </w:r>
      <w:r w:rsidR="00C271E8" w:rsidRPr="00705394">
        <w:rPr>
          <w:u w:val="none"/>
        </w:rPr>
        <w:t xml:space="preserve">during the school holidays </w:t>
      </w:r>
      <w:r w:rsidRPr="00705394">
        <w:rPr>
          <w:u w:val="none"/>
        </w:rPr>
        <w:t xml:space="preserve">or, at the very least, </w:t>
      </w:r>
      <w:r w:rsidR="00C271E8" w:rsidRPr="00705394">
        <w:rPr>
          <w:u w:val="none"/>
        </w:rPr>
        <w:t>to access their</w:t>
      </w:r>
      <w:r w:rsidRPr="00705394">
        <w:rPr>
          <w:u w:val="none"/>
        </w:rPr>
        <w:t> </w:t>
      </w:r>
      <w:hyperlink r:id="rId23" w:tgtFrame="_blank" w:history="1">
        <w:r w:rsidRPr="00705394">
          <w:rPr>
            <w:rStyle w:val="Hyperlink"/>
            <w:color w:val="auto"/>
            <w:u w:val="none"/>
          </w:rPr>
          <w:t>statutory holiday entitlement</w:t>
        </w:r>
      </w:hyperlink>
      <w:r w:rsidRPr="00705394">
        <w:rPr>
          <w:u w:val="none"/>
        </w:rPr>
        <w:t> of 5.6 weeks' paid leave.</w:t>
      </w:r>
    </w:p>
    <w:p w14:paraId="5D9D5C7F" w14:textId="77777777" w:rsidR="001E4DB1" w:rsidRPr="00705394" w:rsidRDefault="001E4DB1" w:rsidP="001E1BBC">
      <w:pPr>
        <w:spacing w:after="0"/>
        <w:jc w:val="both"/>
        <w:rPr>
          <w:b/>
          <w:bCs/>
          <w:u w:val="none"/>
        </w:rPr>
      </w:pPr>
    </w:p>
    <w:p w14:paraId="1FC7C3B0" w14:textId="71F78AF7" w:rsidR="00185902" w:rsidRPr="00705394" w:rsidRDefault="00914694" w:rsidP="001E1BBC">
      <w:pPr>
        <w:spacing w:after="0"/>
        <w:jc w:val="both"/>
        <w:rPr>
          <w:b/>
          <w:bCs/>
          <w:u w:val="none"/>
        </w:rPr>
      </w:pPr>
      <w:r w:rsidRPr="00705394">
        <w:rPr>
          <w:b/>
          <w:bCs/>
          <w:u w:val="none"/>
        </w:rPr>
        <w:t xml:space="preserve">Pay Policy Paragraph 8 - </w:t>
      </w:r>
      <w:r w:rsidR="00185902" w:rsidRPr="00705394">
        <w:rPr>
          <w:b/>
          <w:bCs/>
          <w:u w:val="none"/>
        </w:rPr>
        <w:t xml:space="preserve">Pay Reviews </w:t>
      </w:r>
    </w:p>
    <w:p w14:paraId="4DAB06E3" w14:textId="77777777" w:rsidR="007E4100" w:rsidRPr="00705394" w:rsidRDefault="007E4100" w:rsidP="001E1BBC">
      <w:pPr>
        <w:spacing w:after="0"/>
        <w:jc w:val="both"/>
        <w:rPr>
          <w:b/>
          <w:bCs/>
          <w:u w:val="none"/>
        </w:rPr>
      </w:pPr>
    </w:p>
    <w:p w14:paraId="35340509" w14:textId="74A00461" w:rsidR="00185902" w:rsidRPr="00705394" w:rsidRDefault="00185902" w:rsidP="001E1BBC">
      <w:pPr>
        <w:spacing w:after="0"/>
        <w:jc w:val="both"/>
        <w:rPr>
          <w:u w:val="none"/>
        </w:rPr>
      </w:pPr>
      <w:r w:rsidRPr="00705394">
        <w:rPr>
          <w:u w:val="none"/>
        </w:rPr>
        <w:t xml:space="preserve">The school pay policy is required to set out how all pay decisions are made with sufficient information and clarity for an individual to understand what evidence and other factors will be </w:t>
      </w:r>
      <w:r w:rsidR="009E590E" w:rsidRPr="00705394">
        <w:rPr>
          <w:u w:val="none"/>
        </w:rPr>
        <w:t>considered</w:t>
      </w:r>
      <w:r w:rsidRPr="00705394">
        <w:rPr>
          <w:u w:val="none"/>
        </w:rPr>
        <w:t xml:space="preserve"> when a pay decision is made. </w:t>
      </w:r>
      <w:r w:rsidR="003B5635" w:rsidRPr="00705394">
        <w:rPr>
          <w:u w:val="none"/>
        </w:rPr>
        <w:t xml:space="preserve"> </w:t>
      </w:r>
      <w:r w:rsidR="00F44B99" w:rsidRPr="00705394">
        <w:rPr>
          <w:u w:val="none"/>
        </w:rPr>
        <w:t xml:space="preserve">The governing body and headteacher should always seek to minimise the workload associated with appraisal and pay policies and ensure wherever possible, evidence required is readily available from </w:t>
      </w:r>
      <w:r w:rsidR="009E590E" w:rsidRPr="00705394">
        <w:rPr>
          <w:u w:val="none"/>
        </w:rPr>
        <w:t>day-to-day</w:t>
      </w:r>
      <w:r w:rsidR="00F44B99" w:rsidRPr="00705394">
        <w:rPr>
          <w:u w:val="none"/>
        </w:rPr>
        <w:t xml:space="preserve"> practice</w:t>
      </w:r>
      <w:r w:rsidR="00952EDE" w:rsidRPr="00705394">
        <w:rPr>
          <w:u w:val="none"/>
        </w:rPr>
        <w:t>.</w:t>
      </w:r>
    </w:p>
    <w:p w14:paraId="27B20A8E" w14:textId="77777777" w:rsidR="007E4100" w:rsidRPr="00705394" w:rsidRDefault="007E4100" w:rsidP="001E1BBC">
      <w:pPr>
        <w:spacing w:after="0"/>
        <w:jc w:val="both"/>
        <w:rPr>
          <w:u w:val="none"/>
        </w:rPr>
      </w:pPr>
    </w:p>
    <w:p w14:paraId="744BACB8" w14:textId="2443EF09" w:rsidR="00185902" w:rsidRPr="00705394" w:rsidRDefault="00185902" w:rsidP="001E1BBC">
      <w:pPr>
        <w:spacing w:after="0"/>
        <w:jc w:val="both"/>
      </w:pPr>
      <w:r w:rsidRPr="00705394">
        <w:t>Paragraph 8.</w:t>
      </w:r>
      <w:r w:rsidR="00914694" w:rsidRPr="00705394">
        <w:t>1</w:t>
      </w:r>
      <w:r w:rsidR="00724EB9" w:rsidRPr="00705394">
        <w:t xml:space="preserve"> -</w:t>
      </w:r>
      <w:r w:rsidRPr="00705394">
        <w:t xml:space="preserve"> </w:t>
      </w:r>
      <w:r w:rsidR="00724EB9" w:rsidRPr="00705394">
        <w:t>8.</w:t>
      </w:r>
      <w:r w:rsidR="00914694" w:rsidRPr="00705394">
        <w:t>6</w:t>
      </w:r>
      <w:r w:rsidR="00724EB9" w:rsidRPr="00705394">
        <w:t xml:space="preserve"> </w:t>
      </w:r>
      <w:r w:rsidR="007E4100" w:rsidRPr="00705394">
        <w:t xml:space="preserve">– </w:t>
      </w:r>
      <w:r w:rsidR="00952EDE" w:rsidRPr="00705394">
        <w:t xml:space="preserve">Teacher </w:t>
      </w:r>
      <w:r w:rsidRPr="00705394">
        <w:t>Pay Progression Expectations</w:t>
      </w:r>
    </w:p>
    <w:p w14:paraId="162E0575" w14:textId="77777777" w:rsidR="007E4100" w:rsidRPr="00705394" w:rsidRDefault="007E4100" w:rsidP="00396DA7">
      <w:pPr>
        <w:spacing w:after="0"/>
        <w:ind w:left="284"/>
        <w:jc w:val="both"/>
      </w:pPr>
    </w:p>
    <w:p w14:paraId="7E9421A8" w14:textId="1C765CE7" w:rsidR="007E4100" w:rsidRPr="00705394" w:rsidRDefault="00185902" w:rsidP="001E1BBC">
      <w:pPr>
        <w:spacing w:after="0"/>
        <w:jc w:val="both"/>
        <w:rPr>
          <w:u w:val="none"/>
        </w:rPr>
      </w:pPr>
      <w:r w:rsidRPr="00705394">
        <w:rPr>
          <w:u w:val="none"/>
        </w:rPr>
        <w:t xml:space="preserve">The governing body should expect that </w:t>
      </w:r>
      <w:r w:rsidR="00C271E8" w:rsidRPr="00705394">
        <w:rPr>
          <w:u w:val="none"/>
        </w:rPr>
        <w:t xml:space="preserve">all staff </w:t>
      </w:r>
      <w:r w:rsidRPr="00705394">
        <w:rPr>
          <w:u w:val="none"/>
        </w:rPr>
        <w:t xml:space="preserve">will continue to improve their effectiveness and progress annually to the maximum of the pay range (bi-annually for UPR) and all support staff with continued performance at the required standard will progress to the maximum point of their pay range. </w:t>
      </w:r>
      <w:r w:rsidR="007E4100" w:rsidRPr="00705394">
        <w:rPr>
          <w:u w:val="none"/>
        </w:rPr>
        <w:t xml:space="preserve"> </w:t>
      </w:r>
    </w:p>
    <w:p w14:paraId="13DC272A" w14:textId="77777777" w:rsidR="007E4100" w:rsidRPr="00705394" w:rsidRDefault="007E4100" w:rsidP="001E1BBC">
      <w:pPr>
        <w:spacing w:after="0"/>
        <w:jc w:val="both"/>
        <w:rPr>
          <w:u w:val="none"/>
        </w:rPr>
      </w:pPr>
    </w:p>
    <w:p w14:paraId="7FD736EB" w14:textId="3BB2624C" w:rsidR="00185902" w:rsidRPr="00705394" w:rsidRDefault="00724EB9" w:rsidP="001E1BBC">
      <w:pPr>
        <w:spacing w:after="0"/>
        <w:jc w:val="both"/>
        <w:rPr>
          <w:u w:val="none"/>
        </w:rPr>
      </w:pPr>
      <w:r w:rsidRPr="00705394">
        <w:rPr>
          <w:u w:val="none"/>
        </w:rPr>
        <w:t xml:space="preserve">The 26 weeks reckonable service </w:t>
      </w:r>
      <w:r w:rsidR="00914694" w:rsidRPr="00705394">
        <w:rPr>
          <w:u w:val="none"/>
        </w:rPr>
        <w:t xml:space="preserve">for teachers </w:t>
      </w:r>
      <w:r w:rsidRPr="00705394">
        <w:rPr>
          <w:u w:val="none"/>
        </w:rPr>
        <w:t>referred to in 8.1 is aggregate service in the previous school year and includes holiday periods and periods of absence due</w:t>
      </w:r>
      <w:r w:rsidR="007E4100" w:rsidRPr="00705394">
        <w:rPr>
          <w:u w:val="none"/>
        </w:rPr>
        <w:t xml:space="preserve"> to sickness or maternity leave</w:t>
      </w:r>
      <w:r w:rsidRPr="00705394">
        <w:rPr>
          <w:u w:val="none"/>
        </w:rPr>
        <w:t xml:space="preserve"> (</w:t>
      </w:r>
      <w:r w:rsidR="00914694" w:rsidRPr="00705394">
        <w:rPr>
          <w:u w:val="none"/>
        </w:rPr>
        <w:t xml:space="preserve">See </w:t>
      </w:r>
      <w:r w:rsidR="00B450A5" w:rsidRPr="00705394">
        <w:rPr>
          <w:u w:val="none"/>
        </w:rPr>
        <w:t xml:space="preserve">STPCD </w:t>
      </w:r>
      <w:r w:rsidR="00663E8F" w:rsidRPr="00705394">
        <w:rPr>
          <w:u w:val="none"/>
        </w:rPr>
        <w:t>20</w:t>
      </w:r>
      <w:r w:rsidR="001F7F0C" w:rsidRPr="00705394">
        <w:rPr>
          <w:u w:val="none"/>
        </w:rPr>
        <w:t>24</w:t>
      </w:r>
      <w:r w:rsidR="00663E8F" w:rsidRPr="00705394">
        <w:rPr>
          <w:u w:val="none"/>
        </w:rPr>
        <w:t xml:space="preserve"> </w:t>
      </w:r>
      <w:r w:rsidRPr="00705394">
        <w:rPr>
          <w:u w:val="none"/>
        </w:rPr>
        <w:t xml:space="preserve">page </w:t>
      </w:r>
      <w:r w:rsidR="008E6C75" w:rsidRPr="00705394">
        <w:rPr>
          <w:u w:val="none"/>
        </w:rPr>
        <w:t>6</w:t>
      </w:r>
      <w:r w:rsidR="001F7F0C" w:rsidRPr="00705394">
        <w:rPr>
          <w:u w:val="none"/>
        </w:rPr>
        <w:t>2</w:t>
      </w:r>
      <w:r w:rsidR="008E6C75" w:rsidRPr="00705394">
        <w:rPr>
          <w:u w:val="none"/>
        </w:rPr>
        <w:t xml:space="preserve">, point </w:t>
      </w:r>
      <w:r w:rsidR="001F7F0C" w:rsidRPr="00705394">
        <w:rPr>
          <w:u w:val="none"/>
        </w:rPr>
        <w:t>7</w:t>
      </w:r>
      <w:r w:rsidR="008E6C75" w:rsidRPr="00705394">
        <w:rPr>
          <w:u w:val="none"/>
        </w:rPr>
        <w:t>)</w:t>
      </w:r>
      <w:r w:rsidRPr="00705394">
        <w:rPr>
          <w:u w:val="none"/>
        </w:rPr>
        <w:t xml:space="preserve">. </w:t>
      </w:r>
      <w:r w:rsidR="007E4100" w:rsidRPr="00705394">
        <w:rPr>
          <w:u w:val="none"/>
        </w:rPr>
        <w:t xml:space="preserve"> </w:t>
      </w:r>
      <w:r w:rsidRPr="00705394">
        <w:rPr>
          <w:u w:val="none"/>
        </w:rPr>
        <w:t>All pay decisions should be made as quickly as reasonably possible</w:t>
      </w:r>
      <w:r w:rsidR="007E4100" w:rsidRPr="00705394">
        <w:rPr>
          <w:u w:val="none"/>
        </w:rPr>
        <w:t xml:space="preserve"> </w:t>
      </w:r>
      <w:r w:rsidRPr="00705394">
        <w:rPr>
          <w:u w:val="none"/>
        </w:rPr>
        <w:t xml:space="preserve">- a sensible approach is once </w:t>
      </w:r>
      <w:r w:rsidR="00A47BE9" w:rsidRPr="00705394">
        <w:rPr>
          <w:u w:val="none"/>
        </w:rPr>
        <w:t>all</w:t>
      </w:r>
      <w:r w:rsidRPr="00705394">
        <w:rPr>
          <w:u w:val="none"/>
        </w:rPr>
        <w:t xml:space="preserve"> the relevant information is available to </w:t>
      </w:r>
      <w:r w:rsidR="009E590E" w:rsidRPr="00705394">
        <w:rPr>
          <w:u w:val="none"/>
        </w:rPr>
        <w:t>decide</w:t>
      </w:r>
      <w:r w:rsidRPr="00705394">
        <w:rPr>
          <w:u w:val="none"/>
        </w:rPr>
        <w:t>, that decision should be made and communicated</w:t>
      </w:r>
      <w:r w:rsidR="00914694" w:rsidRPr="00705394">
        <w:rPr>
          <w:u w:val="none"/>
        </w:rPr>
        <w:t xml:space="preserve"> to the employee within a month</w:t>
      </w:r>
      <w:r w:rsidRPr="00705394">
        <w:rPr>
          <w:u w:val="none"/>
        </w:rPr>
        <w:t xml:space="preserve">.      </w:t>
      </w:r>
    </w:p>
    <w:p w14:paraId="7E62CC34" w14:textId="77777777" w:rsidR="007E4100" w:rsidRPr="00705394" w:rsidRDefault="007E4100" w:rsidP="001E1BBC">
      <w:pPr>
        <w:spacing w:after="0"/>
        <w:jc w:val="both"/>
        <w:rPr>
          <w:u w:val="none"/>
        </w:rPr>
      </w:pPr>
    </w:p>
    <w:p w14:paraId="2F40EA64" w14:textId="5407BA78" w:rsidR="007E4100" w:rsidRPr="00705394" w:rsidRDefault="00185902" w:rsidP="001E1BBC">
      <w:pPr>
        <w:spacing w:after="0"/>
        <w:jc w:val="both"/>
      </w:pPr>
      <w:r w:rsidRPr="00705394">
        <w:t>Paragraphs 8.7 to 8.</w:t>
      </w:r>
      <w:r w:rsidR="00952EDE" w:rsidRPr="00705394">
        <w:t>9</w:t>
      </w:r>
      <w:r w:rsidRPr="00705394">
        <w:t xml:space="preserve"> – Support Staff</w:t>
      </w:r>
    </w:p>
    <w:p w14:paraId="686CCFC6" w14:textId="77777777" w:rsidR="00185902" w:rsidRPr="00705394" w:rsidRDefault="00185902" w:rsidP="001E1BBC">
      <w:pPr>
        <w:spacing w:after="0"/>
        <w:jc w:val="both"/>
      </w:pPr>
      <w:r w:rsidRPr="00705394">
        <w:t xml:space="preserve"> </w:t>
      </w:r>
    </w:p>
    <w:p w14:paraId="316BC9C7" w14:textId="5A5EE758" w:rsidR="00185902" w:rsidRPr="00705394" w:rsidRDefault="00587CBC" w:rsidP="003A149F">
      <w:pPr>
        <w:rPr>
          <w:rFonts w:ascii="Calibri" w:hAnsi="Calibri" w:cs="Calibri"/>
          <w:sz w:val="22"/>
          <w:szCs w:val="22"/>
          <w:u w:val="none"/>
        </w:rPr>
      </w:pPr>
      <w:r w:rsidRPr="00705394">
        <w:rPr>
          <w:u w:val="none"/>
        </w:rPr>
        <w:t xml:space="preserve">Where there are </w:t>
      </w:r>
      <w:r w:rsidR="00952EDE" w:rsidRPr="00705394">
        <w:rPr>
          <w:u w:val="none"/>
        </w:rPr>
        <w:t xml:space="preserve">significant </w:t>
      </w:r>
      <w:r w:rsidRPr="00705394">
        <w:rPr>
          <w:u w:val="none"/>
        </w:rPr>
        <w:t>changes to duties and/or responsibilities t</w:t>
      </w:r>
      <w:r w:rsidR="00185902" w:rsidRPr="00705394">
        <w:rPr>
          <w:u w:val="none"/>
        </w:rPr>
        <w:t xml:space="preserve">he governing body </w:t>
      </w:r>
      <w:r w:rsidRPr="00705394">
        <w:rPr>
          <w:u w:val="none"/>
        </w:rPr>
        <w:t xml:space="preserve">should </w:t>
      </w:r>
      <w:r w:rsidR="00185902" w:rsidRPr="00705394">
        <w:rPr>
          <w:u w:val="none"/>
        </w:rPr>
        <w:t xml:space="preserve">consider </w:t>
      </w:r>
      <w:r w:rsidR="00952EDE" w:rsidRPr="00705394">
        <w:rPr>
          <w:u w:val="none"/>
        </w:rPr>
        <w:t xml:space="preserve">whether not this will impact on the grade and be incorporated </w:t>
      </w:r>
      <w:r w:rsidR="009E590E" w:rsidRPr="00705394">
        <w:rPr>
          <w:u w:val="none"/>
        </w:rPr>
        <w:t>into</w:t>
      </w:r>
      <w:r w:rsidR="00952EDE" w:rsidRPr="00705394">
        <w:rPr>
          <w:u w:val="none"/>
        </w:rPr>
        <w:t xml:space="preserve"> the school structu</w:t>
      </w:r>
      <w:r w:rsidR="00185902" w:rsidRPr="00705394">
        <w:rPr>
          <w:u w:val="none"/>
        </w:rPr>
        <w:t xml:space="preserve">re plan. Where </w:t>
      </w:r>
      <w:r w:rsidRPr="00705394">
        <w:rPr>
          <w:u w:val="none"/>
        </w:rPr>
        <w:t xml:space="preserve">changes are required and agreed by the governing body any consequent change to the </w:t>
      </w:r>
      <w:r w:rsidR="00952EDE" w:rsidRPr="00705394">
        <w:rPr>
          <w:u w:val="none"/>
        </w:rPr>
        <w:t xml:space="preserve">pay </w:t>
      </w:r>
      <w:r w:rsidRPr="00705394">
        <w:rPr>
          <w:u w:val="none"/>
        </w:rPr>
        <w:t xml:space="preserve">grading of the post </w:t>
      </w:r>
      <w:r w:rsidR="00A47BE9" w:rsidRPr="00705394">
        <w:rPr>
          <w:b/>
          <w:u w:val="none"/>
        </w:rPr>
        <w:t>must be</w:t>
      </w:r>
      <w:r w:rsidR="00A47BE9" w:rsidRPr="00705394">
        <w:rPr>
          <w:u w:val="none"/>
        </w:rPr>
        <w:t xml:space="preserve"> </w:t>
      </w:r>
      <w:r w:rsidR="00185902" w:rsidRPr="00705394">
        <w:rPr>
          <w:u w:val="none"/>
        </w:rPr>
        <w:t>subject to</w:t>
      </w:r>
      <w:r w:rsidRPr="00705394">
        <w:rPr>
          <w:u w:val="none"/>
        </w:rPr>
        <w:t xml:space="preserve"> confirmation through </w:t>
      </w:r>
      <w:r w:rsidR="00185902" w:rsidRPr="00705394">
        <w:rPr>
          <w:u w:val="none"/>
        </w:rPr>
        <w:t xml:space="preserve">the </w:t>
      </w:r>
      <w:r w:rsidR="00A47BE9" w:rsidRPr="00705394">
        <w:rPr>
          <w:u w:val="none"/>
        </w:rPr>
        <w:t>J</w:t>
      </w:r>
      <w:r w:rsidR="00185902" w:rsidRPr="00705394">
        <w:rPr>
          <w:u w:val="none"/>
        </w:rPr>
        <w:t xml:space="preserve">ob </w:t>
      </w:r>
      <w:r w:rsidR="00A47BE9" w:rsidRPr="00705394">
        <w:rPr>
          <w:u w:val="none"/>
        </w:rPr>
        <w:t>E</w:t>
      </w:r>
      <w:r w:rsidR="00185902" w:rsidRPr="00705394">
        <w:rPr>
          <w:u w:val="none"/>
        </w:rPr>
        <w:t>valuation process</w:t>
      </w:r>
      <w:r w:rsidRPr="00705394">
        <w:rPr>
          <w:u w:val="none"/>
        </w:rPr>
        <w:t>.</w:t>
      </w:r>
      <w:r w:rsidR="003B5635" w:rsidRPr="00705394">
        <w:rPr>
          <w:u w:val="none"/>
        </w:rPr>
        <w:t xml:space="preserve"> </w:t>
      </w:r>
      <w:r w:rsidR="00952EDE" w:rsidRPr="00705394">
        <w:rPr>
          <w:u w:val="none"/>
        </w:rPr>
        <w:t xml:space="preserve">The governing body </w:t>
      </w:r>
      <w:r w:rsidR="00952EDE" w:rsidRPr="00365306">
        <w:t xml:space="preserve">cannot make </w:t>
      </w:r>
      <w:r w:rsidR="00365306" w:rsidRPr="00365306">
        <w:t xml:space="preserve">a regrading </w:t>
      </w:r>
      <w:r w:rsidR="00952EDE" w:rsidRPr="00365306">
        <w:t>decision</w:t>
      </w:r>
      <w:r w:rsidR="00952EDE" w:rsidRPr="00705394">
        <w:rPr>
          <w:u w:val="none"/>
        </w:rPr>
        <w:t xml:space="preserve"> on its own. </w:t>
      </w:r>
      <w:r w:rsidRPr="00705394">
        <w:rPr>
          <w:u w:val="none"/>
        </w:rPr>
        <w:t>Once th</w:t>
      </w:r>
      <w:r w:rsidR="00952EDE" w:rsidRPr="00705394">
        <w:rPr>
          <w:u w:val="none"/>
        </w:rPr>
        <w:t xml:space="preserve">e job evaluation </w:t>
      </w:r>
      <w:r w:rsidRPr="00705394">
        <w:rPr>
          <w:u w:val="none"/>
        </w:rPr>
        <w:t>process is complete</w:t>
      </w:r>
      <w:r w:rsidR="00952EDE" w:rsidRPr="00705394">
        <w:rPr>
          <w:u w:val="none"/>
        </w:rPr>
        <w:t>,</w:t>
      </w:r>
      <w:r w:rsidRPr="00705394">
        <w:rPr>
          <w:u w:val="none"/>
        </w:rPr>
        <w:t xml:space="preserve"> </w:t>
      </w:r>
      <w:r w:rsidR="00185902" w:rsidRPr="00705394">
        <w:rPr>
          <w:u w:val="none"/>
        </w:rPr>
        <w:t xml:space="preserve">any contractual changes </w:t>
      </w:r>
      <w:r w:rsidRPr="00705394">
        <w:rPr>
          <w:u w:val="none"/>
        </w:rPr>
        <w:t xml:space="preserve">should be </w:t>
      </w:r>
      <w:r w:rsidR="00185902" w:rsidRPr="00705394">
        <w:rPr>
          <w:u w:val="none"/>
        </w:rPr>
        <w:t>confirmed with individuals in writing. Job descriptions and the school structure plan should be updated. The governing body should include in its calendar of meetings a date to review the support staff structure.</w:t>
      </w:r>
      <w:r w:rsidR="003B5635" w:rsidRPr="00705394">
        <w:rPr>
          <w:u w:val="none"/>
        </w:rPr>
        <w:t xml:space="preserve"> </w:t>
      </w:r>
      <w:r w:rsidR="008B3EB7" w:rsidRPr="00705394">
        <w:rPr>
          <w:u w:val="none"/>
        </w:rPr>
        <w:t>A failure to follow this</w:t>
      </w:r>
      <w:r w:rsidR="003B5635" w:rsidRPr="00705394">
        <w:rPr>
          <w:u w:val="none"/>
        </w:rPr>
        <w:t xml:space="preserve"> </w:t>
      </w:r>
      <w:r w:rsidR="008B3EB7" w:rsidRPr="00705394">
        <w:rPr>
          <w:u w:val="none"/>
        </w:rPr>
        <w:t xml:space="preserve">process, leading to the school increasing the grade of support staff </w:t>
      </w:r>
      <w:r w:rsidR="00C1204D" w:rsidRPr="00705394">
        <w:rPr>
          <w:u w:val="none"/>
        </w:rPr>
        <w:t xml:space="preserve">without </w:t>
      </w:r>
      <w:r w:rsidR="008B3EB7" w:rsidRPr="00705394">
        <w:rPr>
          <w:u w:val="none"/>
        </w:rPr>
        <w:t>a formal reassessment will leave the governing body at risk of an equal pay claim. In these circumstances the governing body would be responsible for paying any fines or compensation out of their own budget.</w:t>
      </w:r>
      <w:r w:rsidR="005834E5" w:rsidRPr="00705394">
        <w:rPr>
          <w:u w:val="none"/>
        </w:rPr>
        <w:t xml:space="preserve"> The </w:t>
      </w:r>
      <w:r w:rsidR="005834E5" w:rsidRPr="00705394">
        <w:rPr>
          <w:u w:val="none"/>
        </w:rPr>
        <w:lastRenderedPageBreak/>
        <w:t xml:space="preserve">following must be followed - </w:t>
      </w:r>
      <w:hyperlink r:id="rId24" w:history="1">
        <w:r w:rsidR="003A149F" w:rsidRPr="00705394">
          <w:t>Guidelines – Job Descriptions | NCC Schools Portal (nottinghamshire.gov.uk)</w:t>
        </w:r>
      </w:hyperlink>
      <w:r w:rsidR="003A149F" w:rsidRPr="00705394">
        <w:t xml:space="preserve"> </w:t>
      </w:r>
    </w:p>
    <w:p w14:paraId="273CF5BB" w14:textId="77777777" w:rsidR="00185902" w:rsidRPr="00705394" w:rsidRDefault="00185902" w:rsidP="005834E5">
      <w:pPr>
        <w:spacing w:after="0"/>
        <w:rPr>
          <w:u w:val="none"/>
        </w:rPr>
      </w:pPr>
      <w:r w:rsidRPr="00705394">
        <w:rPr>
          <w:u w:val="none"/>
        </w:rPr>
        <w:t xml:space="preserve">To qualify for an increment, support staff must complete 6 months service on first appointment if there are less than 6 months to the normal April increment.  For example, an employee starting </w:t>
      </w:r>
      <w:r w:rsidR="00587CBC" w:rsidRPr="00705394">
        <w:rPr>
          <w:u w:val="none"/>
        </w:rPr>
        <w:t xml:space="preserve">in a new post </w:t>
      </w:r>
      <w:r w:rsidRPr="00705394">
        <w:rPr>
          <w:u w:val="none"/>
        </w:rPr>
        <w:t>on 1 January will become eligible for an increment on 1 July and subsequent incremental progression will be on 1 April.</w:t>
      </w:r>
    </w:p>
    <w:p w14:paraId="68ABDD79" w14:textId="77777777" w:rsidR="000D37A3" w:rsidRPr="00705394" w:rsidRDefault="000D37A3" w:rsidP="005834E5">
      <w:pPr>
        <w:spacing w:after="0"/>
        <w:rPr>
          <w:b/>
          <w:bCs/>
          <w:u w:val="none"/>
        </w:rPr>
      </w:pPr>
    </w:p>
    <w:p w14:paraId="245C634B" w14:textId="77777777" w:rsidR="007E4100" w:rsidRPr="00705394" w:rsidRDefault="000D37A3" w:rsidP="001E1BBC">
      <w:pPr>
        <w:spacing w:after="0"/>
        <w:jc w:val="both"/>
        <w:rPr>
          <w:b/>
          <w:bCs/>
          <w:u w:val="none"/>
        </w:rPr>
      </w:pPr>
      <w:r w:rsidRPr="00705394">
        <w:rPr>
          <w:b/>
          <w:bCs/>
          <w:u w:val="none"/>
        </w:rPr>
        <w:t>P</w:t>
      </w:r>
      <w:r w:rsidR="00587CBC" w:rsidRPr="00705394">
        <w:rPr>
          <w:b/>
          <w:bCs/>
          <w:u w:val="none"/>
        </w:rPr>
        <w:t xml:space="preserve">ay Policy Paragraph 9.0 - </w:t>
      </w:r>
      <w:r w:rsidR="00185902" w:rsidRPr="00705394">
        <w:rPr>
          <w:b/>
          <w:bCs/>
          <w:u w:val="none"/>
        </w:rPr>
        <w:t xml:space="preserve">Pay Progression – Teachers </w:t>
      </w:r>
    </w:p>
    <w:p w14:paraId="075A0326" w14:textId="77777777" w:rsidR="00587CBC" w:rsidRPr="00705394" w:rsidRDefault="00587CBC" w:rsidP="001E1BBC">
      <w:pPr>
        <w:spacing w:after="0"/>
        <w:jc w:val="both"/>
        <w:rPr>
          <w:b/>
          <w:bCs/>
          <w:u w:val="none"/>
        </w:rPr>
      </w:pPr>
    </w:p>
    <w:p w14:paraId="2337868C" w14:textId="77777777" w:rsidR="00E06AF8" w:rsidRPr="00705394" w:rsidRDefault="00E06AF8" w:rsidP="001E1BBC">
      <w:pPr>
        <w:spacing w:after="0"/>
        <w:jc w:val="both"/>
      </w:pPr>
      <w:r w:rsidRPr="00705394">
        <w:t>Paragraph 9.0 – 9.2 General</w:t>
      </w:r>
    </w:p>
    <w:p w14:paraId="2431761D" w14:textId="77777777" w:rsidR="007E4100" w:rsidRPr="00705394" w:rsidRDefault="007E4100" w:rsidP="001E1BBC">
      <w:pPr>
        <w:spacing w:after="0"/>
        <w:jc w:val="both"/>
      </w:pPr>
    </w:p>
    <w:p w14:paraId="1F87CBC4" w14:textId="259484B1" w:rsidR="001F7F0C" w:rsidRPr="00705394" w:rsidRDefault="00185902" w:rsidP="001F7F0C">
      <w:pPr>
        <w:spacing w:line="240" w:lineRule="auto"/>
        <w:jc w:val="both"/>
        <w:rPr>
          <w:rFonts w:eastAsia="Times New Roman" w:cs="Times New Roman"/>
          <w:szCs w:val="20"/>
          <w:u w:val="none"/>
          <w:lang w:eastAsia="en-GB"/>
        </w:rPr>
      </w:pPr>
      <w:r w:rsidRPr="00705394">
        <w:rPr>
          <w:u w:val="none"/>
        </w:rPr>
        <w:t xml:space="preserve">The governing body </w:t>
      </w:r>
      <w:r w:rsidR="001F7F0C" w:rsidRPr="00705394">
        <w:rPr>
          <w:u w:val="none"/>
        </w:rPr>
        <w:t xml:space="preserve">(Para 9.2) </w:t>
      </w:r>
      <w:r w:rsidRPr="00705394">
        <w:rPr>
          <w:u w:val="none"/>
        </w:rPr>
        <w:t xml:space="preserve">must consider annually </w:t>
      </w:r>
      <w:r w:rsidR="00A47BE9" w:rsidRPr="00705394">
        <w:rPr>
          <w:u w:val="none"/>
        </w:rPr>
        <w:t>whether</w:t>
      </w:r>
      <w:r w:rsidRPr="00705394">
        <w:rPr>
          <w:u w:val="none"/>
        </w:rPr>
        <w:t xml:space="preserve"> to increase the salary of all teachers, including those paid on the leadership range</w:t>
      </w:r>
      <w:r w:rsidR="001B69AB" w:rsidRPr="00705394">
        <w:rPr>
          <w:u w:val="none"/>
        </w:rPr>
        <w:t xml:space="preserve">. A teacher will only qualify to be considered for pay progression </w:t>
      </w:r>
      <w:r w:rsidRPr="00705394">
        <w:rPr>
          <w:u w:val="none"/>
        </w:rPr>
        <w:t xml:space="preserve">where they have completed the required period of employment </w:t>
      </w:r>
      <w:r w:rsidR="001B69AB" w:rsidRPr="00705394">
        <w:rPr>
          <w:u w:val="none"/>
        </w:rPr>
        <w:t xml:space="preserve">during </w:t>
      </w:r>
      <w:r w:rsidRPr="00705394">
        <w:rPr>
          <w:u w:val="none"/>
        </w:rPr>
        <w:t>the previous school year (26 weeks) since the previous pay determination date (1</w:t>
      </w:r>
      <w:r w:rsidRPr="00705394">
        <w:rPr>
          <w:u w:val="none"/>
          <w:vertAlign w:val="superscript"/>
        </w:rPr>
        <w:t>st</w:t>
      </w:r>
      <w:r w:rsidRPr="00705394">
        <w:rPr>
          <w:u w:val="none"/>
        </w:rPr>
        <w:t xml:space="preserve"> September). The 26 weeks is aggregate contracted employment during the previous school year and includes any holiday periods and periods of sickness, maternity, paternity leave where the qualifying legal entitlements exist. </w:t>
      </w:r>
      <w:r w:rsidR="001F7F0C" w:rsidRPr="00705394">
        <w:rPr>
          <w:rFonts w:eastAsia="Times New Roman" w:cs="Times New Roman"/>
          <w:szCs w:val="20"/>
          <w:u w:val="none"/>
          <w:lang w:eastAsia="en-GB"/>
        </w:rPr>
        <w:t>This means that following an individual teacher’s or headteacher’s annual appraisal and, subject to the provisions of the pay policy, all teachers</w:t>
      </w:r>
      <w:r w:rsidR="00952EDE" w:rsidRPr="00705394">
        <w:rPr>
          <w:rFonts w:eastAsia="Times New Roman" w:cs="Times New Roman"/>
          <w:szCs w:val="20"/>
          <w:u w:val="none"/>
          <w:lang w:eastAsia="en-GB"/>
        </w:rPr>
        <w:t xml:space="preserve">, including </w:t>
      </w:r>
      <w:r w:rsidR="001F7F0C" w:rsidRPr="00705394">
        <w:rPr>
          <w:rFonts w:eastAsia="Times New Roman" w:cs="Times New Roman"/>
          <w:szCs w:val="20"/>
          <w:u w:val="none"/>
          <w:lang w:eastAsia="en-GB"/>
        </w:rPr>
        <w:t>the head teacher should expect to receive pay progression within the maximum of their pay range</w:t>
      </w:r>
      <w:r w:rsidR="00A82BE9" w:rsidRPr="00705394">
        <w:rPr>
          <w:rFonts w:eastAsia="Times New Roman" w:cs="Times New Roman"/>
          <w:szCs w:val="20"/>
          <w:u w:val="none"/>
          <w:lang w:eastAsia="en-GB"/>
        </w:rPr>
        <w:t xml:space="preserve">. Pay progression will not be awarded to teachers, where within the school year, serious performance concerns are identified, and the teacher is in receipt of focussed support within appraisal or are subject to the formal capability procedure.    </w:t>
      </w:r>
    </w:p>
    <w:p w14:paraId="2CB4FF08" w14:textId="6E1ECAE6" w:rsidR="0033197B" w:rsidRPr="00705394" w:rsidRDefault="00185902" w:rsidP="001E1BBC">
      <w:pPr>
        <w:spacing w:after="0"/>
        <w:jc w:val="both"/>
        <w:rPr>
          <w:u w:val="none"/>
        </w:rPr>
      </w:pPr>
      <w:r w:rsidRPr="00705394">
        <w:rPr>
          <w:u w:val="none"/>
        </w:rPr>
        <w:t xml:space="preserve">The governing body must </w:t>
      </w:r>
      <w:r w:rsidR="00A47BE9" w:rsidRPr="00705394">
        <w:rPr>
          <w:u w:val="none"/>
        </w:rPr>
        <w:t>consider</w:t>
      </w:r>
      <w:r w:rsidRPr="00705394">
        <w:rPr>
          <w:u w:val="none"/>
        </w:rPr>
        <w:t xml:space="preserve"> the pay recommendation of the appraiser in making their decision on pay progression</w:t>
      </w:r>
      <w:r w:rsidR="00A82BE9" w:rsidRPr="00705394">
        <w:rPr>
          <w:u w:val="none"/>
        </w:rPr>
        <w:t xml:space="preserve"> </w:t>
      </w:r>
      <w:r w:rsidRPr="00705394">
        <w:rPr>
          <w:u w:val="none"/>
        </w:rPr>
        <w:t xml:space="preserve">for all teachers. </w:t>
      </w:r>
      <w:r w:rsidR="00E06AF8" w:rsidRPr="00705394">
        <w:rPr>
          <w:u w:val="none"/>
        </w:rPr>
        <w:t xml:space="preserve"> </w:t>
      </w:r>
      <w:r w:rsidRPr="00705394">
        <w:rPr>
          <w:u w:val="none"/>
        </w:rPr>
        <w:t xml:space="preserve">The Nottinghamshire Schools Appraisal Toolkit </w:t>
      </w:r>
      <w:r w:rsidR="002D1F55" w:rsidRPr="00705394">
        <w:rPr>
          <w:u w:val="none"/>
        </w:rPr>
        <w:t xml:space="preserve">is updated every year and is available to schools who attend the annual training. The latest version </w:t>
      </w:r>
      <w:r w:rsidRPr="00705394">
        <w:rPr>
          <w:u w:val="none"/>
        </w:rPr>
        <w:t xml:space="preserve">provides supporting appraisal documentation and </w:t>
      </w:r>
      <w:r w:rsidRPr="00322ED4">
        <w:rPr>
          <w:u w:val="none"/>
        </w:rPr>
        <w:t>Appendix 5</w:t>
      </w:r>
      <w:r w:rsidR="00A40702" w:rsidRPr="00322ED4">
        <w:rPr>
          <w:u w:val="none"/>
        </w:rPr>
        <w:t xml:space="preserve"> </w:t>
      </w:r>
      <w:r w:rsidRPr="00322ED4">
        <w:rPr>
          <w:u w:val="none"/>
        </w:rPr>
        <w:t>- Example Appraisal Pro forma</w:t>
      </w:r>
      <w:r w:rsidR="00322ED4">
        <w:rPr>
          <w:u w:val="none"/>
        </w:rPr>
        <w:t xml:space="preserve"> </w:t>
      </w:r>
      <w:r w:rsidR="00322ED4" w:rsidRPr="00322ED4">
        <w:rPr>
          <w:i/>
          <w:iCs/>
          <w:sz w:val="16"/>
          <w:szCs w:val="16"/>
          <w:u w:val="none"/>
        </w:rPr>
        <w:t>(updated November 2024)</w:t>
      </w:r>
      <w:r w:rsidRPr="00705394">
        <w:rPr>
          <w:u w:val="none"/>
        </w:rPr>
        <w:t xml:space="preserve"> </w:t>
      </w:r>
    </w:p>
    <w:p w14:paraId="36A8B1D8" w14:textId="77777777" w:rsidR="007E4100" w:rsidRPr="00705394" w:rsidRDefault="007E4100" w:rsidP="001E1BBC">
      <w:pPr>
        <w:spacing w:after="0"/>
        <w:jc w:val="both"/>
        <w:rPr>
          <w:u w:val="none"/>
        </w:rPr>
      </w:pPr>
    </w:p>
    <w:p w14:paraId="00BB8071" w14:textId="177D6C22" w:rsidR="005023B9" w:rsidRPr="00705394" w:rsidRDefault="00185902" w:rsidP="001E1BBC">
      <w:pPr>
        <w:spacing w:after="0"/>
        <w:jc w:val="both"/>
        <w:rPr>
          <w:u w:val="none"/>
        </w:rPr>
      </w:pPr>
      <w:r w:rsidRPr="00705394">
        <w:rPr>
          <w:u w:val="none"/>
        </w:rPr>
        <w:t xml:space="preserve">The governing body is responsible for the integrity of the </w:t>
      </w:r>
      <w:r w:rsidR="008B3EB7" w:rsidRPr="00705394">
        <w:rPr>
          <w:u w:val="none"/>
        </w:rPr>
        <w:t xml:space="preserve">pay/appraisal </w:t>
      </w:r>
      <w:r w:rsidRPr="00705394">
        <w:rPr>
          <w:u w:val="none"/>
        </w:rPr>
        <w:t xml:space="preserve">process and </w:t>
      </w:r>
      <w:r w:rsidR="001B69AB" w:rsidRPr="00705394">
        <w:rPr>
          <w:u w:val="none"/>
        </w:rPr>
        <w:t xml:space="preserve">ultimately accountable for the effectiveness of the way in which this process </w:t>
      </w:r>
      <w:r w:rsidR="000F0FA8" w:rsidRPr="00705394">
        <w:rPr>
          <w:u w:val="none"/>
        </w:rPr>
        <w:t xml:space="preserve">supports the professional development of teachers </w:t>
      </w:r>
      <w:r w:rsidR="001B69AB" w:rsidRPr="00705394">
        <w:rPr>
          <w:u w:val="none"/>
        </w:rPr>
        <w:t>to raise standards and expectations in their school. T</w:t>
      </w:r>
      <w:r w:rsidRPr="00705394">
        <w:rPr>
          <w:u w:val="none"/>
        </w:rPr>
        <w:t xml:space="preserve">he appraisal statement for each teacher should be clear and specific so that all teachers are clear at the start of the </w:t>
      </w:r>
      <w:r w:rsidR="00F1460B" w:rsidRPr="00705394">
        <w:rPr>
          <w:u w:val="none"/>
        </w:rPr>
        <w:t>year</w:t>
      </w:r>
      <w:r w:rsidR="001F7F0C" w:rsidRPr="00705394">
        <w:rPr>
          <w:u w:val="none"/>
        </w:rPr>
        <w:t xml:space="preserve"> </w:t>
      </w:r>
      <w:r w:rsidRPr="00705394">
        <w:rPr>
          <w:u w:val="none"/>
        </w:rPr>
        <w:t>what level of performance is required</w:t>
      </w:r>
      <w:r w:rsidR="001F7F0C" w:rsidRPr="00705394">
        <w:rPr>
          <w:u w:val="none"/>
        </w:rPr>
        <w:t xml:space="preserve">, based on their roles and responsibilities. </w:t>
      </w:r>
      <w:r w:rsidRPr="00705394">
        <w:rPr>
          <w:u w:val="none"/>
        </w:rPr>
        <w:t xml:space="preserve"> Governors should ensure that </w:t>
      </w:r>
      <w:r w:rsidR="00F1460B" w:rsidRPr="00705394">
        <w:rPr>
          <w:u w:val="none"/>
        </w:rPr>
        <w:t xml:space="preserve">appraisal </w:t>
      </w:r>
      <w:r w:rsidRPr="00705394">
        <w:rPr>
          <w:u w:val="none"/>
        </w:rPr>
        <w:t xml:space="preserve">quality assurance is </w:t>
      </w:r>
      <w:r w:rsidR="00A40702" w:rsidRPr="00705394">
        <w:rPr>
          <w:u w:val="none"/>
        </w:rPr>
        <w:t>robus</w:t>
      </w:r>
      <w:r w:rsidR="00A82BE9" w:rsidRPr="00705394">
        <w:rPr>
          <w:u w:val="none"/>
        </w:rPr>
        <w:t xml:space="preserve">t. </w:t>
      </w:r>
    </w:p>
    <w:p w14:paraId="343B21C7" w14:textId="77777777" w:rsidR="007E4100" w:rsidRPr="00705394" w:rsidRDefault="007E4100" w:rsidP="001E1BBC">
      <w:pPr>
        <w:spacing w:after="0"/>
        <w:jc w:val="both"/>
        <w:rPr>
          <w:u w:val="none"/>
        </w:rPr>
      </w:pPr>
    </w:p>
    <w:p w14:paraId="5B8BA802" w14:textId="7E35CB52" w:rsidR="001B6C3D" w:rsidRPr="00705394" w:rsidRDefault="001B6C3D" w:rsidP="001E1BBC">
      <w:pPr>
        <w:jc w:val="both"/>
        <w:rPr>
          <w:u w:val="none"/>
        </w:rPr>
      </w:pPr>
      <w:r w:rsidRPr="00705394">
        <w:rPr>
          <w:u w:val="none"/>
        </w:rPr>
        <w:t>The school’s portal co</w:t>
      </w:r>
      <w:r w:rsidR="00B450A5" w:rsidRPr="00705394">
        <w:rPr>
          <w:u w:val="none"/>
        </w:rPr>
        <w:t xml:space="preserve">ntains links to the revised </w:t>
      </w:r>
      <w:r w:rsidRPr="00705394">
        <w:rPr>
          <w:u w:val="none"/>
        </w:rPr>
        <w:t xml:space="preserve">Nottinghamshire School </w:t>
      </w:r>
      <w:r w:rsidR="00B450A5" w:rsidRPr="00705394">
        <w:rPr>
          <w:u w:val="none"/>
        </w:rPr>
        <w:t>Pay and Appraisal Policies and G</w:t>
      </w:r>
      <w:r w:rsidRPr="00705394">
        <w:rPr>
          <w:u w:val="none"/>
        </w:rPr>
        <w:t>uidance</w:t>
      </w:r>
      <w:r w:rsidR="00B450A5" w:rsidRPr="00705394">
        <w:rPr>
          <w:u w:val="none"/>
        </w:rPr>
        <w:t xml:space="preserve"> </w:t>
      </w:r>
      <w:r w:rsidR="0007242D">
        <w:rPr>
          <w:u w:val="none"/>
        </w:rPr>
        <w:t>for the current academic year</w:t>
      </w:r>
      <w:r w:rsidRPr="00705394">
        <w:rPr>
          <w:u w:val="none"/>
        </w:rPr>
        <w:t xml:space="preserve">. </w:t>
      </w:r>
    </w:p>
    <w:p w14:paraId="38517A65" w14:textId="75E6E5F4" w:rsidR="00145398" w:rsidRPr="00705394" w:rsidRDefault="001B6C3D" w:rsidP="001E1BBC">
      <w:pPr>
        <w:jc w:val="both"/>
        <w:rPr>
          <w:b/>
          <w:u w:val="none"/>
        </w:rPr>
      </w:pPr>
      <w:r w:rsidRPr="00705394">
        <w:rPr>
          <w:b/>
          <w:u w:val="none"/>
        </w:rPr>
        <w:t>Performance Relate</w:t>
      </w:r>
      <w:r w:rsidR="00B450A5" w:rsidRPr="00705394">
        <w:rPr>
          <w:b/>
          <w:u w:val="none"/>
        </w:rPr>
        <w:t>d Pay decisions 1 September 20</w:t>
      </w:r>
      <w:r w:rsidR="00A03869" w:rsidRPr="00705394">
        <w:rPr>
          <w:b/>
          <w:u w:val="none"/>
        </w:rPr>
        <w:t>2</w:t>
      </w:r>
      <w:r w:rsidR="0007242D">
        <w:rPr>
          <w:b/>
          <w:u w:val="none"/>
        </w:rPr>
        <w:t>5</w:t>
      </w:r>
    </w:p>
    <w:p w14:paraId="019EBEFF" w14:textId="1E3A3DB1" w:rsidR="001B6C3D" w:rsidRPr="00705394" w:rsidRDefault="001B6C3D" w:rsidP="001E1BBC">
      <w:pPr>
        <w:jc w:val="both"/>
        <w:rPr>
          <w:b/>
          <w:u w:val="none"/>
        </w:rPr>
      </w:pPr>
      <w:r w:rsidRPr="00705394">
        <w:rPr>
          <w:b/>
          <w:u w:val="none"/>
        </w:rPr>
        <w:t xml:space="preserve">Action required by the </w:t>
      </w:r>
      <w:r w:rsidR="009E590E" w:rsidRPr="00705394">
        <w:rPr>
          <w:b/>
          <w:u w:val="none"/>
        </w:rPr>
        <w:t>school</w:t>
      </w:r>
      <w:r w:rsidRPr="00705394">
        <w:rPr>
          <w:b/>
          <w:u w:val="none"/>
        </w:rPr>
        <w:t xml:space="preserve"> – Appendix 3a </w:t>
      </w:r>
    </w:p>
    <w:p w14:paraId="4211E121" w14:textId="0D385457" w:rsidR="001B6C3D" w:rsidRPr="00705394" w:rsidRDefault="001B6C3D" w:rsidP="00106166">
      <w:pPr>
        <w:ind w:left="426" w:hanging="426"/>
        <w:jc w:val="both"/>
        <w:rPr>
          <w:b/>
          <w:u w:val="none"/>
        </w:rPr>
      </w:pPr>
      <w:r w:rsidRPr="00705394">
        <w:rPr>
          <w:u w:val="none"/>
        </w:rPr>
        <w:t>1.</w:t>
      </w:r>
      <w:r w:rsidR="00106166" w:rsidRPr="00705394">
        <w:rPr>
          <w:u w:val="none"/>
        </w:rPr>
        <w:tab/>
      </w:r>
      <w:r w:rsidRPr="00705394">
        <w:rPr>
          <w:u w:val="none"/>
        </w:rPr>
        <w:t>The go</w:t>
      </w:r>
      <w:r w:rsidR="00710E63" w:rsidRPr="00705394">
        <w:rPr>
          <w:u w:val="none"/>
        </w:rPr>
        <w:t>verning body should adopt</w:t>
      </w:r>
      <w:r w:rsidRPr="00705394">
        <w:rPr>
          <w:u w:val="none"/>
        </w:rPr>
        <w:t xml:space="preserve"> the revised Pay </w:t>
      </w:r>
      <w:r w:rsidR="00710E63" w:rsidRPr="00705394">
        <w:rPr>
          <w:u w:val="none"/>
        </w:rPr>
        <w:t>Policy 20</w:t>
      </w:r>
      <w:r w:rsidR="00A03869" w:rsidRPr="00705394">
        <w:rPr>
          <w:u w:val="none"/>
        </w:rPr>
        <w:t>2</w:t>
      </w:r>
      <w:r w:rsidR="0007242D">
        <w:rPr>
          <w:u w:val="none"/>
        </w:rPr>
        <w:t>5</w:t>
      </w:r>
      <w:r w:rsidR="00145398" w:rsidRPr="00705394">
        <w:rPr>
          <w:u w:val="none"/>
        </w:rPr>
        <w:t>; the Pay Policy Toolkit 20</w:t>
      </w:r>
      <w:r w:rsidR="00A03869" w:rsidRPr="00B33D00">
        <w:rPr>
          <w:color w:val="FF0000"/>
          <w:u w:val="none"/>
        </w:rPr>
        <w:t>2</w:t>
      </w:r>
      <w:r w:rsidR="00B33D00" w:rsidRPr="00B33D00">
        <w:rPr>
          <w:color w:val="FF0000"/>
          <w:u w:val="none"/>
        </w:rPr>
        <w:t>5</w:t>
      </w:r>
      <w:r w:rsidR="00145398" w:rsidRPr="00B33D00">
        <w:rPr>
          <w:color w:val="FF0000"/>
          <w:u w:val="none"/>
        </w:rPr>
        <w:t xml:space="preserve"> </w:t>
      </w:r>
      <w:r w:rsidR="00145398" w:rsidRPr="00705394">
        <w:rPr>
          <w:u w:val="none"/>
        </w:rPr>
        <w:t xml:space="preserve">and </w:t>
      </w:r>
      <w:r w:rsidR="00710E63" w:rsidRPr="00705394">
        <w:rPr>
          <w:u w:val="none"/>
        </w:rPr>
        <w:t>the Appraisal Policy</w:t>
      </w:r>
      <w:r w:rsidR="00F00BA6" w:rsidRPr="00705394">
        <w:rPr>
          <w:u w:val="none"/>
        </w:rPr>
        <w:t xml:space="preserve">, </w:t>
      </w:r>
      <w:r w:rsidR="0025514B" w:rsidRPr="00705394">
        <w:rPr>
          <w:u w:val="none"/>
        </w:rPr>
        <w:t>Guidance</w:t>
      </w:r>
      <w:r w:rsidR="00F00BA6" w:rsidRPr="00705394">
        <w:rPr>
          <w:u w:val="none"/>
        </w:rPr>
        <w:t xml:space="preserve"> and Toolkit </w:t>
      </w:r>
      <w:r w:rsidR="00B33D00" w:rsidRPr="00B33D00">
        <w:rPr>
          <w:color w:val="FF0000"/>
          <w:u w:val="none"/>
        </w:rPr>
        <w:t>2025</w:t>
      </w:r>
      <w:r w:rsidRPr="00705394">
        <w:rPr>
          <w:u w:val="none"/>
        </w:rPr>
        <w:t>. Head</w:t>
      </w:r>
      <w:r w:rsidR="008518D2" w:rsidRPr="00705394">
        <w:rPr>
          <w:u w:val="none"/>
        </w:rPr>
        <w:t>t</w:t>
      </w:r>
      <w:r w:rsidRPr="00705394">
        <w:rPr>
          <w:u w:val="none"/>
        </w:rPr>
        <w:t xml:space="preserve">eachers should review </w:t>
      </w:r>
      <w:r w:rsidR="00997EF6" w:rsidRPr="00705394">
        <w:rPr>
          <w:u w:val="none"/>
        </w:rPr>
        <w:t>the</w:t>
      </w:r>
      <w:r w:rsidR="00710E63" w:rsidRPr="00705394">
        <w:rPr>
          <w:u w:val="none"/>
        </w:rPr>
        <w:t xml:space="preserve"> policy </w:t>
      </w:r>
      <w:r w:rsidRPr="00705394">
        <w:rPr>
          <w:u w:val="none"/>
        </w:rPr>
        <w:t xml:space="preserve">and </w:t>
      </w:r>
      <w:r w:rsidR="0025514B" w:rsidRPr="00705394">
        <w:rPr>
          <w:u w:val="none"/>
        </w:rPr>
        <w:t>refer to it</w:t>
      </w:r>
      <w:r w:rsidR="00710E63" w:rsidRPr="00705394">
        <w:rPr>
          <w:u w:val="none"/>
        </w:rPr>
        <w:t xml:space="preserve"> </w:t>
      </w:r>
      <w:r w:rsidRPr="00705394">
        <w:rPr>
          <w:u w:val="none"/>
        </w:rPr>
        <w:t>the relevant committee of the governing body</w:t>
      </w:r>
      <w:r w:rsidR="00710E63" w:rsidRPr="00705394">
        <w:rPr>
          <w:u w:val="none"/>
        </w:rPr>
        <w:t xml:space="preserve"> </w:t>
      </w:r>
      <w:r w:rsidR="0025514B" w:rsidRPr="00705394">
        <w:rPr>
          <w:u w:val="none"/>
        </w:rPr>
        <w:t>for adoption</w:t>
      </w:r>
      <w:r w:rsidRPr="00705394">
        <w:rPr>
          <w:u w:val="none"/>
        </w:rPr>
        <w:t xml:space="preserve"> according to the schools’ delegated Decision Planner. In most schools this is the </w:t>
      </w:r>
      <w:r w:rsidRPr="00705394">
        <w:rPr>
          <w:u w:val="none"/>
        </w:rPr>
        <w:lastRenderedPageBreak/>
        <w:t>P&amp;P/Pay or equivalent committee and will</w:t>
      </w:r>
      <w:r w:rsidR="00997EF6" w:rsidRPr="00705394">
        <w:rPr>
          <w:u w:val="none"/>
        </w:rPr>
        <w:t xml:space="preserve"> normally require a minimum of three</w:t>
      </w:r>
      <w:r w:rsidRPr="00705394">
        <w:rPr>
          <w:u w:val="none"/>
        </w:rPr>
        <w:t xml:space="preserve"> governors, excluding staff representatives</w:t>
      </w:r>
      <w:r w:rsidRPr="00705394">
        <w:rPr>
          <w:b/>
          <w:u w:val="none"/>
        </w:rPr>
        <w:t xml:space="preserve">.   </w:t>
      </w:r>
    </w:p>
    <w:p w14:paraId="03CFCDFB" w14:textId="23376063" w:rsidR="001B6C3D" w:rsidRPr="00B33D00" w:rsidRDefault="001B6C3D" w:rsidP="0073094D">
      <w:pPr>
        <w:ind w:left="426" w:hanging="426"/>
        <w:jc w:val="both"/>
        <w:rPr>
          <w:strike/>
          <w:color w:val="FF0000"/>
          <w:u w:val="none"/>
        </w:rPr>
      </w:pPr>
      <w:r w:rsidRPr="00705394">
        <w:rPr>
          <w:u w:val="none"/>
        </w:rPr>
        <w:t xml:space="preserve">2. </w:t>
      </w:r>
      <w:r w:rsidR="00106166" w:rsidRPr="00705394">
        <w:rPr>
          <w:u w:val="none"/>
        </w:rPr>
        <w:tab/>
      </w:r>
      <w:r w:rsidRPr="00705394">
        <w:rPr>
          <w:u w:val="none"/>
        </w:rPr>
        <w:t xml:space="preserve">The relevant </w:t>
      </w:r>
      <w:r w:rsidRPr="002663D2">
        <w:rPr>
          <w:u w:val="none"/>
        </w:rPr>
        <w:t>committee should</w:t>
      </w:r>
      <w:r w:rsidR="0007242D" w:rsidRPr="002663D2">
        <w:rPr>
          <w:u w:val="none"/>
        </w:rPr>
        <w:t xml:space="preserve"> apply </w:t>
      </w:r>
      <w:r w:rsidRPr="002663D2">
        <w:rPr>
          <w:u w:val="none"/>
        </w:rPr>
        <w:t>the basis of pay progression as set out in paragraph 9.0</w:t>
      </w:r>
      <w:r w:rsidR="00A82BE9" w:rsidRPr="002663D2">
        <w:rPr>
          <w:u w:val="none"/>
        </w:rPr>
        <w:t>- 9.7</w:t>
      </w:r>
      <w:r w:rsidR="0073094D" w:rsidRPr="002663D2">
        <w:rPr>
          <w:u w:val="none"/>
        </w:rPr>
        <w:t>.</w:t>
      </w:r>
      <w:r w:rsidRPr="002663D2">
        <w:rPr>
          <w:u w:val="none"/>
        </w:rPr>
        <w:t xml:space="preserve"> </w:t>
      </w:r>
      <w:r w:rsidR="00B33D00" w:rsidRPr="002663D2">
        <w:rPr>
          <w:u w:val="none"/>
        </w:rPr>
        <w:t xml:space="preserve">Incremental pay progression decisions </w:t>
      </w:r>
      <w:r w:rsidR="00F40D32" w:rsidRPr="002663D2">
        <w:rPr>
          <w:u w:val="none"/>
        </w:rPr>
        <w:t xml:space="preserve">for all teachers </w:t>
      </w:r>
      <w:r w:rsidR="00B33D00" w:rsidRPr="002663D2">
        <w:rPr>
          <w:u w:val="none"/>
        </w:rPr>
        <w:t xml:space="preserve">are still required </w:t>
      </w:r>
      <w:r w:rsidR="00F40D32" w:rsidRPr="002663D2">
        <w:rPr>
          <w:u w:val="none"/>
        </w:rPr>
        <w:t>in accordance with the Appraisal Regulations 2012.</w:t>
      </w:r>
      <w:r w:rsidR="003B646B" w:rsidRPr="002663D2">
        <w:rPr>
          <w:u w:val="none"/>
        </w:rPr>
        <w:t xml:space="preserve"> </w:t>
      </w:r>
    </w:p>
    <w:p w14:paraId="561DB7D3" w14:textId="148CD587" w:rsidR="001B6C3D" w:rsidRPr="00705394" w:rsidRDefault="001B6C3D" w:rsidP="00106166">
      <w:pPr>
        <w:ind w:left="426" w:hanging="426"/>
        <w:jc w:val="both"/>
        <w:rPr>
          <w:u w:val="none"/>
        </w:rPr>
      </w:pPr>
      <w:r w:rsidRPr="00705394">
        <w:rPr>
          <w:u w:val="none"/>
        </w:rPr>
        <w:t xml:space="preserve">3. </w:t>
      </w:r>
      <w:r w:rsidR="00106166" w:rsidRPr="00705394">
        <w:rPr>
          <w:u w:val="none"/>
        </w:rPr>
        <w:tab/>
      </w:r>
      <w:r w:rsidRPr="00705394">
        <w:rPr>
          <w:u w:val="none"/>
        </w:rPr>
        <w:t>The Head</w:t>
      </w:r>
      <w:r w:rsidR="008518D2" w:rsidRPr="00705394">
        <w:rPr>
          <w:u w:val="none"/>
        </w:rPr>
        <w:t>t</w:t>
      </w:r>
      <w:r w:rsidRPr="00705394">
        <w:rPr>
          <w:u w:val="none"/>
        </w:rPr>
        <w:t xml:space="preserve">eacher should then share this </w:t>
      </w:r>
      <w:r w:rsidR="00710E63" w:rsidRPr="00705394">
        <w:rPr>
          <w:u w:val="none"/>
        </w:rPr>
        <w:t xml:space="preserve">governors’ </w:t>
      </w:r>
      <w:r w:rsidRPr="00705394">
        <w:rPr>
          <w:u w:val="none"/>
        </w:rPr>
        <w:t xml:space="preserve">decision with all teachers and ensure that appraisers discuss this in meetings with appraises so that the wording and basis of objectives and success criteria are clear. </w:t>
      </w:r>
    </w:p>
    <w:p w14:paraId="4D2208D8" w14:textId="1A8E4D4E" w:rsidR="001B6C3D" w:rsidRPr="00705394" w:rsidRDefault="001B6C3D" w:rsidP="00106166">
      <w:pPr>
        <w:ind w:left="426" w:hanging="426"/>
        <w:jc w:val="both"/>
        <w:rPr>
          <w:u w:val="none"/>
        </w:rPr>
      </w:pPr>
      <w:r w:rsidRPr="00705394">
        <w:rPr>
          <w:u w:val="none"/>
        </w:rPr>
        <w:t xml:space="preserve">4. </w:t>
      </w:r>
      <w:r w:rsidR="00106166" w:rsidRPr="00705394">
        <w:rPr>
          <w:u w:val="none"/>
        </w:rPr>
        <w:tab/>
      </w:r>
      <w:r w:rsidRPr="00705394">
        <w:rPr>
          <w:u w:val="none"/>
        </w:rPr>
        <w:t>It is important to remind headteachers that the purpose of this advice is to ensure that appraisal processes are robust and based on objective criteria</w:t>
      </w:r>
      <w:r w:rsidR="000F0FA8" w:rsidRPr="00705394">
        <w:rPr>
          <w:u w:val="none"/>
        </w:rPr>
        <w:t>.</w:t>
      </w:r>
      <w:r w:rsidRPr="00705394">
        <w:rPr>
          <w:u w:val="none"/>
        </w:rPr>
        <w:t xml:space="preserve"> </w:t>
      </w:r>
    </w:p>
    <w:p w14:paraId="2DBA3597" w14:textId="77777777" w:rsidR="00185902" w:rsidRPr="00705394" w:rsidRDefault="00185902" w:rsidP="00106166">
      <w:pPr>
        <w:jc w:val="both"/>
      </w:pPr>
      <w:r w:rsidRPr="00705394">
        <w:t>Paragraph 9.3 – 9.</w:t>
      </w:r>
      <w:r w:rsidR="00F1460B" w:rsidRPr="00705394">
        <w:t>6</w:t>
      </w:r>
      <w:r w:rsidRPr="00705394">
        <w:t xml:space="preserve"> Teachers Paid on the Leadership Pay Range</w:t>
      </w:r>
    </w:p>
    <w:p w14:paraId="5BA6A3A4" w14:textId="22855E7B" w:rsidR="00BC11AC" w:rsidRPr="00705394" w:rsidRDefault="00185902" w:rsidP="00106166">
      <w:pPr>
        <w:spacing w:after="0"/>
        <w:jc w:val="both"/>
        <w:rPr>
          <w:u w:val="none"/>
        </w:rPr>
      </w:pPr>
      <w:r w:rsidRPr="00705394">
        <w:rPr>
          <w:u w:val="none"/>
        </w:rPr>
        <w:t>These paragraphs set out the pay progression arrangements for head, deputy and assistant headteachers pai</w:t>
      </w:r>
      <w:r w:rsidR="00710E63" w:rsidRPr="00705394">
        <w:rPr>
          <w:u w:val="none"/>
        </w:rPr>
        <w:t>d on the leadership spine</w:t>
      </w:r>
      <w:r w:rsidRPr="00705394">
        <w:rPr>
          <w:u w:val="none"/>
        </w:rPr>
        <w:t xml:space="preserve">. The Pay Policy previously separated out the arrangements </w:t>
      </w:r>
      <w:r w:rsidR="00F1460B" w:rsidRPr="00705394">
        <w:rPr>
          <w:u w:val="none"/>
        </w:rPr>
        <w:t xml:space="preserve">for </w:t>
      </w:r>
      <w:r w:rsidRPr="00705394">
        <w:rPr>
          <w:u w:val="none"/>
        </w:rPr>
        <w:t>headteacher pay progression from other leadership positions (deputy headteachers and assistant headteachers) but as per the STPCD paragraph 11.2, these have now been combined. Teachers paid on the leadership pay range who have completed a year of employment since the previous pay determination can expect to progress within the range for the post determined by the governing body</w:t>
      </w:r>
      <w:r w:rsidR="004F37E6" w:rsidRPr="00705394">
        <w:rPr>
          <w:u w:val="none"/>
        </w:rPr>
        <w:t xml:space="preserve"> unless </w:t>
      </w:r>
      <w:r w:rsidR="004E5495" w:rsidRPr="00705394">
        <w:rPr>
          <w:u w:val="none"/>
        </w:rPr>
        <w:t>serious performance concerns are identified and are in receipt of focussed support wi</w:t>
      </w:r>
      <w:r w:rsidR="004F37E6" w:rsidRPr="00705394">
        <w:rPr>
          <w:u w:val="none"/>
        </w:rPr>
        <w:t>th</w:t>
      </w:r>
      <w:r w:rsidR="004E5495" w:rsidRPr="00705394">
        <w:rPr>
          <w:u w:val="none"/>
        </w:rPr>
        <w:t xml:space="preserve">in appraisal or </w:t>
      </w:r>
      <w:r w:rsidR="004F37E6" w:rsidRPr="00705394">
        <w:rPr>
          <w:u w:val="none"/>
        </w:rPr>
        <w:t>subject to the school’s capability procedures</w:t>
      </w:r>
      <w:r w:rsidR="00F1460B" w:rsidRPr="00705394">
        <w:rPr>
          <w:u w:val="none"/>
        </w:rPr>
        <w:t xml:space="preserve"> </w:t>
      </w:r>
      <w:r w:rsidRPr="00705394">
        <w:rPr>
          <w:u w:val="none"/>
        </w:rPr>
        <w:t>(</w:t>
      </w:r>
      <w:r w:rsidRPr="00705394">
        <w:rPr>
          <w:b/>
          <w:bCs/>
          <w:u w:val="none"/>
        </w:rPr>
        <w:t xml:space="preserve">See Appraisal Toolkit – Appendix 5 Example Appraisal </w:t>
      </w:r>
      <w:r w:rsidR="00E06AF8" w:rsidRPr="00705394">
        <w:rPr>
          <w:b/>
          <w:bCs/>
          <w:u w:val="none"/>
        </w:rPr>
        <w:t>Pro Forma)</w:t>
      </w:r>
      <w:r w:rsidR="00BC11AC" w:rsidRPr="00705394">
        <w:rPr>
          <w:u w:val="none"/>
        </w:rPr>
        <w:t xml:space="preserve"> </w:t>
      </w:r>
    </w:p>
    <w:p w14:paraId="22E0B6DA" w14:textId="77777777" w:rsidR="007E4100" w:rsidRPr="00705394" w:rsidRDefault="007E4100" w:rsidP="00396DA7">
      <w:pPr>
        <w:spacing w:after="0"/>
        <w:ind w:left="284"/>
        <w:jc w:val="both"/>
        <w:rPr>
          <w:u w:val="none"/>
        </w:rPr>
      </w:pPr>
    </w:p>
    <w:p w14:paraId="388A1B92" w14:textId="4FC654B2" w:rsidR="00185902" w:rsidRPr="00705394" w:rsidRDefault="00185902" w:rsidP="00106166">
      <w:pPr>
        <w:pStyle w:val="NoSpacing"/>
        <w:spacing w:line="276" w:lineRule="auto"/>
        <w:jc w:val="both"/>
        <w:rPr>
          <w:rFonts w:ascii="Arial" w:hAnsi="Arial" w:cs="Arial"/>
          <w:sz w:val="24"/>
          <w:szCs w:val="24"/>
          <w:u w:val="single"/>
        </w:rPr>
      </w:pPr>
      <w:r w:rsidRPr="00705394">
        <w:rPr>
          <w:rFonts w:ascii="Arial" w:hAnsi="Arial" w:cs="Arial"/>
          <w:sz w:val="24"/>
          <w:szCs w:val="24"/>
          <w:u w:val="single"/>
        </w:rPr>
        <w:t xml:space="preserve">Paragraph 9.7 – The Role of the External Advisor </w:t>
      </w:r>
      <w:r w:rsidR="003E196F" w:rsidRPr="00705394">
        <w:rPr>
          <w:rFonts w:ascii="Arial" w:hAnsi="Arial" w:cs="Arial"/>
          <w:sz w:val="24"/>
          <w:szCs w:val="24"/>
          <w:u w:val="single"/>
        </w:rPr>
        <w:t>(Head</w:t>
      </w:r>
      <w:r w:rsidR="00BE0E09" w:rsidRPr="00705394">
        <w:rPr>
          <w:rFonts w:ascii="Arial" w:hAnsi="Arial" w:cs="Arial"/>
          <w:sz w:val="24"/>
          <w:szCs w:val="24"/>
          <w:u w:val="single"/>
        </w:rPr>
        <w:t>t</w:t>
      </w:r>
      <w:r w:rsidR="003E196F" w:rsidRPr="00705394">
        <w:rPr>
          <w:rFonts w:ascii="Arial" w:hAnsi="Arial" w:cs="Arial"/>
          <w:sz w:val="24"/>
          <w:szCs w:val="24"/>
          <w:u w:val="single"/>
        </w:rPr>
        <w:t>eacher appraisal only)</w:t>
      </w:r>
    </w:p>
    <w:p w14:paraId="25508BD4" w14:textId="77777777" w:rsidR="005023B9" w:rsidRPr="00705394" w:rsidRDefault="005023B9" w:rsidP="00106166">
      <w:pPr>
        <w:pStyle w:val="NoSpacing"/>
        <w:spacing w:line="276" w:lineRule="auto"/>
        <w:jc w:val="both"/>
        <w:rPr>
          <w:rFonts w:ascii="Arial" w:hAnsi="Arial" w:cs="Arial"/>
          <w:sz w:val="24"/>
          <w:szCs w:val="24"/>
        </w:rPr>
      </w:pPr>
    </w:p>
    <w:p w14:paraId="1E110B0D" w14:textId="505DD4D5" w:rsidR="00185902" w:rsidRPr="00705394" w:rsidRDefault="00185902" w:rsidP="00106166">
      <w:pPr>
        <w:pStyle w:val="NoSpacing"/>
        <w:spacing w:line="276" w:lineRule="auto"/>
        <w:jc w:val="both"/>
        <w:rPr>
          <w:rFonts w:ascii="Arial" w:hAnsi="Arial" w:cs="Arial"/>
          <w:sz w:val="24"/>
          <w:szCs w:val="24"/>
        </w:rPr>
      </w:pPr>
      <w:r w:rsidRPr="00705394">
        <w:rPr>
          <w:rFonts w:ascii="Arial" w:hAnsi="Arial" w:cs="Arial"/>
          <w:sz w:val="24"/>
          <w:szCs w:val="24"/>
        </w:rPr>
        <w:t xml:space="preserve">The role of the external advisor to support the governing body in the headteacher appraisal process is set out in the school’s Appraisal Policy. In relation to pay decisions for the headteacher the external advisor should provide professional advice on whether, </w:t>
      </w:r>
      <w:r w:rsidR="009E590E">
        <w:rPr>
          <w:rFonts w:ascii="Arial" w:hAnsi="Arial" w:cs="Arial"/>
          <w:sz w:val="24"/>
          <w:szCs w:val="24"/>
        </w:rPr>
        <w:t xml:space="preserve">there has been </w:t>
      </w:r>
      <w:r w:rsidRPr="00705394">
        <w:rPr>
          <w:rFonts w:ascii="Arial" w:hAnsi="Arial" w:cs="Arial"/>
          <w:sz w:val="24"/>
          <w:szCs w:val="24"/>
        </w:rPr>
        <w:t xml:space="preserve">a </w:t>
      </w:r>
      <w:r w:rsidR="00426FA6" w:rsidRPr="00705394">
        <w:rPr>
          <w:rFonts w:ascii="Arial" w:hAnsi="Arial" w:cs="Arial"/>
          <w:sz w:val="24"/>
          <w:szCs w:val="24"/>
        </w:rPr>
        <w:t>“</w:t>
      </w:r>
      <w:r w:rsidRPr="00705394">
        <w:rPr>
          <w:rFonts w:ascii="Arial" w:hAnsi="Arial" w:cs="Arial"/>
          <w:sz w:val="24"/>
          <w:szCs w:val="24"/>
        </w:rPr>
        <w:t>sustained high quality of performance</w:t>
      </w:r>
      <w:r w:rsidR="009E590E">
        <w:rPr>
          <w:rFonts w:ascii="Arial" w:hAnsi="Arial" w:cs="Arial"/>
          <w:sz w:val="24"/>
          <w:szCs w:val="24"/>
        </w:rPr>
        <w:t xml:space="preserve"> within appraisal</w:t>
      </w:r>
      <w:r w:rsidRPr="00705394">
        <w:rPr>
          <w:rFonts w:ascii="Arial" w:hAnsi="Arial" w:cs="Arial"/>
          <w:sz w:val="24"/>
          <w:szCs w:val="24"/>
        </w:rPr>
        <w:t xml:space="preserve">. However, it is the governing body’s responsibility to determine the pay of the head teacher </w:t>
      </w:r>
      <w:r w:rsidR="009E590E" w:rsidRPr="00705394">
        <w:rPr>
          <w:rFonts w:ascii="Arial" w:hAnsi="Arial" w:cs="Arial"/>
          <w:sz w:val="24"/>
          <w:szCs w:val="24"/>
        </w:rPr>
        <w:t>considering</w:t>
      </w:r>
      <w:r w:rsidRPr="00705394">
        <w:rPr>
          <w:rFonts w:ascii="Arial" w:hAnsi="Arial" w:cs="Arial"/>
          <w:sz w:val="24"/>
          <w:szCs w:val="24"/>
        </w:rPr>
        <w:t xml:space="preserve"> STPCD paragraph 11.2 and paragraph 9.4 of the School Pay Policy.  It is the responsibility of the governing body </w:t>
      </w:r>
      <w:r w:rsidR="00426FA6" w:rsidRPr="00705394">
        <w:rPr>
          <w:rFonts w:ascii="Arial" w:hAnsi="Arial" w:cs="Arial"/>
          <w:sz w:val="24"/>
          <w:szCs w:val="24"/>
        </w:rPr>
        <w:t xml:space="preserve">(not the external adviser) </w:t>
      </w:r>
      <w:r w:rsidRPr="00705394">
        <w:rPr>
          <w:rFonts w:ascii="Arial" w:hAnsi="Arial" w:cs="Arial"/>
          <w:sz w:val="24"/>
          <w:szCs w:val="24"/>
        </w:rPr>
        <w:t xml:space="preserve">to determine the IPR for the school and any advice </w:t>
      </w:r>
      <w:r w:rsidR="00426FA6" w:rsidRPr="00705394">
        <w:rPr>
          <w:rFonts w:ascii="Arial" w:hAnsi="Arial" w:cs="Arial"/>
          <w:sz w:val="24"/>
          <w:szCs w:val="24"/>
        </w:rPr>
        <w:t xml:space="preserve">on re calculating the IPR in accordance with the Pay Policy </w:t>
      </w:r>
      <w:r w:rsidRPr="00705394">
        <w:rPr>
          <w:rFonts w:ascii="Arial" w:hAnsi="Arial" w:cs="Arial"/>
          <w:sz w:val="24"/>
          <w:szCs w:val="24"/>
        </w:rPr>
        <w:t>should be sought from the HR Service.</w:t>
      </w:r>
      <w:r w:rsidR="00710E63" w:rsidRPr="00705394">
        <w:rPr>
          <w:rFonts w:ascii="Arial" w:hAnsi="Arial" w:cs="Arial"/>
          <w:sz w:val="24"/>
          <w:szCs w:val="24"/>
        </w:rPr>
        <w:t xml:space="preserve">  </w:t>
      </w:r>
    </w:p>
    <w:p w14:paraId="0EE1ACB2" w14:textId="77777777" w:rsidR="00E35080" w:rsidRPr="00705394" w:rsidRDefault="00E35080" w:rsidP="00106166">
      <w:pPr>
        <w:pStyle w:val="NoSpacing"/>
        <w:spacing w:line="276" w:lineRule="auto"/>
        <w:jc w:val="both"/>
        <w:rPr>
          <w:rFonts w:ascii="Arial" w:hAnsi="Arial" w:cs="Arial"/>
          <w:sz w:val="24"/>
          <w:szCs w:val="24"/>
        </w:rPr>
      </w:pPr>
    </w:p>
    <w:p w14:paraId="02AADA45" w14:textId="5C426019" w:rsidR="00E35080" w:rsidRPr="00705394" w:rsidRDefault="00E35080" w:rsidP="00E35080">
      <w:pPr>
        <w:rPr>
          <w:rFonts w:ascii="Calibri" w:hAnsi="Calibri" w:cs="Times New Roman"/>
          <w:sz w:val="22"/>
          <w:szCs w:val="22"/>
          <w:u w:val="none"/>
        </w:rPr>
      </w:pPr>
      <w:r w:rsidRPr="00705394">
        <w:rPr>
          <w:u w:val="none"/>
        </w:rPr>
        <w:t>Th</w:t>
      </w:r>
      <w:r w:rsidR="000F0FA8" w:rsidRPr="00705394">
        <w:rPr>
          <w:u w:val="none"/>
        </w:rPr>
        <w:t xml:space="preserve">ose schools who decide to appoint a local authority (EIS) approved / trained external advisor for headteacher appraisal can be confident that the person </w:t>
      </w:r>
      <w:r w:rsidRPr="00705394">
        <w:rPr>
          <w:u w:val="none"/>
        </w:rPr>
        <w:t>meets the following criteria</w:t>
      </w:r>
      <w:r w:rsidR="00653493" w:rsidRPr="00705394">
        <w:rPr>
          <w:u w:val="none"/>
        </w:rPr>
        <w:t>:</w:t>
      </w:r>
    </w:p>
    <w:p w14:paraId="6F8445FB" w14:textId="796D98B0" w:rsidR="00E35080" w:rsidRPr="00073F29" w:rsidRDefault="00E35080" w:rsidP="00B42818">
      <w:pPr>
        <w:pStyle w:val="ListParagraph"/>
        <w:numPr>
          <w:ilvl w:val="0"/>
          <w:numId w:val="25"/>
        </w:numPr>
        <w:spacing w:after="0" w:line="240" w:lineRule="auto"/>
        <w:rPr>
          <w:u w:val="none"/>
        </w:rPr>
      </w:pPr>
      <w:r w:rsidRPr="00073F29">
        <w:rPr>
          <w:u w:val="none"/>
        </w:rPr>
        <w:t>Is fully aware of current Ofsted priorities for schools and the latest changes to the inspection framework</w:t>
      </w:r>
    </w:p>
    <w:p w14:paraId="407DA1E0" w14:textId="5725E599" w:rsidR="00E35080" w:rsidRPr="00073F29" w:rsidRDefault="00E35080" w:rsidP="00B42818">
      <w:pPr>
        <w:pStyle w:val="ListParagraph"/>
        <w:numPr>
          <w:ilvl w:val="0"/>
          <w:numId w:val="25"/>
        </w:numPr>
        <w:spacing w:after="0" w:line="240" w:lineRule="auto"/>
        <w:rPr>
          <w:u w:val="none"/>
        </w:rPr>
      </w:pPr>
      <w:r w:rsidRPr="00073F29">
        <w:rPr>
          <w:u w:val="none"/>
        </w:rPr>
        <w:t xml:space="preserve">Is fully trained on the Nottinghamshire and </w:t>
      </w:r>
      <w:r w:rsidR="000F0FA8" w:rsidRPr="00073F29">
        <w:rPr>
          <w:u w:val="none"/>
        </w:rPr>
        <w:t xml:space="preserve">statutory requirements in relation to pay, </w:t>
      </w:r>
      <w:r w:rsidRPr="00073F29">
        <w:rPr>
          <w:u w:val="none"/>
        </w:rPr>
        <w:t>appraisal and capability; and</w:t>
      </w:r>
    </w:p>
    <w:p w14:paraId="2EB7EA50" w14:textId="60420BCB" w:rsidR="00E35080" w:rsidRPr="00073F29" w:rsidRDefault="00E35080" w:rsidP="00B42818">
      <w:pPr>
        <w:pStyle w:val="ListParagraph"/>
        <w:numPr>
          <w:ilvl w:val="0"/>
          <w:numId w:val="25"/>
        </w:numPr>
        <w:spacing w:after="0" w:line="240" w:lineRule="auto"/>
        <w:rPr>
          <w:u w:val="none"/>
        </w:rPr>
      </w:pPr>
      <w:r w:rsidRPr="00073F29">
        <w:rPr>
          <w:u w:val="none"/>
        </w:rPr>
        <w:t>Is fully trained to set objectives and success criteria based on statutory and school assessment</w:t>
      </w:r>
      <w:r w:rsidR="00073F29">
        <w:rPr>
          <w:u w:val="none"/>
        </w:rPr>
        <w:t>.</w:t>
      </w:r>
    </w:p>
    <w:p w14:paraId="60A4D408" w14:textId="77777777" w:rsidR="00E35080" w:rsidRPr="00705394" w:rsidRDefault="00E35080" w:rsidP="00E35080">
      <w:pPr>
        <w:pStyle w:val="ListParagraph"/>
        <w:spacing w:after="0" w:line="240" w:lineRule="auto"/>
        <w:rPr>
          <w:u w:val="none"/>
        </w:rPr>
      </w:pPr>
      <w:r w:rsidRPr="00705394">
        <w:rPr>
          <w:u w:val="none"/>
        </w:rPr>
        <w:t xml:space="preserve"> </w:t>
      </w:r>
    </w:p>
    <w:p w14:paraId="2E670FFF" w14:textId="110985EA" w:rsidR="005023B9" w:rsidRPr="00705394" w:rsidRDefault="00CE0989" w:rsidP="00E35080">
      <w:pPr>
        <w:rPr>
          <w:u w:val="none"/>
        </w:rPr>
      </w:pPr>
      <w:r w:rsidRPr="00705394">
        <w:rPr>
          <w:u w:val="none"/>
        </w:rPr>
        <w:lastRenderedPageBreak/>
        <w:t xml:space="preserve">Headteacher Appraisal support documentation has been fully updated and is available to schools who use members of the council EIS team as their external adviser. </w:t>
      </w:r>
      <w:r w:rsidR="00E35080" w:rsidRPr="00705394">
        <w:rPr>
          <w:u w:val="none"/>
        </w:rPr>
        <w:t>The EIS provides expert consultants who can act as an External Adviser in respect of H</w:t>
      </w:r>
      <w:r w:rsidR="00BE0E09" w:rsidRPr="00705394">
        <w:rPr>
          <w:u w:val="none"/>
        </w:rPr>
        <w:t xml:space="preserve">eadteacher </w:t>
      </w:r>
      <w:r w:rsidR="00E35080" w:rsidRPr="00705394">
        <w:rPr>
          <w:u w:val="none"/>
        </w:rPr>
        <w:t xml:space="preserve">appraisal who are fully trained to meet all the above criteria.  Maintained and other schools adopting this policy are strongly advised to ensure that a local authority accredited adviser is employed by your school for this purpose.  Please contact </w:t>
      </w:r>
      <w:hyperlink r:id="rId25" w:history="1">
        <w:r w:rsidR="00E52D0D" w:rsidRPr="00705394">
          <w:rPr>
            <w:rStyle w:val="Hyperlink"/>
            <w:color w:val="auto"/>
          </w:rPr>
          <w:t>info@em-edsupport.org.uk</w:t>
        </w:r>
      </w:hyperlink>
      <w:r w:rsidR="00E52D0D" w:rsidRPr="00705394">
        <w:t xml:space="preserve"> </w:t>
      </w:r>
      <w:r w:rsidR="00E35080" w:rsidRPr="00705394">
        <w:rPr>
          <w:u w:val="none"/>
        </w:rPr>
        <w:t xml:space="preserve">for more </w:t>
      </w:r>
      <w:r w:rsidR="006D6408" w:rsidRPr="00705394">
        <w:rPr>
          <w:u w:val="none"/>
        </w:rPr>
        <w:t>information).</w:t>
      </w:r>
      <w:r w:rsidR="00087ABA" w:rsidRPr="00705394">
        <w:rPr>
          <w:u w:val="none"/>
        </w:rPr>
        <w:t xml:space="preserve"> </w:t>
      </w:r>
    </w:p>
    <w:p w14:paraId="7E72BCD7" w14:textId="2F1EA571" w:rsidR="00256234" w:rsidRPr="00705394" w:rsidRDefault="00185902" w:rsidP="0033197B">
      <w:pPr>
        <w:spacing w:after="0"/>
        <w:jc w:val="both"/>
        <w:rPr>
          <w:rFonts w:eastAsia="Times New Roman" w:cs="Times New Roman"/>
          <w:i/>
          <w:strike/>
          <w:u w:val="none"/>
          <w:lang w:eastAsia="en-GB"/>
        </w:rPr>
      </w:pPr>
      <w:r w:rsidRPr="00705394">
        <w:rPr>
          <w:u w:val="none"/>
        </w:rPr>
        <w:t xml:space="preserve">All teachers should expect to progress up the pay MPR and UTR </w:t>
      </w:r>
      <w:r w:rsidR="00EC1FCD" w:rsidRPr="00705394">
        <w:rPr>
          <w:u w:val="none"/>
        </w:rPr>
        <w:t>and p</w:t>
      </w:r>
      <w:r w:rsidR="004F37E6" w:rsidRPr="00705394">
        <w:rPr>
          <w:u w:val="none"/>
        </w:rPr>
        <w:t xml:space="preserve">ay progression will only be withheld </w:t>
      </w:r>
      <w:r w:rsidR="004E5495" w:rsidRPr="00705394">
        <w:rPr>
          <w:u w:val="none"/>
        </w:rPr>
        <w:t>where serious performance concerns are identified, and the employee is in receipt of focussed support within appraisal or subject to the school’s capability procedures</w:t>
      </w:r>
      <w:r w:rsidR="00EC1FCD" w:rsidRPr="00705394">
        <w:rPr>
          <w:u w:val="none"/>
        </w:rPr>
        <w:t>.</w:t>
      </w:r>
    </w:p>
    <w:p w14:paraId="12C37A92" w14:textId="77777777" w:rsidR="005D5077" w:rsidRPr="00705394" w:rsidRDefault="005D5077" w:rsidP="00106166">
      <w:pPr>
        <w:spacing w:after="0"/>
        <w:jc w:val="both"/>
      </w:pPr>
    </w:p>
    <w:p w14:paraId="7041ED41" w14:textId="47607D0F" w:rsidR="00185902" w:rsidRPr="00705394" w:rsidRDefault="00185902" w:rsidP="00106166">
      <w:pPr>
        <w:spacing w:after="0"/>
        <w:jc w:val="both"/>
      </w:pPr>
      <w:r w:rsidRPr="00705394">
        <w:t>Paragraph 9.</w:t>
      </w:r>
      <w:r w:rsidR="00EC1FCD" w:rsidRPr="00705394">
        <w:t>5</w:t>
      </w:r>
      <w:r w:rsidRPr="00705394">
        <w:t xml:space="preserve"> – Head</w:t>
      </w:r>
      <w:r w:rsidR="00BE0E09" w:rsidRPr="00705394">
        <w:t>t</w:t>
      </w:r>
      <w:r w:rsidRPr="00705394">
        <w:t>eachers</w:t>
      </w:r>
      <w:r w:rsidR="005023B9" w:rsidRPr="00705394">
        <w:t xml:space="preserve"> Pay </w:t>
      </w:r>
      <w:r w:rsidR="00E80466" w:rsidRPr="00705394">
        <w:t>Progression</w:t>
      </w:r>
    </w:p>
    <w:p w14:paraId="2C37DBFD" w14:textId="77777777" w:rsidR="005023B9" w:rsidRPr="00705394" w:rsidRDefault="005023B9" w:rsidP="00106166">
      <w:pPr>
        <w:spacing w:after="0"/>
        <w:jc w:val="both"/>
      </w:pPr>
    </w:p>
    <w:p w14:paraId="10EC53D3" w14:textId="1C539B8F" w:rsidR="00185902" w:rsidRPr="00705394" w:rsidRDefault="00185902" w:rsidP="00106166">
      <w:pPr>
        <w:spacing w:after="0"/>
        <w:jc w:val="both"/>
        <w:rPr>
          <w:u w:val="none"/>
        </w:rPr>
      </w:pPr>
      <w:r w:rsidRPr="00705394">
        <w:rPr>
          <w:u w:val="none"/>
        </w:rPr>
        <w:t>The Nottinghamshire Appraisal Toolkit Appendix 5 sets out an Example Appraisal proforma.</w:t>
      </w:r>
      <w:r w:rsidR="003970B1" w:rsidRPr="00705394">
        <w:rPr>
          <w:u w:val="none"/>
        </w:rPr>
        <w:t xml:space="preserve"> </w:t>
      </w:r>
      <w:r w:rsidR="00DD658D" w:rsidRPr="00705394">
        <w:rPr>
          <w:u w:val="none"/>
        </w:rPr>
        <w:t>For teachers and those schools who choose to select the EIS, NCC Services to provide External Advisor Support will be provided with the necessary forms as part of a toolkit to manage</w:t>
      </w:r>
      <w:r w:rsidR="008B4F6F" w:rsidRPr="00705394">
        <w:rPr>
          <w:u w:val="none"/>
        </w:rPr>
        <w:t xml:space="preserve"> </w:t>
      </w:r>
      <w:r w:rsidR="00BE0E09" w:rsidRPr="00705394">
        <w:rPr>
          <w:u w:val="none"/>
        </w:rPr>
        <w:t>headteacher a</w:t>
      </w:r>
      <w:r w:rsidR="008B4F6F" w:rsidRPr="00705394">
        <w:rPr>
          <w:u w:val="none"/>
        </w:rPr>
        <w:t xml:space="preserve">ppraisal. Suggested framework for </w:t>
      </w:r>
      <w:r w:rsidR="00BE0E09" w:rsidRPr="00705394">
        <w:rPr>
          <w:u w:val="none"/>
        </w:rPr>
        <w:t xml:space="preserve">headteacher </w:t>
      </w:r>
      <w:r w:rsidR="008B4F6F" w:rsidRPr="00705394">
        <w:rPr>
          <w:u w:val="none"/>
        </w:rPr>
        <w:t xml:space="preserve">objectives is set out in the School Appraisal </w:t>
      </w:r>
      <w:r w:rsidR="00E14C28" w:rsidRPr="00705394">
        <w:rPr>
          <w:u w:val="none"/>
        </w:rPr>
        <w:t>Guidance</w:t>
      </w:r>
      <w:r w:rsidR="006A7B28">
        <w:rPr>
          <w:u w:val="none"/>
        </w:rPr>
        <w:t xml:space="preserve"> document</w:t>
      </w:r>
      <w:r w:rsidR="00BC11AC" w:rsidRPr="00705394">
        <w:rPr>
          <w:u w:val="none"/>
        </w:rPr>
        <w:t>.</w:t>
      </w:r>
      <w:r w:rsidR="00EC1FCD" w:rsidRPr="00705394">
        <w:rPr>
          <w:u w:val="none"/>
        </w:rPr>
        <w:t xml:space="preserve"> </w:t>
      </w:r>
      <w:r w:rsidR="003970B1" w:rsidRPr="00705394">
        <w:rPr>
          <w:u w:val="none"/>
        </w:rPr>
        <w:t>The committee con</w:t>
      </w:r>
      <w:r w:rsidR="00DD658D" w:rsidRPr="00705394">
        <w:rPr>
          <w:u w:val="none"/>
        </w:rPr>
        <w:t>ve</w:t>
      </w:r>
      <w:r w:rsidR="003970B1" w:rsidRPr="00705394">
        <w:rPr>
          <w:u w:val="none"/>
        </w:rPr>
        <w:t xml:space="preserve">ned to consider </w:t>
      </w:r>
      <w:r w:rsidR="00D5480E" w:rsidRPr="00705394">
        <w:rPr>
          <w:u w:val="none"/>
        </w:rPr>
        <w:t xml:space="preserve">recommendations for Pay Progression should be as per the school decision planner. </w:t>
      </w:r>
    </w:p>
    <w:p w14:paraId="55589287" w14:textId="77777777" w:rsidR="005D5077" w:rsidRPr="00705394" w:rsidRDefault="005D5077" w:rsidP="00106166">
      <w:pPr>
        <w:spacing w:after="0"/>
        <w:jc w:val="both"/>
      </w:pPr>
    </w:p>
    <w:p w14:paraId="41FA2CD2" w14:textId="77777777" w:rsidR="00185902" w:rsidRPr="00705394" w:rsidRDefault="00185902" w:rsidP="00106166">
      <w:pPr>
        <w:spacing w:after="0"/>
        <w:jc w:val="both"/>
      </w:pPr>
      <w:r w:rsidRPr="00705394">
        <w:t>Paragraph 9.11</w:t>
      </w:r>
      <w:r w:rsidR="008B4F6F" w:rsidRPr="00705394">
        <w:t>(</w:t>
      </w:r>
      <w:r w:rsidRPr="00705394">
        <w:t>b</w:t>
      </w:r>
      <w:r w:rsidR="008B4F6F" w:rsidRPr="00705394">
        <w:t>)</w:t>
      </w:r>
      <w:r w:rsidRPr="00705394">
        <w:t xml:space="preserve"> – A</w:t>
      </w:r>
      <w:r w:rsidR="005023B9" w:rsidRPr="00705394">
        <w:t>ll other Teachers Pay Recommendation Process</w:t>
      </w:r>
      <w:r w:rsidRPr="00705394">
        <w:t xml:space="preserve"> </w:t>
      </w:r>
    </w:p>
    <w:p w14:paraId="35963DB8" w14:textId="77777777" w:rsidR="005023B9" w:rsidRPr="00705394" w:rsidRDefault="005023B9" w:rsidP="00106166">
      <w:pPr>
        <w:spacing w:after="0"/>
        <w:jc w:val="both"/>
      </w:pPr>
    </w:p>
    <w:p w14:paraId="5FCA95FB" w14:textId="3D198E47" w:rsidR="00185902" w:rsidRPr="00705394" w:rsidRDefault="00185902" w:rsidP="00106166">
      <w:pPr>
        <w:spacing w:after="0"/>
        <w:jc w:val="both"/>
        <w:rPr>
          <w:i/>
          <w:u w:val="none"/>
        </w:rPr>
      </w:pPr>
      <w:r w:rsidRPr="00705394">
        <w:rPr>
          <w:u w:val="none"/>
        </w:rPr>
        <w:t>The arrangements for other leadership and teacher appraisal and consequent decisions on pay progression are as set out in the</w:t>
      </w:r>
      <w:r w:rsidR="008B4F6F" w:rsidRPr="00705394">
        <w:rPr>
          <w:u w:val="none"/>
        </w:rPr>
        <w:t xml:space="preserve"> Pay </w:t>
      </w:r>
      <w:r w:rsidRPr="00705394">
        <w:rPr>
          <w:u w:val="none"/>
        </w:rPr>
        <w:t xml:space="preserve">Policy paragraph </w:t>
      </w:r>
      <w:r w:rsidR="006A7B28">
        <w:rPr>
          <w:u w:val="none"/>
        </w:rPr>
        <w:t xml:space="preserve">1.4 and </w:t>
      </w:r>
      <w:r w:rsidRPr="00705394">
        <w:rPr>
          <w:u w:val="none"/>
        </w:rPr>
        <w:t>9.</w:t>
      </w:r>
      <w:r w:rsidR="00EC1FCD" w:rsidRPr="00705394">
        <w:rPr>
          <w:u w:val="none"/>
        </w:rPr>
        <w:t xml:space="preserve">2. </w:t>
      </w:r>
      <w:r w:rsidRPr="00705394">
        <w:rPr>
          <w:u w:val="none"/>
        </w:rPr>
        <w:t xml:space="preserve">The Nottinghamshire Appraisal Toolkit Appendix 5 sets out an Example Appraisal </w:t>
      </w:r>
      <w:r w:rsidR="005023B9" w:rsidRPr="00705394">
        <w:rPr>
          <w:u w:val="none"/>
        </w:rPr>
        <w:t>P</w:t>
      </w:r>
      <w:r w:rsidRPr="00705394">
        <w:rPr>
          <w:u w:val="none"/>
        </w:rPr>
        <w:t>ro</w:t>
      </w:r>
      <w:r w:rsidR="005023B9" w:rsidRPr="00705394">
        <w:rPr>
          <w:u w:val="none"/>
        </w:rPr>
        <w:t xml:space="preserve"> F</w:t>
      </w:r>
      <w:r w:rsidRPr="00705394">
        <w:rPr>
          <w:u w:val="none"/>
        </w:rPr>
        <w:t>orma.</w:t>
      </w:r>
      <w:r w:rsidR="00BC11AC" w:rsidRPr="00705394">
        <w:rPr>
          <w:u w:val="none"/>
        </w:rPr>
        <w:t xml:space="preserve">   </w:t>
      </w:r>
    </w:p>
    <w:p w14:paraId="79E8ABBA" w14:textId="77777777" w:rsidR="005023B9" w:rsidRPr="00705394" w:rsidRDefault="005023B9" w:rsidP="00396DA7">
      <w:pPr>
        <w:spacing w:after="0"/>
        <w:ind w:left="284"/>
        <w:jc w:val="both"/>
        <w:rPr>
          <w:i/>
          <w:u w:val="none"/>
        </w:rPr>
      </w:pPr>
    </w:p>
    <w:p w14:paraId="6E10EDD6" w14:textId="22DDDE86" w:rsidR="00185902" w:rsidRPr="00705394" w:rsidRDefault="008B4F6F" w:rsidP="00106166">
      <w:pPr>
        <w:spacing w:after="0"/>
        <w:jc w:val="both"/>
        <w:rPr>
          <w:strike/>
          <w:u w:val="none"/>
        </w:rPr>
      </w:pPr>
      <w:r w:rsidRPr="00705394">
        <w:rPr>
          <w:u w:val="none"/>
        </w:rPr>
        <w:t>Once the review process is complete, t</w:t>
      </w:r>
      <w:r w:rsidR="00185902" w:rsidRPr="00705394">
        <w:rPr>
          <w:u w:val="none"/>
        </w:rPr>
        <w:t>he process for making pay decisions requires the headteacher to present a report to the Pay Committee</w:t>
      </w:r>
      <w:r w:rsidR="002C46F6" w:rsidRPr="00705394">
        <w:rPr>
          <w:u w:val="none"/>
        </w:rPr>
        <w:t xml:space="preserve"> determined by the </w:t>
      </w:r>
      <w:r w:rsidR="003301B5" w:rsidRPr="00705394">
        <w:rPr>
          <w:u w:val="none"/>
        </w:rPr>
        <w:t>governing body as per the school decision planner. The report should contain</w:t>
      </w:r>
      <w:r w:rsidR="00185902" w:rsidRPr="00705394">
        <w:rPr>
          <w:u w:val="none"/>
        </w:rPr>
        <w:t xml:space="preserve"> sufficient information to enable the committee to </w:t>
      </w:r>
      <w:r w:rsidR="00710E63" w:rsidRPr="00705394">
        <w:rPr>
          <w:u w:val="none"/>
        </w:rPr>
        <w:t xml:space="preserve">carefully consider, understand and then </w:t>
      </w:r>
      <w:r w:rsidR="00185902" w:rsidRPr="00705394">
        <w:rPr>
          <w:u w:val="none"/>
        </w:rPr>
        <w:t xml:space="preserve">ratify the recommendations.  </w:t>
      </w:r>
      <w:r w:rsidR="00185902" w:rsidRPr="00705394">
        <w:rPr>
          <w:b/>
          <w:bCs/>
          <w:u w:val="none"/>
        </w:rPr>
        <w:t xml:space="preserve">Appendix </w:t>
      </w:r>
      <w:r w:rsidR="00E06AF8" w:rsidRPr="00705394">
        <w:rPr>
          <w:b/>
          <w:bCs/>
          <w:u w:val="none"/>
        </w:rPr>
        <w:t>8</w:t>
      </w:r>
      <w:r w:rsidR="00185902" w:rsidRPr="00705394">
        <w:rPr>
          <w:b/>
          <w:bCs/>
          <w:u w:val="none"/>
        </w:rPr>
        <w:t xml:space="preserve"> </w:t>
      </w:r>
      <w:r w:rsidR="00BC11AC" w:rsidRPr="00705394">
        <w:rPr>
          <w:b/>
          <w:bCs/>
          <w:u w:val="none"/>
        </w:rPr>
        <w:t xml:space="preserve">of the Pay Policy </w:t>
      </w:r>
      <w:r w:rsidR="00830977" w:rsidRPr="00705394">
        <w:rPr>
          <w:b/>
          <w:bCs/>
          <w:u w:val="none"/>
        </w:rPr>
        <w:t>Toolkit</w:t>
      </w:r>
      <w:r w:rsidR="00830977" w:rsidRPr="00705394">
        <w:rPr>
          <w:u w:val="none"/>
        </w:rPr>
        <w:t xml:space="preserve"> sets</w:t>
      </w:r>
      <w:r w:rsidR="00185902" w:rsidRPr="00705394">
        <w:rPr>
          <w:u w:val="none"/>
        </w:rPr>
        <w:t xml:space="preserve"> out a suggested </w:t>
      </w:r>
      <w:r w:rsidR="00E80466" w:rsidRPr="00705394">
        <w:rPr>
          <w:u w:val="none"/>
        </w:rPr>
        <w:t xml:space="preserve">template </w:t>
      </w:r>
      <w:r w:rsidR="00185902" w:rsidRPr="00705394">
        <w:rPr>
          <w:u w:val="none"/>
        </w:rPr>
        <w:t>for the H</w:t>
      </w:r>
      <w:r w:rsidR="00E80466" w:rsidRPr="00705394">
        <w:rPr>
          <w:u w:val="none"/>
        </w:rPr>
        <w:t>ead</w:t>
      </w:r>
      <w:r w:rsidR="00BE0E09" w:rsidRPr="00705394">
        <w:rPr>
          <w:u w:val="none"/>
        </w:rPr>
        <w:t>t</w:t>
      </w:r>
      <w:r w:rsidR="00E80466" w:rsidRPr="00705394">
        <w:rPr>
          <w:u w:val="none"/>
        </w:rPr>
        <w:t>eacher’s Report to Governors</w:t>
      </w:r>
      <w:r w:rsidR="00185902" w:rsidRPr="00705394">
        <w:rPr>
          <w:u w:val="none"/>
        </w:rPr>
        <w:t xml:space="preserve">. </w:t>
      </w:r>
    </w:p>
    <w:p w14:paraId="1A8120E8" w14:textId="77777777" w:rsidR="005023B9" w:rsidRPr="00705394" w:rsidRDefault="005023B9" w:rsidP="00106166">
      <w:pPr>
        <w:spacing w:after="0"/>
        <w:jc w:val="both"/>
        <w:rPr>
          <w:u w:val="none"/>
        </w:rPr>
      </w:pPr>
    </w:p>
    <w:p w14:paraId="360A910C" w14:textId="5D68E515" w:rsidR="00185902" w:rsidRPr="00705394" w:rsidRDefault="00185902" w:rsidP="00106166">
      <w:pPr>
        <w:spacing w:after="0"/>
        <w:jc w:val="both"/>
        <w:rPr>
          <w:u w:val="none"/>
        </w:rPr>
      </w:pPr>
      <w:r w:rsidRPr="00705394">
        <w:rPr>
          <w:u w:val="none"/>
        </w:rPr>
        <w:t xml:space="preserve">The headteacher (where the headteacher is not the appraiser) will </w:t>
      </w:r>
      <w:r w:rsidR="00EC1FCD" w:rsidRPr="00705394">
        <w:rPr>
          <w:u w:val="none"/>
        </w:rPr>
        <w:t>review</w:t>
      </w:r>
      <w:r w:rsidRPr="00705394">
        <w:rPr>
          <w:u w:val="none"/>
        </w:rPr>
        <w:t xml:space="preserve"> recommendations made by the appraiser </w:t>
      </w:r>
      <w:r w:rsidRPr="00073F29">
        <w:rPr>
          <w:u w:val="none"/>
        </w:rPr>
        <w:t>(See Appendix 5 – Example Appraisal Pro forma of the Nottinghamshire School Appraisal Toolkit</w:t>
      </w:r>
      <w:r w:rsidR="009E590E" w:rsidRPr="00073F29">
        <w:rPr>
          <w:u w:val="none"/>
        </w:rPr>
        <w:t>).</w:t>
      </w:r>
      <w:r w:rsidR="009E590E" w:rsidRPr="00705394">
        <w:rPr>
          <w:u w:val="none"/>
        </w:rPr>
        <w:t xml:space="preserve"> The</w:t>
      </w:r>
      <w:r w:rsidR="00C9159D" w:rsidRPr="00705394">
        <w:rPr>
          <w:u w:val="none"/>
        </w:rPr>
        <w:t xml:space="preserve"> school should ensure that </w:t>
      </w:r>
      <w:r w:rsidRPr="00705394">
        <w:rPr>
          <w:u w:val="none"/>
        </w:rPr>
        <w:t>teacher governors</w:t>
      </w:r>
      <w:r w:rsidR="008B4F6F" w:rsidRPr="00705394">
        <w:rPr>
          <w:u w:val="none"/>
        </w:rPr>
        <w:t>, relatives of staff</w:t>
      </w:r>
      <w:r w:rsidRPr="00705394">
        <w:rPr>
          <w:u w:val="none"/>
        </w:rPr>
        <w:t xml:space="preserve"> or other staff governors </w:t>
      </w:r>
      <w:r w:rsidR="00C9159D" w:rsidRPr="00705394">
        <w:rPr>
          <w:u w:val="none"/>
        </w:rPr>
        <w:t xml:space="preserve">are </w:t>
      </w:r>
      <w:r w:rsidRPr="00705394">
        <w:rPr>
          <w:u w:val="none"/>
        </w:rPr>
        <w:t xml:space="preserve">not members of any Pay Committee making pay decisions. </w:t>
      </w:r>
    </w:p>
    <w:p w14:paraId="4E6B5106" w14:textId="77777777" w:rsidR="005023B9" w:rsidRPr="00705394" w:rsidRDefault="005023B9" w:rsidP="00106166">
      <w:pPr>
        <w:spacing w:after="0"/>
        <w:jc w:val="both"/>
        <w:rPr>
          <w:u w:val="none"/>
        </w:rPr>
      </w:pPr>
    </w:p>
    <w:p w14:paraId="061040F4" w14:textId="0A45B0BC" w:rsidR="00185902" w:rsidRPr="00705394" w:rsidRDefault="00185902" w:rsidP="00106166">
      <w:pPr>
        <w:spacing w:after="0"/>
        <w:jc w:val="both"/>
      </w:pPr>
      <w:r w:rsidRPr="00705394">
        <w:t xml:space="preserve">Paragraph 9.13 – </w:t>
      </w:r>
      <w:r w:rsidR="00BE0E09" w:rsidRPr="00705394">
        <w:t xml:space="preserve">Focussed Support </w:t>
      </w:r>
      <w:r w:rsidRPr="00705394">
        <w:t xml:space="preserve">Plans </w:t>
      </w:r>
      <w:r w:rsidR="00BE0E09" w:rsidRPr="00705394">
        <w:t xml:space="preserve">within appraisal </w:t>
      </w:r>
      <w:r w:rsidRPr="00705394">
        <w:t>and Capability</w:t>
      </w:r>
    </w:p>
    <w:p w14:paraId="38988817" w14:textId="77777777" w:rsidR="005023B9" w:rsidRPr="00705394" w:rsidRDefault="005023B9" w:rsidP="00106166">
      <w:pPr>
        <w:spacing w:after="0"/>
        <w:jc w:val="both"/>
        <w:rPr>
          <w:highlight w:val="yellow"/>
        </w:rPr>
      </w:pPr>
    </w:p>
    <w:p w14:paraId="4EA99DB7" w14:textId="677075A2" w:rsidR="00185902" w:rsidRPr="00705394" w:rsidRDefault="00185902" w:rsidP="00106166">
      <w:pPr>
        <w:spacing w:after="0"/>
        <w:jc w:val="both"/>
        <w:rPr>
          <w:u w:val="none"/>
        </w:rPr>
      </w:pPr>
      <w:r w:rsidRPr="00705394">
        <w:rPr>
          <w:u w:val="none"/>
        </w:rPr>
        <w:t>Where the teacher has been subject to</w:t>
      </w:r>
      <w:r w:rsidR="00A532DE" w:rsidRPr="00705394">
        <w:rPr>
          <w:u w:val="none"/>
        </w:rPr>
        <w:t xml:space="preserve"> additional focussed </w:t>
      </w:r>
      <w:r w:rsidR="001209A3" w:rsidRPr="00705394">
        <w:rPr>
          <w:u w:val="none"/>
        </w:rPr>
        <w:t>support within</w:t>
      </w:r>
      <w:r w:rsidR="00724EB9" w:rsidRPr="00705394">
        <w:rPr>
          <w:u w:val="none"/>
        </w:rPr>
        <w:t xml:space="preserve"> appraisal </w:t>
      </w:r>
      <w:r w:rsidRPr="00705394">
        <w:rPr>
          <w:u w:val="none"/>
        </w:rPr>
        <w:t>and/or subject to the school capability procedures</w:t>
      </w:r>
      <w:r w:rsidR="008B4F6F" w:rsidRPr="00705394">
        <w:rPr>
          <w:u w:val="none"/>
        </w:rPr>
        <w:t>, the teacher</w:t>
      </w:r>
      <w:r w:rsidRPr="00705394">
        <w:rPr>
          <w:u w:val="none"/>
        </w:rPr>
        <w:t xml:space="preserve"> will not normally be considered for pay progression. However, due regard should be given to the specific circumstances and considered on a </w:t>
      </w:r>
      <w:r w:rsidR="001209A3" w:rsidRPr="00705394">
        <w:rPr>
          <w:u w:val="none"/>
        </w:rPr>
        <w:t>case-by-case</w:t>
      </w:r>
      <w:r w:rsidRPr="00705394">
        <w:rPr>
          <w:u w:val="none"/>
        </w:rPr>
        <w:t xml:space="preserve"> basis by the appraiser (in making the initial recommendation) and the headteacher (in moderating all recommendations for pay progression). </w:t>
      </w:r>
      <w:r w:rsidR="00C9159D" w:rsidRPr="00705394">
        <w:rPr>
          <w:u w:val="none"/>
        </w:rPr>
        <w:t xml:space="preserve">The </w:t>
      </w:r>
      <w:r w:rsidR="00C9159D" w:rsidRPr="00705394">
        <w:rPr>
          <w:u w:val="none"/>
        </w:rPr>
        <w:lastRenderedPageBreak/>
        <w:t xml:space="preserve">exception to this being, if </w:t>
      </w:r>
      <w:r w:rsidRPr="00705394">
        <w:rPr>
          <w:u w:val="none"/>
        </w:rPr>
        <w:t>during the appraisal cycle</w:t>
      </w:r>
      <w:r w:rsidR="00C9159D" w:rsidRPr="00705394">
        <w:rPr>
          <w:u w:val="none"/>
        </w:rPr>
        <w:t>,</w:t>
      </w:r>
      <w:r w:rsidRPr="00705394">
        <w:rPr>
          <w:u w:val="none"/>
        </w:rPr>
        <w:t xml:space="preserve"> the period of </w:t>
      </w:r>
      <w:r w:rsidR="00C9159D" w:rsidRPr="00705394">
        <w:rPr>
          <w:u w:val="none"/>
        </w:rPr>
        <w:t xml:space="preserve">the </w:t>
      </w:r>
      <w:r w:rsidR="00BE0E09" w:rsidRPr="00705394">
        <w:rPr>
          <w:u w:val="none"/>
        </w:rPr>
        <w:t xml:space="preserve">focussed </w:t>
      </w:r>
      <w:r w:rsidRPr="00705394">
        <w:rPr>
          <w:u w:val="none"/>
        </w:rPr>
        <w:t xml:space="preserve">support </w:t>
      </w:r>
      <w:r w:rsidR="00C9159D" w:rsidRPr="00705394">
        <w:rPr>
          <w:u w:val="none"/>
        </w:rPr>
        <w:t xml:space="preserve">plan </w:t>
      </w:r>
      <w:r w:rsidRPr="00705394">
        <w:rPr>
          <w:u w:val="none"/>
        </w:rPr>
        <w:t xml:space="preserve">or </w:t>
      </w:r>
      <w:r w:rsidR="00C9159D" w:rsidRPr="00705394">
        <w:rPr>
          <w:u w:val="none"/>
        </w:rPr>
        <w:t xml:space="preserve">monitoring and support within </w:t>
      </w:r>
      <w:r w:rsidRPr="00705394">
        <w:rPr>
          <w:u w:val="none"/>
        </w:rPr>
        <w:t xml:space="preserve">the capability procedures has ended and the teacher has improved their performance to the required standards for </w:t>
      </w:r>
      <w:r w:rsidR="00E06AF8" w:rsidRPr="00705394">
        <w:rPr>
          <w:u w:val="none"/>
        </w:rPr>
        <w:t>a sustained period of 26</w:t>
      </w:r>
      <w:r w:rsidRPr="00705394">
        <w:rPr>
          <w:u w:val="none"/>
        </w:rPr>
        <w:t xml:space="preserve"> calendar weeks</w:t>
      </w:r>
      <w:r w:rsidR="00C9159D" w:rsidRPr="00705394">
        <w:rPr>
          <w:u w:val="none"/>
        </w:rPr>
        <w:t xml:space="preserve"> prior to the pay review date</w:t>
      </w:r>
      <w:r w:rsidR="008E3211" w:rsidRPr="00705394">
        <w:rPr>
          <w:u w:val="none"/>
        </w:rPr>
        <w:t xml:space="preserve"> </w:t>
      </w:r>
      <w:r w:rsidR="00C9159D" w:rsidRPr="00705394">
        <w:rPr>
          <w:u w:val="none"/>
        </w:rPr>
        <w:t>(1</w:t>
      </w:r>
      <w:r w:rsidR="00C9159D" w:rsidRPr="00705394">
        <w:rPr>
          <w:u w:val="none"/>
          <w:vertAlign w:val="superscript"/>
        </w:rPr>
        <w:t>st</w:t>
      </w:r>
      <w:r w:rsidR="00C9159D" w:rsidRPr="00705394">
        <w:rPr>
          <w:u w:val="none"/>
        </w:rPr>
        <w:t xml:space="preserve"> September) </w:t>
      </w:r>
      <w:r w:rsidR="00EC1FCD" w:rsidRPr="00705394">
        <w:rPr>
          <w:u w:val="none"/>
        </w:rPr>
        <w:t xml:space="preserve">it may be that the school decides that </w:t>
      </w:r>
      <w:r w:rsidRPr="00705394">
        <w:rPr>
          <w:u w:val="none"/>
        </w:rPr>
        <w:t>the teacher may be considered for pay progression</w:t>
      </w:r>
      <w:r w:rsidR="009E3012" w:rsidRPr="00705394">
        <w:rPr>
          <w:u w:val="none"/>
        </w:rPr>
        <w:t>, so long as the performance concerns are resolved</w:t>
      </w:r>
      <w:r w:rsidR="005557DE" w:rsidRPr="00705394">
        <w:rPr>
          <w:u w:val="none"/>
        </w:rPr>
        <w:t xml:space="preserve"> and the teachers overall performance is regarded as consistently good</w:t>
      </w:r>
      <w:r w:rsidRPr="00705394">
        <w:rPr>
          <w:u w:val="none"/>
        </w:rPr>
        <w:t xml:space="preserve">.  </w:t>
      </w:r>
    </w:p>
    <w:p w14:paraId="5C145AA2" w14:textId="77777777" w:rsidR="005023B9" w:rsidRPr="00705394" w:rsidRDefault="005023B9" w:rsidP="00106166">
      <w:pPr>
        <w:spacing w:after="0"/>
        <w:jc w:val="both"/>
        <w:rPr>
          <w:highlight w:val="yellow"/>
          <w:u w:val="none"/>
        </w:rPr>
      </w:pPr>
    </w:p>
    <w:p w14:paraId="13E5DAF0" w14:textId="188EAAA7" w:rsidR="00185902" w:rsidRPr="00705394" w:rsidRDefault="00185902" w:rsidP="00106166">
      <w:pPr>
        <w:spacing w:after="0"/>
        <w:jc w:val="both"/>
        <w:rPr>
          <w:u w:val="none"/>
        </w:rPr>
      </w:pPr>
      <w:r w:rsidRPr="00705394">
        <w:rPr>
          <w:u w:val="none"/>
        </w:rPr>
        <w:t>Where there is a decision not to award</w:t>
      </w:r>
      <w:r w:rsidR="00EC1FCD" w:rsidRPr="00705394">
        <w:rPr>
          <w:u w:val="none"/>
        </w:rPr>
        <w:t xml:space="preserve"> </w:t>
      </w:r>
      <w:r w:rsidRPr="00705394">
        <w:rPr>
          <w:u w:val="none"/>
        </w:rPr>
        <w:t xml:space="preserve">pay progression and this a result of concerns about the standards of performance this should never come as a surprise to the teacher. It is expected that performance concerns will have been raised </w:t>
      </w:r>
      <w:r w:rsidR="005557DE" w:rsidRPr="00705394">
        <w:rPr>
          <w:u w:val="none"/>
        </w:rPr>
        <w:t xml:space="preserve">verbally and </w:t>
      </w:r>
      <w:r w:rsidRPr="00705394">
        <w:rPr>
          <w:u w:val="none"/>
        </w:rPr>
        <w:t xml:space="preserve">in writing with the employee </w:t>
      </w:r>
      <w:r w:rsidR="00467F7E">
        <w:rPr>
          <w:u w:val="none"/>
        </w:rPr>
        <w:t xml:space="preserve">following a formal </w:t>
      </w:r>
      <w:r w:rsidRPr="00705394">
        <w:rPr>
          <w:u w:val="none"/>
        </w:rPr>
        <w:t xml:space="preserve">appraisal review meeting(s) (and where required additional meetings) during the appraisal cycle. This should be evidenced by a record of discussion / meetings and a cycle of additional </w:t>
      </w:r>
      <w:r w:rsidR="00A532DE" w:rsidRPr="00705394">
        <w:rPr>
          <w:u w:val="none"/>
        </w:rPr>
        <w:t xml:space="preserve">focussed </w:t>
      </w:r>
      <w:r w:rsidRPr="00705394">
        <w:rPr>
          <w:u w:val="none"/>
        </w:rPr>
        <w:t>support and/or the commencement of the capability procedure</w:t>
      </w:r>
      <w:r w:rsidR="00EC1FCD" w:rsidRPr="00705394">
        <w:rPr>
          <w:u w:val="none"/>
        </w:rPr>
        <w:t>.</w:t>
      </w:r>
      <w:r w:rsidRPr="00705394">
        <w:rPr>
          <w:u w:val="none"/>
        </w:rPr>
        <w:t xml:space="preserve"> </w:t>
      </w:r>
    </w:p>
    <w:p w14:paraId="740CD3BE" w14:textId="77777777" w:rsidR="005023B9" w:rsidRPr="00705394" w:rsidRDefault="005023B9" w:rsidP="00396DA7">
      <w:pPr>
        <w:spacing w:after="0"/>
        <w:ind w:left="284"/>
        <w:jc w:val="both"/>
        <w:rPr>
          <w:u w:val="none"/>
        </w:rPr>
      </w:pPr>
    </w:p>
    <w:p w14:paraId="24F21770" w14:textId="6618C909" w:rsidR="00185902" w:rsidRPr="00705394" w:rsidRDefault="00C9159D" w:rsidP="00106166">
      <w:pPr>
        <w:pStyle w:val="NoSpacing"/>
        <w:spacing w:line="276" w:lineRule="auto"/>
        <w:jc w:val="both"/>
        <w:rPr>
          <w:rFonts w:ascii="Arial" w:hAnsi="Arial" w:cs="Arial"/>
          <w:b/>
          <w:bCs/>
          <w:sz w:val="24"/>
          <w:szCs w:val="24"/>
        </w:rPr>
      </w:pPr>
      <w:r w:rsidRPr="00705394">
        <w:rPr>
          <w:rFonts w:ascii="Arial" w:hAnsi="Arial" w:cs="Arial"/>
          <w:b/>
          <w:bCs/>
          <w:sz w:val="24"/>
          <w:szCs w:val="24"/>
        </w:rPr>
        <w:t xml:space="preserve">Pay Policy Paragraph 10.0 </w:t>
      </w:r>
      <w:r w:rsidR="00CE0989" w:rsidRPr="00705394">
        <w:rPr>
          <w:rFonts w:ascii="Arial" w:hAnsi="Arial" w:cs="Arial"/>
          <w:b/>
          <w:bCs/>
          <w:sz w:val="24"/>
          <w:szCs w:val="24"/>
        </w:rPr>
        <w:t>–</w:t>
      </w:r>
      <w:r w:rsidRPr="00705394">
        <w:rPr>
          <w:rFonts w:ascii="Arial" w:hAnsi="Arial" w:cs="Arial"/>
          <w:b/>
          <w:bCs/>
          <w:sz w:val="24"/>
          <w:szCs w:val="24"/>
        </w:rPr>
        <w:t xml:space="preserve"> </w:t>
      </w:r>
      <w:r w:rsidR="00CE0989" w:rsidRPr="00705394">
        <w:rPr>
          <w:rFonts w:ascii="Arial" w:hAnsi="Arial" w:cs="Arial"/>
          <w:b/>
          <w:bCs/>
          <w:sz w:val="24"/>
          <w:szCs w:val="24"/>
        </w:rPr>
        <w:t>Early Career Teachers (ECT’s)</w:t>
      </w:r>
      <w:r w:rsidR="00E06AF8" w:rsidRPr="00705394">
        <w:rPr>
          <w:rFonts w:ascii="Arial" w:hAnsi="Arial" w:cs="Arial"/>
          <w:b/>
          <w:bCs/>
          <w:sz w:val="24"/>
          <w:szCs w:val="24"/>
        </w:rPr>
        <w:t xml:space="preserve"> </w:t>
      </w:r>
    </w:p>
    <w:p w14:paraId="7679F2A9" w14:textId="77777777" w:rsidR="00E06AF8" w:rsidRPr="00705394" w:rsidRDefault="00E06AF8" w:rsidP="00106166">
      <w:pPr>
        <w:pStyle w:val="NoSpacing"/>
        <w:spacing w:line="276" w:lineRule="auto"/>
        <w:jc w:val="both"/>
        <w:rPr>
          <w:rFonts w:ascii="Arial" w:hAnsi="Arial" w:cs="Arial"/>
          <w:b/>
          <w:bCs/>
          <w:sz w:val="24"/>
          <w:szCs w:val="24"/>
        </w:rPr>
      </w:pPr>
    </w:p>
    <w:p w14:paraId="15F49D9E" w14:textId="7C337BD0" w:rsidR="007B5F53" w:rsidRPr="002663D2" w:rsidRDefault="009E3012" w:rsidP="007B5F53">
      <w:pPr>
        <w:rPr>
          <w:rFonts w:eastAsia="Times New Roman"/>
          <w:szCs w:val="20"/>
          <w:u w:val="none"/>
          <w:lang w:eastAsia="en-GB"/>
        </w:rPr>
      </w:pPr>
      <w:r w:rsidRPr="007B5F53">
        <w:rPr>
          <w:bCs/>
          <w:u w:val="none"/>
        </w:rPr>
        <w:t>A</w:t>
      </w:r>
      <w:r w:rsidR="00CE0989" w:rsidRPr="007B5F53">
        <w:rPr>
          <w:bCs/>
          <w:u w:val="none"/>
        </w:rPr>
        <w:t xml:space="preserve">n Early Career Teacher </w:t>
      </w:r>
      <w:r w:rsidR="00C9159D" w:rsidRPr="007B5F53">
        <w:rPr>
          <w:bCs/>
          <w:u w:val="none"/>
        </w:rPr>
        <w:t>(</w:t>
      </w:r>
      <w:r w:rsidR="00CE0989" w:rsidRPr="007B5F53">
        <w:rPr>
          <w:bCs/>
          <w:u w:val="none"/>
        </w:rPr>
        <w:t>ECT</w:t>
      </w:r>
      <w:r w:rsidR="00C9159D" w:rsidRPr="007B5F53">
        <w:rPr>
          <w:bCs/>
          <w:u w:val="none"/>
        </w:rPr>
        <w:t xml:space="preserve">) </w:t>
      </w:r>
      <w:r w:rsidRPr="007B5F53">
        <w:rPr>
          <w:bCs/>
          <w:u w:val="none"/>
        </w:rPr>
        <w:t xml:space="preserve">has no automatic entitlement to pay progression on completion of their </w:t>
      </w:r>
      <w:r w:rsidR="00CE0989" w:rsidRPr="007B5F53">
        <w:rPr>
          <w:bCs/>
          <w:u w:val="none"/>
        </w:rPr>
        <w:t xml:space="preserve">first year of the statutory </w:t>
      </w:r>
      <w:r w:rsidRPr="007B5F53">
        <w:rPr>
          <w:bCs/>
          <w:u w:val="none"/>
        </w:rPr>
        <w:t>induction</w:t>
      </w:r>
      <w:r w:rsidR="00CE0989" w:rsidRPr="007B5F53">
        <w:rPr>
          <w:bCs/>
          <w:u w:val="none"/>
        </w:rPr>
        <w:t xml:space="preserve"> programme. In the same way as other teachers in the school, ECT’s </w:t>
      </w:r>
      <w:r w:rsidR="003533AA" w:rsidRPr="007B5F53">
        <w:rPr>
          <w:bCs/>
          <w:u w:val="none"/>
        </w:rPr>
        <w:t xml:space="preserve">will be considered for pay progression at </w:t>
      </w:r>
      <w:r w:rsidR="00B5032F" w:rsidRPr="007B5F53">
        <w:rPr>
          <w:bCs/>
          <w:u w:val="none"/>
        </w:rPr>
        <w:t>the next 1 September</w:t>
      </w:r>
      <w:r w:rsidR="00CE0989" w:rsidRPr="007B5F53">
        <w:rPr>
          <w:bCs/>
          <w:u w:val="none"/>
        </w:rPr>
        <w:t xml:space="preserve">, subject to being on track to successfully complete the first year of the </w:t>
      </w:r>
      <w:r w:rsidR="00830977" w:rsidRPr="007B5F53">
        <w:rPr>
          <w:bCs/>
          <w:u w:val="none"/>
        </w:rPr>
        <w:t>two-year</w:t>
      </w:r>
      <w:r w:rsidR="00CE0989" w:rsidRPr="007B5F53">
        <w:rPr>
          <w:bCs/>
          <w:u w:val="none"/>
        </w:rPr>
        <w:t xml:space="preserve"> induction programme.</w:t>
      </w:r>
      <w:r w:rsidR="003533AA" w:rsidRPr="007B5F53">
        <w:rPr>
          <w:bCs/>
          <w:u w:val="none"/>
        </w:rPr>
        <w:t xml:space="preserve"> In normal circumstances</w:t>
      </w:r>
      <w:r w:rsidR="00E06AF8" w:rsidRPr="007B5F53">
        <w:rPr>
          <w:bCs/>
          <w:u w:val="none"/>
        </w:rPr>
        <w:t xml:space="preserve"> an </w:t>
      </w:r>
      <w:r w:rsidR="00CE0989" w:rsidRPr="007B5F53">
        <w:rPr>
          <w:bCs/>
          <w:u w:val="none"/>
        </w:rPr>
        <w:t>ECT</w:t>
      </w:r>
      <w:r w:rsidR="003533AA" w:rsidRPr="007B5F53">
        <w:rPr>
          <w:bCs/>
          <w:u w:val="none"/>
        </w:rPr>
        <w:t xml:space="preserve"> who successfully</w:t>
      </w:r>
      <w:r w:rsidR="00E06AF8" w:rsidRPr="007B5F53">
        <w:rPr>
          <w:bCs/>
          <w:u w:val="none"/>
        </w:rPr>
        <w:t xml:space="preserve"> complet</w:t>
      </w:r>
      <w:r w:rsidR="003533AA" w:rsidRPr="007B5F53">
        <w:rPr>
          <w:bCs/>
          <w:u w:val="none"/>
        </w:rPr>
        <w:t>es</w:t>
      </w:r>
      <w:r w:rsidR="00E06AF8" w:rsidRPr="007B5F53">
        <w:rPr>
          <w:bCs/>
          <w:u w:val="none"/>
        </w:rPr>
        <w:t xml:space="preserve"> their </w:t>
      </w:r>
      <w:r w:rsidR="00CE0989" w:rsidRPr="007B5F53">
        <w:rPr>
          <w:bCs/>
          <w:u w:val="none"/>
        </w:rPr>
        <w:t xml:space="preserve">first and second </w:t>
      </w:r>
      <w:r w:rsidR="00E06AF8" w:rsidRPr="007B5F53">
        <w:rPr>
          <w:bCs/>
          <w:u w:val="none"/>
        </w:rPr>
        <w:t>induction year</w:t>
      </w:r>
      <w:r w:rsidR="00B5032F" w:rsidRPr="007B5F53">
        <w:rPr>
          <w:bCs/>
          <w:u w:val="none"/>
        </w:rPr>
        <w:t xml:space="preserve"> in the cohort September to July or as in Nottinghamshire January to January</w:t>
      </w:r>
      <w:r w:rsidR="00E06AF8" w:rsidRPr="007B5F53">
        <w:rPr>
          <w:bCs/>
          <w:u w:val="none"/>
        </w:rPr>
        <w:t xml:space="preserve"> will </w:t>
      </w:r>
      <w:r w:rsidR="003533AA" w:rsidRPr="007B5F53">
        <w:rPr>
          <w:bCs/>
          <w:u w:val="none"/>
        </w:rPr>
        <w:t>be eligible for</w:t>
      </w:r>
      <w:r w:rsidR="00E06AF8" w:rsidRPr="007B5F53">
        <w:rPr>
          <w:bCs/>
          <w:u w:val="none"/>
        </w:rPr>
        <w:t xml:space="preserve"> </w:t>
      </w:r>
      <w:r w:rsidR="00E06AF8" w:rsidRPr="002663D2">
        <w:rPr>
          <w:bCs/>
          <w:u w:val="none"/>
        </w:rPr>
        <w:t>pay progression</w:t>
      </w:r>
      <w:r w:rsidRPr="002663D2">
        <w:rPr>
          <w:bCs/>
          <w:u w:val="none"/>
        </w:rPr>
        <w:t xml:space="preserve"> </w:t>
      </w:r>
      <w:r w:rsidR="00B5032F" w:rsidRPr="002663D2">
        <w:rPr>
          <w:bCs/>
          <w:u w:val="none"/>
        </w:rPr>
        <w:t xml:space="preserve">in the subsequent September </w:t>
      </w:r>
      <w:r w:rsidRPr="002663D2">
        <w:rPr>
          <w:bCs/>
          <w:u w:val="none"/>
        </w:rPr>
        <w:t xml:space="preserve">based on evidence </w:t>
      </w:r>
      <w:r w:rsidR="00C9159D" w:rsidRPr="002663D2">
        <w:rPr>
          <w:bCs/>
          <w:u w:val="none"/>
        </w:rPr>
        <w:t>from the induction period.</w:t>
      </w:r>
      <w:r w:rsidR="007B5F53" w:rsidRPr="002663D2">
        <w:rPr>
          <w:rFonts w:eastAsia="Times New Roman"/>
          <w:szCs w:val="20"/>
          <w:u w:val="none"/>
        </w:rPr>
        <w:t xml:space="preserve"> From 1 September 2025, reducing mentor workload by streamlining the training requirement from 2 years to 1 year, and introducing mentor session materials so mentors can spend their valuable time supporting their ECT, rather than planning and creating resources.</w:t>
      </w:r>
    </w:p>
    <w:p w14:paraId="60AF19B4" w14:textId="77777777" w:rsidR="00185902" w:rsidRPr="00705394" w:rsidRDefault="00C9159D" w:rsidP="00106166">
      <w:pPr>
        <w:pStyle w:val="NoSpacing"/>
        <w:spacing w:line="276" w:lineRule="auto"/>
        <w:jc w:val="both"/>
        <w:rPr>
          <w:rFonts w:ascii="Arial" w:hAnsi="Arial" w:cs="Arial"/>
          <w:b/>
          <w:bCs/>
          <w:sz w:val="24"/>
          <w:szCs w:val="24"/>
        </w:rPr>
      </w:pPr>
      <w:r w:rsidRPr="002663D2">
        <w:rPr>
          <w:rFonts w:ascii="Arial" w:hAnsi="Arial" w:cs="Arial"/>
          <w:b/>
          <w:bCs/>
          <w:sz w:val="24"/>
          <w:szCs w:val="24"/>
        </w:rPr>
        <w:t xml:space="preserve">Pay Policy Paragraph 11.0 - </w:t>
      </w:r>
      <w:r w:rsidR="00185902" w:rsidRPr="002663D2">
        <w:rPr>
          <w:rFonts w:ascii="Arial" w:hAnsi="Arial" w:cs="Arial"/>
          <w:b/>
          <w:bCs/>
          <w:sz w:val="24"/>
          <w:szCs w:val="24"/>
        </w:rPr>
        <w:t xml:space="preserve">Movement to the </w:t>
      </w:r>
      <w:r w:rsidR="00185902" w:rsidRPr="00705394">
        <w:rPr>
          <w:rFonts w:ascii="Arial" w:hAnsi="Arial" w:cs="Arial"/>
          <w:b/>
          <w:bCs/>
          <w:sz w:val="24"/>
          <w:szCs w:val="24"/>
        </w:rPr>
        <w:t xml:space="preserve">Upper Pay Range </w:t>
      </w:r>
    </w:p>
    <w:p w14:paraId="216A2235" w14:textId="5C5BA00C" w:rsidR="006255CC" w:rsidRPr="00705394" w:rsidRDefault="009E3012" w:rsidP="006255CC">
      <w:pPr>
        <w:spacing w:before="100" w:beforeAutospacing="1" w:after="100" w:afterAutospacing="1" w:line="240" w:lineRule="auto"/>
        <w:rPr>
          <w:rFonts w:eastAsia="Times New Roman"/>
          <w:u w:val="none"/>
          <w:lang w:eastAsia="en-GB"/>
        </w:rPr>
      </w:pPr>
      <w:r w:rsidRPr="00705394">
        <w:rPr>
          <w:u w:val="none"/>
        </w:rPr>
        <w:t xml:space="preserve">The UPR is a higher pay range for teachers who meet </w:t>
      </w:r>
      <w:r w:rsidR="00C1346D" w:rsidRPr="00705394">
        <w:rPr>
          <w:u w:val="none"/>
        </w:rPr>
        <w:t xml:space="preserve">the </w:t>
      </w:r>
      <w:r w:rsidR="006255CC" w:rsidRPr="00705394">
        <w:rPr>
          <w:u w:val="none"/>
        </w:rPr>
        <w:t xml:space="preserve">STPCD </w:t>
      </w:r>
      <w:r w:rsidR="005557DE" w:rsidRPr="00705394">
        <w:rPr>
          <w:u w:val="none"/>
        </w:rPr>
        <w:t xml:space="preserve">statutory </w:t>
      </w:r>
      <w:r w:rsidR="006255CC" w:rsidRPr="00705394">
        <w:rPr>
          <w:u w:val="none"/>
        </w:rPr>
        <w:t xml:space="preserve">requirements and as set out in the Pay policy. </w:t>
      </w:r>
      <w:r w:rsidRPr="00705394">
        <w:rPr>
          <w:u w:val="none"/>
        </w:rPr>
        <w:t xml:space="preserve">Individual teachers should decide if they wish to formally apply to be paid on this range. </w:t>
      </w:r>
      <w:r w:rsidR="005737AB" w:rsidRPr="00705394">
        <w:rPr>
          <w:u w:val="none"/>
        </w:rPr>
        <w:t xml:space="preserve">If they do, </w:t>
      </w:r>
      <w:r w:rsidR="005557DE" w:rsidRPr="00705394">
        <w:rPr>
          <w:u w:val="none"/>
        </w:rPr>
        <w:t>this commitment should</w:t>
      </w:r>
      <w:r w:rsidR="00E35080" w:rsidRPr="00705394">
        <w:rPr>
          <w:u w:val="none"/>
        </w:rPr>
        <w:t xml:space="preserve"> be reflected in the </w:t>
      </w:r>
      <w:r w:rsidR="00145398" w:rsidRPr="00705394">
        <w:rPr>
          <w:u w:val="none"/>
        </w:rPr>
        <w:t>preceding years</w:t>
      </w:r>
      <w:r w:rsidR="005557DE" w:rsidRPr="00705394">
        <w:rPr>
          <w:u w:val="none"/>
        </w:rPr>
        <w:t xml:space="preserve"> appraisal objectives so that they can demonstrate, on application, that they are working to the required standards</w:t>
      </w:r>
      <w:r w:rsidR="006255CC" w:rsidRPr="00705394">
        <w:rPr>
          <w:u w:val="none"/>
        </w:rPr>
        <w:t xml:space="preserve">. There is </w:t>
      </w:r>
      <w:r w:rsidR="006255CC" w:rsidRPr="00705394">
        <w:rPr>
          <w:rFonts w:eastAsia="Times New Roman"/>
          <w:u w:val="none"/>
        </w:rPr>
        <w:t xml:space="preserve">still an expectation therefore, of performance related pay progression in the application to UPR. It is important that schools and staff are aware of the importance of a clear evidence trail so that staff understand the importance of having two years evidence of significant and sustained contribution. There is a potential danger for staff that an application may be compromised if there has not been a rigorous process allowing </w:t>
      </w:r>
      <w:r w:rsidR="00BE0E09" w:rsidRPr="00705394">
        <w:rPr>
          <w:rFonts w:eastAsia="Times New Roman"/>
          <w:u w:val="none"/>
        </w:rPr>
        <w:t xml:space="preserve">the teacher to work towards and then demonstrate through evidence that the statutory requirements </w:t>
      </w:r>
      <w:r w:rsidR="00CF3A2F" w:rsidRPr="00705394">
        <w:rPr>
          <w:rFonts w:eastAsia="Times New Roman"/>
          <w:u w:val="none"/>
        </w:rPr>
        <w:t xml:space="preserve">for progression </w:t>
      </w:r>
      <w:r w:rsidR="00BE0E09" w:rsidRPr="00705394">
        <w:rPr>
          <w:rFonts w:eastAsia="Times New Roman"/>
          <w:u w:val="none"/>
        </w:rPr>
        <w:t>are met.</w:t>
      </w:r>
      <w:r w:rsidR="006255CC" w:rsidRPr="00705394">
        <w:rPr>
          <w:rFonts w:eastAsia="Times New Roman"/>
          <w:u w:val="none"/>
        </w:rPr>
        <w:t xml:space="preserve"> </w:t>
      </w:r>
    </w:p>
    <w:p w14:paraId="3C9D39C1" w14:textId="0EE956F5" w:rsidR="00185902" w:rsidRPr="00705394" w:rsidRDefault="006255CC" w:rsidP="00106166">
      <w:pPr>
        <w:pStyle w:val="NoSpacing"/>
        <w:spacing w:line="276" w:lineRule="auto"/>
        <w:jc w:val="both"/>
        <w:rPr>
          <w:rFonts w:ascii="Arial" w:hAnsi="Arial" w:cs="Arial"/>
          <w:sz w:val="24"/>
          <w:szCs w:val="24"/>
        </w:rPr>
      </w:pPr>
      <w:r w:rsidRPr="00705394">
        <w:rPr>
          <w:rFonts w:ascii="Arial" w:hAnsi="Arial" w:cs="Arial"/>
          <w:sz w:val="24"/>
          <w:szCs w:val="24"/>
        </w:rPr>
        <w:t>However, i</w:t>
      </w:r>
      <w:r w:rsidR="005737AB" w:rsidRPr="00705394">
        <w:rPr>
          <w:rFonts w:ascii="Arial" w:hAnsi="Arial" w:cs="Arial"/>
          <w:sz w:val="24"/>
          <w:szCs w:val="24"/>
        </w:rPr>
        <w:t xml:space="preserve">t is </w:t>
      </w:r>
      <w:r w:rsidRPr="00705394">
        <w:rPr>
          <w:rFonts w:ascii="Arial" w:hAnsi="Arial" w:cs="Arial"/>
          <w:sz w:val="24"/>
          <w:szCs w:val="24"/>
        </w:rPr>
        <w:t xml:space="preserve">an individual teacher’s </w:t>
      </w:r>
      <w:r w:rsidR="005737AB" w:rsidRPr="00705394">
        <w:rPr>
          <w:rFonts w:ascii="Arial" w:hAnsi="Arial" w:cs="Arial"/>
          <w:sz w:val="24"/>
          <w:szCs w:val="24"/>
        </w:rPr>
        <w:t>responsibility to provide the relevant information from the appraisal cycles</w:t>
      </w:r>
      <w:r w:rsidR="008B4F6F" w:rsidRPr="00705394">
        <w:rPr>
          <w:rFonts w:ascii="Arial" w:hAnsi="Arial" w:cs="Arial"/>
          <w:sz w:val="24"/>
          <w:szCs w:val="24"/>
        </w:rPr>
        <w:t xml:space="preserve"> and that they meet the statutory requirements</w:t>
      </w:r>
      <w:r w:rsidR="005737AB" w:rsidRPr="00705394">
        <w:rPr>
          <w:rFonts w:ascii="Arial" w:hAnsi="Arial" w:cs="Arial"/>
          <w:sz w:val="24"/>
          <w:szCs w:val="24"/>
        </w:rPr>
        <w:t xml:space="preserve">. </w:t>
      </w:r>
      <w:r w:rsidR="00AA0DC3" w:rsidRPr="00705394">
        <w:rPr>
          <w:rFonts w:ascii="Arial" w:hAnsi="Arial" w:cs="Arial"/>
          <w:sz w:val="24"/>
          <w:szCs w:val="24"/>
        </w:rPr>
        <w:t xml:space="preserve"> </w:t>
      </w:r>
      <w:r w:rsidR="00185902" w:rsidRPr="00705394">
        <w:rPr>
          <w:rFonts w:ascii="Arial" w:hAnsi="Arial" w:cs="Arial"/>
          <w:sz w:val="24"/>
          <w:szCs w:val="24"/>
        </w:rPr>
        <w:t xml:space="preserve">All applications from teachers to move from the MPR to the UPR from September should have regard to the two most recent </w:t>
      </w:r>
      <w:r w:rsidR="009E3012" w:rsidRPr="00705394">
        <w:rPr>
          <w:rFonts w:ascii="Arial" w:hAnsi="Arial" w:cs="Arial"/>
          <w:sz w:val="24"/>
          <w:szCs w:val="24"/>
        </w:rPr>
        <w:t xml:space="preserve">consecutive </w:t>
      </w:r>
      <w:r w:rsidR="00185902" w:rsidRPr="00705394">
        <w:rPr>
          <w:rFonts w:ascii="Arial" w:hAnsi="Arial" w:cs="Arial"/>
          <w:sz w:val="24"/>
          <w:szCs w:val="24"/>
        </w:rPr>
        <w:t xml:space="preserve">results of reviews or appraisals under the 2012 regulations, including any recommendation on pay or, where that information is not applicable or available, a statement and summary of evidence designed to demonstrate that the applicant </w:t>
      </w:r>
      <w:r w:rsidR="00185902" w:rsidRPr="00705394">
        <w:rPr>
          <w:rFonts w:ascii="Arial" w:hAnsi="Arial" w:cs="Arial"/>
          <w:sz w:val="24"/>
          <w:szCs w:val="24"/>
        </w:rPr>
        <w:lastRenderedPageBreak/>
        <w:t xml:space="preserve">has met the assessment criteria for a period of two </w:t>
      </w:r>
      <w:r w:rsidR="009E3012" w:rsidRPr="00705394">
        <w:rPr>
          <w:rFonts w:ascii="Arial" w:hAnsi="Arial" w:cs="Arial"/>
          <w:sz w:val="24"/>
          <w:szCs w:val="24"/>
        </w:rPr>
        <w:t xml:space="preserve">consecutive </w:t>
      </w:r>
      <w:r w:rsidR="00185902" w:rsidRPr="00705394">
        <w:rPr>
          <w:rFonts w:ascii="Arial" w:hAnsi="Arial" w:cs="Arial"/>
          <w:sz w:val="24"/>
          <w:szCs w:val="24"/>
        </w:rPr>
        <w:t>years</w:t>
      </w:r>
      <w:r w:rsidR="00C9159D" w:rsidRPr="00705394">
        <w:rPr>
          <w:rFonts w:ascii="Arial" w:hAnsi="Arial" w:cs="Arial"/>
          <w:sz w:val="24"/>
          <w:szCs w:val="24"/>
        </w:rPr>
        <w:t xml:space="preserve"> (including the current) </w:t>
      </w:r>
      <w:r w:rsidR="00185902" w:rsidRPr="00705394">
        <w:rPr>
          <w:rFonts w:ascii="Arial" w:hAnsi="Arial" w:cs="Arial"/>
          <w:sz w:val="24"/>
          <w:szCs w:val="24"/>
        </w:rPr>
        <w:t>to access the UPR.</w:t>
      </w:r>
      <w:r w:rsidR="00AA0DC3" w:rsidRPr="00705394">
        <w:rPr>
          <w:rFonts w:ascii="Arial" w:hAnsi="Arial" w:cs="Arial"/>
          <w:sz w:val="24"/>
          <w:szCs w:val="24"/>
        </w:rPr>
        <w:t xml:space="preserve"> </w:t>
      </w:r>
      <w:r w:rsidR="001E5D12" w:rsidRPr="00705394">
        <w:rPr>
          <w:rFonts w:ascii="Arial" w:hAnsi="Arial" w:cs="Arial"/>
          <w:sz w:val="24"/>
          <w:szCs w:val="24"/>
        </w:rPr>
        <w:t xml:space="preserve"> </w:t>
      </w:r>
      <w:r w:rsidR="00F85B1D" w:rsidRPr="00705394">
        <w:rPr>
          <w:rFonts w:ascii="Arial" w:hAnsi="Arial" w:cs="Arial"/>
          <w:sz w:val="24"/>
          <w:szCs w:val="24"/>
        </w:rPr>
        <w:t xml:space="preserve">Evidence provided by the teacher should relate to their current school. </w:t>
      </w:r>
      <w:r w:rsidR="001E5D12" w:rsidRPr="00705394">
        <w:rPr>
          <w:rFonts w:ascii="Arial" w:hAnsi="Arial" w:cs="Arial"/>
          <w:sz w:val="24"/>
          <w:szCs w:val="24"/>
        </w:rPr>
        <w:t xml:space="preserve">Where a teacher has been employed at another school for part of the </w:t>
      </w:r>
      <w:r w:rsidR="00CE0989" w:rsidRPr="00705394">
        <w:rPr>
          <w:rFonts w:ascii="Arial" w:hAnsi="Arial" w:cs="Arial"/>
          <w:sz w:val="24"/>
          <w:szCs w:val="24"/>
        </w:rPr>
        <w:t>two-year</w:t>
      </w:r>
      <w:r w:rsidR="001E5D12" w:rsidRPr="00705394">
        <w:rPr>
          <w:rFonts w:ascii="Arial" w:hAnsi="Arial" w:cs="Arial"/>
          <w:sz w:val="24"/>
          <w:szCs w:val="24"/>
        </w:rPr>
        <w:t xml:space="preserve"> assessment period, they will be required, where there is compelling evidence to consider progression to the UPR</w:t>
      </w:r>
      <w:r w:rsidR="00AA0DC3" w:rsidRPr="00705394">
        <w:rPr>
          <w:rFonts w:ascii="Arial" w:hAnsi="Arial" w:cs="Arial"/>
          <w:sz w:val="24"/>
          <w:szCs w:val="24"/>
        </w:rPr>
        <w:t>,</w:t>
      </w:r>
      <w:r w:rsidR="001E5D12" w:rsidRPr="00705394">
        <w:rPr>
          <w:rFonts w:ascii="Arial" w:hAnsi="Arial" w:cs="Arial"/>
          <w:sz w:val="24"/>
          <w:szCs w:val="24"/>
        </w:rPr>
        <w:t xml:space="preserve"> to provide evidence from their former employer.  </w:t>
      </w:r>
    </w:p>
    <w:p w14:paraId="76BD7B66" w14:textId="77777777" w:rsidR="00185902" w:rsidRPr="00705394" w:rsidRDefault="00185902" w:rsidP="00396DA7">
      <w:pPr>
        <w:pStyle w:val="NoSpacing"/>
        <w:spacing w:line="276" w:lineRule="auto"/>
        <w:ind w:left="284"/>
        <w:jc w:val="both"/>
        <w:rPr>
          <w:rFonts w:ascii="Arial" w:hAnsi="Arial" w:cs="Arial"/>
          <w:sz w:val="24"/>
          <w:szCs w:val="24"/>
        </w:rPr>
      </w:pPr>
    </w:p>
    <w:p w14:paraId="5E33F389" w14:textId="79BA1810" w:rsidR="005737AB" w:rsidRPr="00705394" w:rsidRDefault="00185902" w:rsidP="00106166">
      <w:pPr>
        <w:spacing w:after="0"/>
        <w:jc w:val="both"/>
        <w:rPr>
          <w:u w:val="none"/>
        </w:rPr>
      </w:pPr>
      <w:r w:rsidRPr="00705394">
        <w:rPr>
          <w:u w:val="none"/>
        </w:rPr>
        <w:t>The criteria for progression to the UPR are set out in paragraphs 11 to 11.</w:t>
      </w:r>
      <w:r w:rsidR="008B4F6F" w:rsidRPr="00705394">
        <w:rPr>
          <w:u w:val="none"/>
        </w:rPr>
        <w:t>1</w:t>
      </w:r>
      <w:r w:rsidR="00A532DE" w:rsidRPr="00705394">
        <w:rPr>
          <w:u w:val="none"/>
        </w:rPr>
        <w:t>4</w:t>
      </w:r>
      <w:r w:rsidR="005737AB" w:rsidRPr="00705394">
        <w:rPr>
          <w:u w:val="none"/>
        </w:rPr>
        <w:t xml:space="preserve">. </w:t>
      </w:r>
      <w:r w:rsidR="006A7B28">
        <w:rPr>
          <w:u w:val="none"/>
        </w:rPr>
        <w:t>T</w:t>
      </w:r>
      <w:r w:rsidR="005737AB" w:rsidRPr="00705394">
        <w:rPr>
          <w:u w:val="none"/>
        </w:rPr>
        <w:t>he headteacher should initially moderate all UPR applications to ensure consistency before making a formal recommendation to the governing body.</w:t>
      </w:r>
      <w:r w:rsidR="00AA0DC3" w:rsidRPr="00705394">
        <w:rPr>
          <w:u w:val="none"/>
        </w:rPr>
        <w:t xml:space="preserve"> </w:t>
      </w:r>
      <w:r w:rsidR="005737AB" w:rsidRPr="00705394">
        <w:rPr>
          <w:u w:val="none"/>
        </w:rPr>
        <w:t>It is the professional responsibility of the headteacher to advise the governing body whether a teacher who applies to be paid on the UPR should be paid on that range.  This responsibility may be delegated to the deputy head, assistant head or other member of staff having due regard to the nature and extent of their management responsibilities.</w:t>
      </w:r>
    </w:p>
    <w:p w14:paraId="0A12B5CD" w14:textId="77777777" w:rsidR="00F817EC" w:rsidRPr="00705394" w:rsidRDefault="00F817EC" w:rsidP="00106166">
      <w:pPr>
        <w:spacing w:after="0"/>
        <w:jc w:val="both"/>
        <w:rPr>
          <w:u w:val="none"/>
        </w:rPr>
      </w:pPr>
    </w:p>
    <w:p w14:paraId="2F6F24E1" w14:textId="15077285" w:rsidR="00C1346D" w:rsidRPr="00705394" w:rsidRDefault="005737AB" w:rsidP="00106166">
      <w:pPr>
        <w:spacing w:after="0"/>
        <w:jc w:val="both"/>
        <w:rPr>
          <w:u w:val="none"/>
        </w:rPr>
      </w:pPr>
      <w:r w:rsidRPr="00705394">
        <w:rPr>
          <w:u w:val="none"/>
        </w:rPr>
        <w:t>In</w:t>
      </w:r>
      <w:r w:rsidR="00185902" w:rsidRPr="00705394">
        <w:rPr>
          <w:u w:val="none"/>
        </w:rPr>
        <w:t xml:space="preserve"> considering the teacher’s </w:t>
      </w:r>
      <w:r w:rsidR="00AA0DC3" w:rsidRPr="00705394">
        <w:rPr>
          <w:u w:val="none"/>
        </w:rPr>
        <w:t xml:space="preserve">two </w:t>
      </w:r>
      <w:r w:rsidR="009E3012" w:rsidRPr="00705394">
        <w:rPr>
          <w:u w:val="none"/>
        </w:rPr>
        <w:t xml:space="preserve">most recent </w:t>
      </w:r>
      <w:r w:rsidR="00185902" w:rsidRPr="00705394">
        <w:rPr>
          <w:u w:val="none"/>
        </w:rPr>
        <w:t>appraisal reports, the governing body should consider each of the assessments and the recommendations made in them to determine whether taken as a whole, the evidence demonstrates that the teacher meets the criteria set out in the School Pay Policy paragraph 11.</w:t>
      </w:r>
      <w:r w:rsidR="001E5D12" w:rsidRPr="00705394">
        <w:rPr>
          <w:u w:val="none"/>
        </w:rPr>
        <w:t>6</w:t>
      </w:r>
      <w:r w:rsidR="00185902" w:rsidRPr="00705394">
        <w:rPr>
          <w:u w:val="none"/>
        </w:rPr>
        <w:t xml:space="preserve"> (a) and (b). </w:t>
      </w:r>
      <w:r w:rsidR="00F817EC" w:rsidRPr="00705394">
        <w:rPr>
          <w:u w:val="none"/>
        </w:rPr>
        <w:t xml:space="preserve"> </w:t>
      </w:r>
      <w:r w:rsidR="00185902" w:rsidRPr="00705394">
        <w:rPr>
          <w:u w:val="none"/>
        </w:rPr>
        <w:t>Important – the policy states UPR progression is where, “normally teachers will have reached the maximum of the MPR”</w:t>
      </w:r>
      <w:r w:rsidR="00F817EC" w:rsidRPr="00705394">
        <w:rPr>
          <w:u w:val="none"/>
        </w:rPr>
        <w:t>.</w:t>
      </w:r>
      <w:r w:rsidR="00185902" w:rsidRPr="00705394">
        <w:rPr>
          <w:u w:val="none"/>
        </w:rPr>
        <w:t xml:space="preserve"> </w:t>
      </w:r>
      <w:r w:rsidR="00F817EC" w:rsidRPr="00705394">
        <w:rPr>
          <w:u w:val="none"/>
        </w:rPr>
        <w:t xml:space="preserve"> </w:t>
      </w:r>
      <w:r w:rsidR="00185902" w:rsidRPr="00705394">
        <w:rPr>
          <w:u w:val="none"/>
        </w:rPr>
        <w:t xml:space="preserve">However, it is important for headteachers and governing bodies to be aware that </w:t>
      </w:r>
      <w:r w:rsidR="001E5D12" w:rsidRPr="00705394">
        <w:rPr>
          <w:u w:val="none"/>
        </w:rPr>
        <w:t xml:space="preserve">the STPCD states that </w:t>
      </w:r>
      <w:r w:rsidR="00185902" w:rsidRPr="00705394">
        <w:rPr>
          <w:u w:val="none"/>
        </w:rPr>
        <w:t xml:space="preserve">there is no barrier to movement onto the UPR </w:t>
      </w:r>
      <w:r w:rsidR="00F817EC" w:rsidRPr="00705394">
        <w:rPr>
          <w:u w:val="none"/>
        </w:rPr>
        <w:t>based on</w:t>
      </w:r>
      <w:r w:rsidR="00185902" w:rsidRPr="00705394">
        <w:rPr>
          <w:u w:val="none"/>
        </w:rPr>
        <w:t xml:space="preserve"> length of service </w:t>
      </w:r>
      <w:r w:rsidR="00F817EC" w:rsidRPr="00705394">
        <w:rPr>
          <w:u w:val="none"/>
        </w:rPr>
        <w:t xml:space="preserve">so there is </w:t>
      </w:r>
      <w:r w:rsidR="00185902" w:rsidRPr="00705394">
        <w:rPr>
          <w:u w:val="none"/>
        </w:rPr>
        <w:t xml:space="preserve">no requirement </w:t>
      </w:r>
      <w:r w:rsidR="004526EB" w:rsidRPr="00705394">
        <w:rPr>
          <w:u w:val="none"/>
        </w:rPr>
        <w:t xml:space="preserve">for a teacher </w:t>
      </w:r>
      <w:r w:rsidR="00185902" w:rsidRPr="00705394">
        <w:rPr>
          <w:u w:val="none"/>
        </w:rPr>
        <w:t>to be at the top of the MPR.</w:t>
      </w:r>
      <w:r w:rsidR="00C1346D" w:rsidRPr="00705394">
        <w:rPr>
          <w:u w:val="none"/>
        </w:rPr>
        <w:t xml:space="preserve"> Once a teacher has progressed to the UPR appraisal objectives should reflect the level of performance and teachers must continue to demonstrate they </w:t>
      </w:r>
      <w:r w:rsidR="00CF3A2F" w:rsidRPr="00705394">
        <w:rPr>
          <w:u w:val="none"/>
        </w:rPr>
        <w:t xml:space="preserve">develop professionally and </w:t>
      </w:r>
      <w:r w:rsidR="00C1346D" w:rsidRPr="00705394">
        <w:rPr>
          <w:u w:val="none"/>
        </w:rPr>
        <w:t>meet the statutory UPR criteria on an ongoing basis.</w:t>
      </w:r>
    </w:p>
    <w:p w14:paraId="0B096059" w14:textId="77777777" w:rsidR="00C1346D" w:rsidRPr="00705394" w:rsidRDefault="00C1346D" w:rsidP="00106166">
      <w:pPr>
        <w:spacing w:after="0"/>
        <w:jc w:val="both"/>
        <w:rPr>
          <w:u w:val="none"/>
        </w:rPr>
      </w:pPr>
    </w:p>
    <w:p w14:paraId="0AD52396" w14:textId="2BF089B9" w:rsidR="00185902" w:rsidRPr="00705394" w:rsidRDefault="001E5D12" w:rsidP="00106166">
      <w:pPr>
        <w:spacing w:after="0"/>
        <w:jc w:val="both"/>
        <w:rPr>
          <w:u w:val="none"/>
        </w:rPr>
      </w:pPr>
      <w:r w:rsidRPr="00705394">
        <w:rPr>
          <w:u w:val="none"/>
        </w:rPr>
        <w:t>Paragraph 14 of the STPCD sets out conditions where a teacher must be paid on th</w:t>
      </w:r>
      <w:r w:rsidR="00CF3A2F" w:rsidRPr="00705394">
        <w:rPr>
          <w:u w:val="none"/>
        </w:rPr>
        <w:t xml:space="preserve">e UPR </w:t>
      </w:r>
      <w:r w:rsidRPr="00705394">
        <w:rPr>
          <w:u w:val="none"/>
        </w:rPr>
        <w:t xml:space="preserve">range and where a teacher may be paid on this range. </w:t>
      </w:r>
      <w:r w:rsidR="00185902" w:rsidRPr="00705394">
        <w:rPr>
          <w:u w:val="none"/>
        </w:rPr>
        <w:t>The governing body must pay a teacher on the UPR if the teacher is em</w:t>
      </w:r>
      <w:r w:rsidR="00F817EC" w:rsidRPr="00705394">
        <w:rPr>
          <w:u w:val="none"/>
        </w:rPr>
        <w:t xml:space="preserve">ployed in their current </w:t>
      </w:r>
      <w:r w:rsidR="00467F7E" w:rsidRPr="00705394">
        <w:rPr>
          <w:u w:val="none"/>
        </w:rPr>
        <w:t>school.</w:t>
      </w:r>
    </w:p>
    <w:p w14:paraId="2DC2E81E" w14:textId="77777777" w:rsidR="00F817EC" w:rsidRPr="00705394" w:rsidRDefault="00F817EC" w:rsidP="00396DA7">
      <w:pPr>
        <w:spacing w:after="0"/>
        <w:ind w:left="284"/>
        <w:jc w:val="both"/>
        <w:rPr>
          <w:u w:val="none"/>
        </w:rPr>
      </w:pPr>
    </w:p>
    <w:p w14:paraId="294F8A56" w14:textId="77777777" w:rsidR="00185902" w:rsidRPr="00705394" w:rsidRDefault="00185902" w:rsidP="00B42818">
      <w:pPr>
        <w:numPr>
          <w:ilvl w:val="0"/>
          <w:numId w:val="22"/>
        </w:numPr>
        <w:spacing w:after="0"/>
        <w:jc w:val="both"/>
        <w:rPr>
          <w:u w:val="none"/>
        </w:rPr>
      </w:pPr>
      <w:r w:rsidRPr="00705394">
        <w:rPr>
          <w:u w:val="none"/>
        </w:rPr>
        <w:t>As a post threshold teacher and there has been no break in continuity of employment</w:t>
      </w:r>
    </w:p>
    <w:p w14:paraId="0C881E77" w14:textId="4EFB15EA" w:rsidR="00814D23" w:rsidRPr="00705394" w:rsidRDefault="00185902" w:rsidP="00D4450B">
      <w:pPr>
        <w:numPr>
          <w:ilvl w:val="0"/>
          <w:numId w:val="22"/>
        </w:numPr>
        <w:spacing w:before="240" w:after="0"/>
        <w:jc w:val="both"/>
        <w:rPr>
          <w:u w:val="none"/>
        </w:rPr>
      </w:pPr>
      <w:r w:rsidRPr="00705394">
        <w:rPr>
          <w:u w:val="none"/>
        </w:rPr>
        <w:t>Successfully applies to be paid on the UPR in accordance with the school pay policy and there is no break in continuity of employment</w:t>
      </w:r>
      <w:r w:rsidR="00B3092B" w:rsidRPr="00705394">
        <w:rPr>
          <w:u w:val="none"/>
        </w:rPr>
        <w:t>.</w:t>
      </w:r>
      <w:r w:rsidRPr="00705394">
        <w:rPr>
          <w:u w:val="none"/>
        </w:rPr>
        <w:t xml:space="preserve"> </w:t>
      </w:r>
    </w:p>
    <w:p w14:paraId="60CA9CF5" w14:textId="73F15649" w:rsidR="00185902" w:rsidRPr="00705394" w:rsidRDefault="00185902" w:rsidP="00D4450B">
      <w:pPr>
        <w:numPr>
          <w:ilvl w:val="0"/>
          <w:numId w:val="22"/>
        </w:numPr>
        <w:spacing w:before="240" w:after="0"/>
        <w:jc w:val="both"/>
        <w:rPr>
          <w:u w:val="none"/>
        </w:rPr>
      </w:pPr>
      <w:r w:rsidRPr="00705394">
        <w:rPr>
          <w:u w:val="none"/>
        </w:rPr>
        <w:t>As a member of the leadership group (or as a lead practitioner) in the school and will not be paid on the leadership pay range (or lead practitioner pay range); and continues to be paid at the school without a break in continuity of employment, or</w:t>
      </w:r>
    </w:p>
    <w:p w14:paraId="57F45AD0" w14:textId="77777777" w:rsidR="00185902" w:rsidRPr="00705394" w:rsidRDefault="00185902" w:rsidP="00B42818">
      <w:pPr>
        <w:numPr>
          <w:ilvl w:val="0"/>
          <w:numId w:val="22"/>
        </w:numPr>
        <w:spacing w:before="240" w:after="0"/>
        <w:jc w:val="both"/>
        <w:rPr>
          <w:u w:val="none"/>
        </w:rPr>
      </w:pPr>
      <w:r w:rsidRPr="00705394">
        <w:rPr>
          <w:u w:val="none"/>
        </w:rPr>
        <w:t>As an AST or ET under the 2012 STPCD and has not been assimilated onto the leading practitioner pay range.</w:t>
      </w:r>
    </w:p>
    <w:p w14:paraId="544CC869" w14:textId="77777777" w:rsidR="00185902" w:rsidRPr="00705394" w:rsidRDefault="00185902" w:rsidP="00396DA7">
      <w:pPr>
        <w:spacing w:after="0"/>
        <w:ind w:left="284"/>
        <w:jc w:val="both"/>
        <w:rPr>
          <w:u w:val="none"/>
        </w:rPr>
      </w:pPr>
    </w:p>
    <w:p w14:paraId="558566A4" w14:textId="6A4E0D71" w:rsidR="00185902" w:rsidRPr="00705394" w:rsidRDefault="00185902" w:rsidP="00106166">
      <w:pPr>
        <w:spacing w:after="0"/>
        <w:jc w:val="both"/>
        <w:rPr>
          <w:u w:val="none"/>
        </w:rPr>
      </w:pPr>
      <w:r w:rsidRPr="00705394">
        <w:rPr>
          <w:u w:val="none"/>
        </w:rPr>
        <w:t xml:space="preserve">In cases c and d </w:t>
      </w:r>
      <w:r w:rsidR="006A7B28">
        <w:rPr>
          <w:u w:val="none"/>
        </w:rPr>
        <w:t xml:space="preserve">above, </w:t>
      </w:r>
      <w:r w:rsidRPr="00705394">
        <w:rPr>
          <w:u w:val="none"/>
        </w:rPr>
        <w:t xml:space="preserve">salary safeguarding may apply if this happens following a compulsory restructure. However, if the teacher voluntarily applies for a lower post within the school salary safeguarding will not apply.  If the headteacher or governing body receives a request from a teacher paid on the UPR to step down to the MPR, </w:t>
      </w:r>
      <w:r w:rsidR="001E5D12" w:rsidRPr="00705394">
        <w:rPr>
          <w:u w:val="none"/>
        </w:rPr>
        <w:t xml:space="preserve">thereby relinquishing their UPR </w:t>
      </w:r>
      <w:r w:rsidR="00467F7E" w:rsidRPr="00705394">
        <w:rPr>
          <w:u w:val="none"/>
        </w:rPr>
        <w:t>pay,</w:t>
      </w:r>
      <w:r w:rsidR="009E590E">
        <w:rPr>
          <w:u w:val="none"/>
        </w:rPr>
        <w:t xml:space="preserve"> </w:t>
      </w:r>
      <w:r w:rsidR="001E5D12" w:rsidRPr="00705394">
        <w:rPr>
          <w:u w:val="none"/>
        </w:rPr>
        <w:t xml:space="preserve">and responsibilities </w:t>
      </w:r>
      <w:r w:rsidRPr="00705394">
        <w:rPr>
          <w:u w:val="none"/>
        </w:rPr>
        <w:t xml:space="preserve">advice should be sought from the HR Service before the </w:t>
      </w:r>
      <w:r w:rsidRPr="00705394">
        <w:rPr>
          <w:u w:val="none"/>
        </w:rPr>
        <w:lastRenderedPageBreak/>
        <w:t>request is fully considered.</w:t>
      </w:r>
      <w:r w:rsidR="00F817EC" w:rsidRPr="00705394">
        <w:rPr>
          <w:u w:val="none"/>
        </w:rPr>
        <w:t xml:space="preserve"> </w:t>
      </w:r>
      <w:r w:rsidR="001E5D12" w:rsidRPr="00705394">
        <w:rPr>
          <w:u w:val="none"/>
        </w:rPr>
        <w:t xml:space="preserve">It may be that this request cannot be supported e.g. if there is no other teacher in school capable </w:t>
      </w:r>
      <w:r w:rsidR="005737AB" w:rsidRPr="00705394">
        <w:rPr>
          <w:u w:val="none"/>
        </w:rPr>
        <w:t>of taking on the UPR responsibilities if they are still required.</w:t>
      </w:r>
      <w:r w:rsidR="001E5D12" w:rsidRPr="00705394">
        <w:rPr>
          <w:u w:val="none"/>
        </w:rPr>
        <w:t xml:space="preserve"> </w:t>
      </w:r>
      <w:r w:rsidR="00F817EC" w:rsidRPr="00705394">
        <w:rPr>
          <w:u w:val="none"/>
        </w:rPr>
        <w:t xml:space="preserve"> </w:t>
      </w:r>
      <w:r w:rsidRPr="00705394">
        <w:rPr>
          <w:u w:val="none"/>
        </w:rPr>
        <w:t>In the case of unattached teachers any decisions to pay a teacher on the UPR will apply to employment within the same local authority as per the STPCD.</w:t>
      </w:r>
    </w:p>
    <w:p w14:paraId="79BF738C" w14:textId="77777777" w:rsidR="005737AB" w:rsidRPr="00705394" w:rsidRDefault="005737AB" w:rsidP="00396DA7">
      <w:pPr>
        <w:spacing w:after="0"/>
        <w:ind w:left="284"/>
        <w:jc w:val="both"/>
      </w:pPr>
    </w:p>
    <w:p w14:paraId="40C0B71F" w14:textId="77777777" w:rsidR="00185902" w:rsidRPr="00705394" w:rsidRDefault="00185902" w:rsidP="00106166">
      <w:pPr>
        <w:spacing w:after="0"/>
        <w:jc w:val="both"/>
      </w:pPr>
      <w:r w:rsidRPr="00705394">
        <w:t xml:space="preserve">Paragraph 11.2 – </w:t>
      </w:r>
      <w:r w:rsidR="004526EB" w:rsidRPr="00705394">
        <w:t xml:space="preserve">UPR and </w:t>
      </w:r>
      <w:r w:rsidRPr="00705394">
        <w:t xml:space="preserve">Employment in More than One School </w:t>
      </w:r>
    </w:p>
    <w:p w14:paraId="3C3E0471" w14:textId="77777777" w:rsidR="00F817EC" w:rsidRPr="00705394" w:rsidRDefault="00F817EC" w:rsidP="00106166">
      <w:pPr>
        <w:spacing w:after="0"/>
        <w:jc w:val="both"/>
      </w:pPr>
    </w:p>
    <w:p w14:paraId="323D3745" w14:textId="5DA7B7BD" w:rsidR="00F85B1D" w:rsidRPr="00705394" w:rsidRDefault="00F85B1D" w:rsidP="00106166">
      <w:pPr>
        <w:spacing w:after="0"/>
        <w:jc w:val="both"/>
        <w:rPr>
          <w:u w:val="none"/>
        </w:rPr>
      </w:pPr>
      <w:r w:rsidRPr="00705394">
        <w:rPr>
          <w:u w:val="none"/>
        </w:rPr>
        <w:t xml:space="preserve">Teachers who are simultaneously employed to teach at more than one school may make separate applications to </w:t>
      </w:r>
      <w:r w:rsidR="004526EB" w:rsidRPr="00705394">
        <w:rPr>
          <w:u w:val="none"/>
        </w:rPr>
        <w:t xml:space="preserve">each school </w:t>
      </w:r>
      <w:r w:rsidRPr="00705394">
        <w:rPr>
          <w:u w:val="none"/>
        </w:rPr>
        <w:t>and each governing body will make its own assessment. Decisions by one school are not binding on another.</w:t>
      </w:r>
    </w:p>
    <w:p w14:paraId="0640B6A3" w14:textId="7BAB510B" w:rsidR="009940DF" w:rsidRPr="00705394" w:rsidRDefault="009940DF" w:rsidP="00106166">
      <w:pPr>
        <w:spacing w:after="0"/>
        <w:jc w:val="both"/>
        <w:rPr>
          <w:u w:val="none"/>
        </w:rPr>
      </w:pPr>
    </w:p>
    <w:p w14:paraId="76511E49" w14:textId="60D4C91C" w:rsidR="009940DF" w:rsidRPr="00705394" w:rsidRDefault="009940DF" w:rsidP="00106166">
      <w:pPr>
        <w:spacing w:after="0"/>
        <w:jc w:val="both"/>
      </w:pPr>
      <w:r w:rsidRPr="00705394">
        <w:t>Paragraph 11.13 – UPR Feedback</w:t>
      </w:r>
    </w:p>
    <w:p w14:paraId="5E3421F1" w14:textId="1107148A" w:rsidR="009940DF" w:rsidRPr="00705394" w:rsidRDefault="009940DF" w:rsidP="00106166">
      <w:pPr>
        <w:spacing w:after="0"/>
        <w:jc w:val="both"/>
        <w:rPr>
          <w:u w:val="none"/>
        </w:rPr>
      </w:pPr>
    </w:p>
    <w:p w14:paraId="57AB9A85" w14:textId="10961059" w:rsidR="009940DF" w:rsidRPr="00705394" w:rsidRDefault="009940DF" w:rsidP="00106166">
      <w:pPr>
        <w:spacing w:after="0"/>
        <w:jc w:val="both"/>
        <w:rPr>
          <w:u w:val="none"/>
        </w:rPr>
      </w:pPr>
      <w:r w:rsidRPr="00705394">
        <w:rPr>
          <w:u w:val="none"/>
        </w:rPr>
        <w:t>Where UPR progression is not supported, feedback should be provided verbally as soon as possible and followed up in writing</w:t>
      </w:r>
    </w:p>
    <w:p w14:paraId="717E3232" w14:textId="77777777" w:rsidR="00F817EC" w:rsidRPr="00705394" w:rsidRDefault="00F817EC" w:rsidP="00106166">
      <w:pPr>
        <w:spacing w:after="0"/>
        <w:jc w:val="both"/>
        <w:rPr>
          <w:u w:val="none"/>
        </w:rPr>
      </w:pPr>
    </w:p>
    <w:p w14:paraId="1158AA18" w14:textId="77777777" w:rsidR="00185902" w:rsidRPr="00705394" w:rsidRDefault="00185902" w:rsidP="00106166">
      <w:pPr>
        <w:spacing w:after="0"/>
        <w:jc w:val="both"/>
      </w:pPr>
      <w:r w:rsidRPr="00705394">
        <w:t xml:space="preserve">Paragraph 11.4 – </w:t>
      </w:r>
      <w:r w:rsidR="004526EB" w:rsidRPr="00705394">
        <w:t xml:space="preserve">UPR and </w:t>
      </w:r>
      <w:r w:rsidRPr="00705394">
        <w:t>Maternity Leave and Sickness Absence</w:t>
      </w:r>
    </w:p>
    <w:p w14:paraId="11820D00" w14:textId="77777777" w:rsidR="00F817EC" w:rsidRPr="00705394" w:rsidRDefault="00F817EC" w:rsidP="00106166">
      <w:pPr>
        <w:spacing w:after="0"/>
        <w:jc w:val="both"/>
      </w:pPr>
    </w:p>
    <w:p w14:paraId="453967E8" w14:textId="1401DE86" w:rsidR="00E06AF8" w:rsidRPr="00705394" w:rsidRDefault="00185902" w:rsidP="00106166">
      <w:pPr>
        <w:spacing w:after="0"/>
        <w:jc w:val="both"/>
        <w:rPr>
          <w:b/>
          <w:bCs/>
          <w:u w:val="none"/>
        </w:rPr>
      </w:pPr>
      <w:r w:rsidRPr="00705394">
        <w:rPr>
          <w:u w:val="none"/>
        </w:rPr>
        <w:t xml:space="preserve">The governing body </w:t>
      </w:r>
      <w:r w:rsidR="004526EB" w:rsidRPr="00705394">
        <w:rPr>
          <w:u w:val="none"/>
        </w:rPr>
        <w:t xml:space="preserve">should </w:t>
      </w:r>
      <w:r w:rsidRPr="00705394">
        <w:rPr>
          <w:u w:val="none"/>
        </w:rPr>
        <w:t xml:space="preserve">ensure that any teachers who have had </w:t>
      </w:r>
      <w:r w:rsidR="00E06AF8" w:rsidRPr="00705394">
        <w:rPr>
          <w:u w:val="none"/>
        </w:rPr>
        <w:t>periods of absence</w:t>
      </w:r>
      <w:r w:rsidRPr="00705394">
        <w:rPr>
          <w:u w:val="none"/>
        </w:rPr>
        <w:t xml:space="preserve"> are treated equitably</w:t>
      </w:r>
      <w:r w:rsidR="00E70FE8" w:rsidRPr="00705394">
        <w:rPr>
          <w:u w:val="none"/>
        </w:rPr>
        <w:t xml:space="preserve"> and avoid any discriminatory practice</w:t>
      </w:r>
      <w:r w:rsidRPr="00705394">
        <w:rPr>
          <w:u w:val="none"/>
        </w:rPr>
        <w:t>.</w:t>
      </w:r>
      <w:r w:rsidR="00E06AF8" w:rsidRPr="00705394">
        <w:rPr>
          <w:u w:val="none"/>
        </w:rPr>
        <w:t xml:space="preserve"> </w:t>
      </w:r>
      <w:r w:rsidR="00CF3A2F" w:rsidRPr="00705394">
        <w:rPr>
          <w:u w:val="none"/>
        </w:rPr>
        <w:t xml:space="preserve">Guidance from </w:t>
      </w:r>
      <w:r w:rsidR="009E590E" w:rsidRPr="00705394">
        <w:rPr>
          <w:u w:val="none"/>
        </w:rPr>
        <w:t>the DfE</w:t>
      </w:r>
      <w:r w:rsidRPr="00705394">
        <w:rPr>
          <w:u w:val="none"/>
        </w:rPr>
        <w:t xml:space="preserve"> state</w:t>
      </w:r>
      <w:r w:rsidR="00CF3A2F" w:rsidRPr="00705394">
        <w:rPr>
          <w:u w:val="none"/>
        </w:rPr>
        <w:t>s</w:t>
      </w:r>
      <w:r w:rsidRPr="00705394">
        <w:rPr>
          <w:u w:val="none"/>
        </w:rPr>
        <w:t xml:space="preserve"> that continuity of service means with the same school not continuity of employment in a different school where the LA is the employer.</w:t>
      </w:r>
      <w:r w:rsidR="00E06AF8" w:rsidRPr="00705394">
        <w:rPr>
          <w:u w:val="none"/>
        </w:rPr>
        <w:t xml:space="preserve"> </w:t>
      </w:r>
      <w:r w:rsidRPr="00705394">
        <w:rPr>
          <w:u w:val="none"/>
        </w:rPr>
        <w:t>A break in continuity of employment would not include, for example, a period of maternity leave, sick leave or TUPE transfer on conversion to an academy. Should this point require further clarification please refer to the guidance on absence due to maternity or sickness/disability in paragraph 3 of this document and contact your school HR Business Partner.</w:t>
      </w:r>
    </w:p>
    <w:p w14:paraId="4653FDE2" w14:textId="77777777" w:rsidR="005D5077" w:rsidRPr="00705394" w:rsidRDefault="005D5077" w:rsidP="00106166">
      <w:pPr>
        <w:spacing w:after="0"/>
        <w:jc w:val="both"/>
        <w:rPr>
          <w:b/>
          <w:bCs/>
          <w:u w:val="none"/>
        </w:rPr>
      </w:pPr>
    </w:p>
    <w:p w14:paraId="1F3F8F56" w14:textId="77777777" w:rsidR="005D5077" w:rsidRPr="00705394" w:rsidRDefault="004526EB" w:rsidP="00106166">
      <w:pPr>
        <w:spacing w:after="0"/>
        <w:jc w:val="both"/>
        <w:rPr>
          <w:b/>
          <w:bCs/>
          <w:u w:val="none"/>
        </w:rPr>
      </w:pPr>
      <w:r w:rsidRPr="00705394">
        <w:rPr>
          <w:b/>
          <w:bCs/>
          <w:u w:val="none"/>
        </w:rPr>
        <w:t xml:space="preserve">Pay Policy Paragraph 13.0 - </w:t>
      </w:r>
      <w:r w:rsidR="00185902" w:rsidRPr="00705394">
        <w:rPr>
          <w:b/>
          <w:bCs/>
          <w:u w:val="none"/>
        </w:rPr>
        <w:t xml:space="preserve">Unqualified Teachers </w:t>
      </w:r>
    </w:p>
    <w:p w14:paraId="646A8D9D" w14:textId="77777777" w:rsidR="00F817EC" w:rsidRPr="00705394" w:rsidRDefault="00F817EC" w:rsidP="00106166">
      <w:pPr>
        <w:spacing w:after="0"/>
        <w:jc w:val="both"/>
        <w:rPr>
          <w:b/>
          <w:bCs/>
          <w:u w:val="none"/>
        </w:rPr>
      </w:pPr>
    </w:p>
    <w:p w14:paraId="66C7A2CA" w14:textId="1024D6E0" w:rsidR="00185902" w:rsidRPr="00705394" w:rsidRDefault="00185902" w:rsidP="00106166">
      <w:pPr>
        <w:spacing w:after="0"/>
        <w:jc w:val="both"/>
        <w:rPr>
          <w:u w:val="none"/>
        </w:rPr>
      </w:pPr>
      <w:r w:rsidRPr="00705394">
        <w:rPr>
          <w:u w:val="none"/>
        </w:rPr>
        <w:t xml:space="preserve">In determining the pay of unqualified teachers, the governing body must </w:t>
      </w:r>
      <w:r w:rsidR="009E590E" w:rsidRPr="00705394">
        <w:rPr>
          <w:u w:val="none"/>
        </w:rPr>
        <w:t>consider</w:t>
      </w:r>
      <w:r w:rsidRPr="00705394">
        <w:rPr>
          <w:u w:val="none"/>
        </w:rPr>
        <w:t xml:space="preserve"> the provisions in the </w:t>
      </w:r>
      <w:proofErr w:type="gramStart"/>
      <w:r w:rsidRPr="00705394">
        <w:rPr>
          <w:u w:val="none"/>
        </w:rPr>
        <w:t>STPCD</w:t>
      </w:r>
      <w:proofErr w:type="gramEnd"/>
      <w:r w:rsidRPr="00705394">
        <w:rPr>
          <w:u w:val="none"/>
        </w:rPr>
        <w:t xml:space="preserve"> and it is anticipated that unqualified teachers will commence employment at the school on the minimum point of the UTR. </w:t>
      </w:r>
      <w:r w:rsidR="00E06AF8" w:rsidRPr="00705394">
        <w:rPr>
          <w:u w:val="none"/>
        </w:rPr>
        <w:t xml:space="preserve"> </w:t>
      </w:r>
      <w:r w:rsidRPr="00705394">
        <w:rPr>
          <w:u w:val="none"/>
        </w:rPr>
        <w:t xml:space="preserve">Pay progression </w:t>
      </w:r>
      <w:r w:rsidR="00E06AF8" w:rsidRPr="00705394">
        <w:rPr>
          <w:u w:val="none"/>
        </w:rPr>
        <w:t>is in line with paragraphs 9.</w:t>
      </w:r>
      <w:r w:rsidR="00CF3A2F" w:rsidRPr="00705394">
        <w:rPr>
          <w:u w:val="none"/>
        </w:rPr>
        <w:t xml:space="preserve">5 (b) </w:t>
      </w:r>
      <w:r w:rsidRPr="00705394">
        <w:rPr>
          <w:u w:val="none"/>
        </w:rPr>
        <w:t xml:space="preserve">of the </w:t>
      </w:r>
      <w:r w:rsidR="00E06AF8" w:rsidRPr="00705394">
        <w:rPr>
          <w:u w:val="none"/>
        </w:rPr>
        <w:t>P</w:t>
      </w:r>
      <w:r w:rsidRPr="00705394">
        <w:rPr>
          <w:u w:val="none"/>
        </w:rPr>
        <w:t xml:space="preserve">ay </w:t>
      </w:r>
      <w:r w:rsidR="00E06AF8" w:rsidRPr="00705394">
        <w:rPr>
          <w:u w:val="none"/>
        </w:rPr>
        <w:t>P</w:t>
      </w:r>
      <w:r w:rsidRPr="00705394">
        <w:rPr>
          <w:u w:val="none"/>
        </w:rPr>
        <w:t xml:space="preserve">olicy.  </w:t>
      </w:r>
    </w:p>
    <w:p w14:paraId="13BD08A9" w14:textId="77777777" w:rsidR="00F817EC" w:rsidRPr="00705394" w:rsidRDefault="00F817EC" w:rsidP="00106166">
      <w:pPr>
        <w:spacing w:after="0"/>
        <w:jc w:val="both"/>
        <w:rPr>
          <w:u w:val="none"/>
        </w:rPr>
      </w:pPr>
    </w:p>
    <w:p w14:paraId="5601F6BD" w14:textId="77777777" w:rsidR="005032C9" w:rsidRPr="00705394" w:rsidRDefault="00185902" w:rsidP="00106166">
      <w:pPr>
        <w:spacing w:after="0"/>
        <w:jc w:val="both"/>
        <w:rPr>
          <w:u w:val="none"/>
        </w:rPr>
      </w:pPr>
      <w:r w:rsidRPr="00705394">
        <w:rPr>
          <w:u w:val="none"/>
        </w:rPr>
        <w:t>Teachers who hold qualifications from overseas, which are commensurate with Qualified Teacher Status (QTS), should be paid a</w:t>
      </w:r>
      <w:r w:rsidR="005557DE" w:rsidRPr="00705394">
        <w:rPr>
          <w:u w:val="none"/>
        </w:rPr>
        <w:t>s qualified teachers.  NARIC is</w:t>
      </w:r>
      <w:r w:rsidRPr="00705394">
        <w:rPr>
          <w:u w:val="none"/>
        </w:rPr>
        <w:t xml:space="preserve"> an organisation that will provide overseas teachers with confirmation their qualification is equivalent to QTS or, if not, what the teacher should do to obtain QTS.</w:t>
      </w:r>
    </w:p>
    <w:p w14:paraId="2463851B" w14:textId="77777777" w:rsidR="005032C9" w:rsidRPr="00705394" w:rsidRDefault="005032C9" w:rsidP="00106166">
      <w:pPr>
        <w:spacing w:after="0"/>
        <w:jc w:val="both"/>
        <w:rPr>
          <w:b/>
          <w:bCs/>
          <w:u w:val="none"/>
        </w:rPr>
      </w:pPr>
    </w:p>
    <w:p w14:paraId="18F62B7C" w14:textId="77777777" w:rsidR="00F817EC" w:rsidRPr="00705394" w:rsidRDefault="004526EB" w:rsidP="00106166">
      <w:pPr>
        <w:spacing w:after="0"/>
        <w:jc w:val="both"/>
        <w:rPr>
          <w:b/>
          <w:bCs/>
          <w:u w:val="none"/>
        </w:rPr>
      </w:pPr>
      <w:r w:rsidRPr="00705394">
        <w:rPr>
          <w:b/>
          <w:bCs/>
          <w:u w:val="none"/>
        </w:rPr>
        <w:t xml:space="preserve">Pay Policy Paragraph 14.0 - </w:t>
      </w:r>
      <w:r w:rsidR="00185902" w:rsidRPr="00705394">
        <w:rPr>
          <w:b/>
          <w:bCs/>
          <w:u w:val="none"/>
        </w:rPr>
        <w:t>Supply Teachers</w:t>
      </w:r>
    </w:p>
    <w:p w14:paraId="36EF033F" w14:textId="77777777" w:rsidR="004526EB" w:rsidRPr="00705394" w:rsidRDefault="004526EB" w:rsidP="00106166">
      <w:pPr>
        <w:spacing w:after="0"/>
        <w:jc w:val="both"/>
        <w:rPr>
          <w:b/>
          <w:bCs/>
          <w:u w:val="none"/>
        </w:rPr>
      </w:pPr>
    </w:p>
    <w:p w14:paraId="3C126D81" w14:textId="2CDCD58F" w:rsidR="00DB4965" w:rsidRPr="00705394" w:rsidRDefault="00A40702" w:rsidP="00DB4965">
      <w:pPr>
        <w:jc w:val="both"/>
        <w:rPr>
          <w:rFonts w:eastAsia="Times New Roman" w:cs="Times New Roman"/>
          <w:strike/>
          <w:szCs w:val="20"/>
          <w:u w:val="none"/>
          <w:lang w:eastAsia="en-GB"/>
        </w:rPr>
      </w:pPr>
      <w:bookmarkStart w:id="3" w:name="_Hlk51147914"/>
      <w:r w:rsidRPr="00705394">
        <w:rPr>
          <w:u w:val="none"/>
        </w:rPr>
        <w:t>S</w:t>
      </w:r>
      <w:r w:rsidR="00BB7ABD" w:rsidRPr="00705394">
        <w:rPr>
          <w:u w:val="none"/>
        </w:rPr>
        <w:t xml:space="preserve">upply teachers </w:t>
      </w:r>
      <w:r w:rsidRPr="00705394">
        <w:rPr>
          <w:u w:val="none"/>
        </w:rPr>
        <w:t xml:space="preserve">employed directly </w:t>
      </w:r>
      <w:r w:rsidR="00BB7ABD" w:rsidRPr="00705394">
        <w:rPr>
          <w:u w:val="none"/>
        </w:rPr>
        <w:t>by</w:t>
      </w:r>
      <w:r w:rsidRPr="00705394">
        <w:rPr>
          <w:u w:val="none"/>
        </w:rPr>
        <w:t xml:space="preserve"> </w:t>
      </w:r>
      <w:r w:rsidR="00BB7ABD" w:rsidRPr="00705394">
        <w:rPr>
          <w:u w:val="none"/>
        </w:rPr>
        <w:t>th</w:t>
      </w:r>
      <w:r w:rsidRPr="00705394">
        <w:rPr>
          <w:u w:val="none"/>
        </w:rPr>
        <w:t>e</w:t>
      </w:r>
      <w:r w:rsidR="00BB7ABD" w:rsidRPr="00705394">
        <w:rPr>
          <w:u w:val="none"/>
        </w:rPr>
        <w:t xml:space="preserve"> school </w:t>
      </w:r>
      <w:r w:rsidRPr="00705394">
        <w:rPr>
          <w:u w:val="none"/>
        </w:rPr>
        <w:t xml:space="preserve">should be on the same pay range applicable to all other teachers in the school </w:t>
      </w:r>
      <w:r w:rsidR="00185902" w:rsidRPr="00705394">
        <w:rPr>
          <w:u w:val="none"/>
        </w:rPr>
        <w:t>(Pay Band</w:t>
      </w:r>
      <w:r w:rsidR="00F85B1D" w:rsidRPr="00705394">
        <w:rPr>
          <w:u w:val="none"/>
        </w:rPr>
        <w:t xml:space="preserve"> </w:t>
      </w:r>
      <w:r w:rsidR="00830977" w:rsidRPr="00705394">
        <w:rPr>
          <w:u w:val="none"/>
        </w:rPr>
        <w:t xml:space="preserve">A, </w:t>
      </w:r>
      <w:r w:rsidR="009E590E" w:rsidRPr="00705394">
        <w:rPr>
          <w:u w:val="none"/>
        </w:rPr>
        <w:t>B, C</w:t>
      </w:r>
      <w:r w:rsidR="00F85B1D" w:rsidRPr="00705394">
        <w:rPr>
          <w:u w:val="none"/>
        </w:rPr>
        <w:t xml:space="preserve"> or D)</w:t>
      </w:r>
      <w:bookmarkStart w:id="4" w:name="_Hlk51147879"/>
      <w:r w:rsidRPr="00705394">
        <w:rPr>
          <w:u w:val="none"/>
        </w:rPr>
        <w:t xml:space="preserve">. </w:t>
      </w:r>
      <w:bookmarkEnd w:id="3"/>
      <w:bookmarkEnd w:id="4"/>
      <w:r w:rsidRPr="00705394">
        <w:rPr>
          <w:u w:val="none"/>
        </w:rPr>
        <w:t xml:space="preserve">However, salary portability does not automatically apply to </w:t>
      </w:r>
      <w:r w:rsidR="00CF3A2F" w:rsidRPr="00705394">
        <w:rPr>
          <w:u w:val="none"/>
        </w:rPr>
        <w:t xml:space="preserve">a </w:t>
      </w:r>
      <w:r w:rsidRPr="00705394">
        <w:rPr>
          <w:u w:val="none"/>
        </w:rPr>
        <w:t xml:space="preserve">supply teacher and a school is no </w:t>
      </w:r>
      <w:r w:rsidR="00185902" w:rsidRPr="00705394">
        <w:rPr>
          <w:u w:val="none"/>
        </w:rPr>
        <w:t xml:space="preserve">longer required to pay a supply teacher at their pre 31.8.13 determined salary. </w:t>
      </w:r>
      <w:r w:rsidR="00E06AF8" w:rsidRPr="00705394">
        <w:rPr>
          <w:u w:val="none"/>
        </w:rPr>
        <w:t xml:space="preserve"> </w:t>
      </w:r>
      <w:r w:rsidR="00185902" w:rsidRPr="00705394">
        <w:rPr>
          <w:u w:val="none"/>
        </w:rPr>
        <w:t>A teacher employed on a supply basis must not be paid more in respect of that period of employment than would have been paid had the teacher been employed in regular e</w:t>
      </w:r>
      <w:r w:rsidR="00E06AF8" w:rsidRPr="00705394">
        <w:rPr>
          <w:u w:val="none"/>
        </w:rPr>
        <w:t xml:space="preserve">mployment throughout the </w:t>
      </w:r>
      <w:r w:rsidR="00E06AF8" w:rsidRPr="00705394">
        <w:rPr>
          <w:u w:val="none"/>
        </w:rPr>
        <w:lastRenderedPageBreak/>
        <w:t>period</w:t>
      </w:r>
      <w:r w:rsidR="00185902" w:rsidRPr="00705394">
        <w:rPr>
          <w:u w:val="none"/>
        </w:rPr>
        <w:t xml:space="preserve"> </w:t>
      </w:r>
      <w:r w:rsidR="00853573" w:rsidRPr="00705394">
        <w:rPr>
          <w:u w:val="none"/>
        </w:rPr>
        <w:t>(STPCD paragraph 42.2).</w:t>
      </w:r>
      <w:r w:rsidR="00B52CB9" w:rsidRPr="00705394">
        <w:rPr>
          <w:i/>
          <w:u w:val="none"/>
        </w:rPr>
        <w:t xml:space="preserve"> </w:t>
      </w:r>
      <w:r w:rsidR="00E61E31" w:rsidRPr="00705394">
        <w:rPr>
          <w:u w:val="none"/>
        </w:rPr>
        <w:t>Where exceptionally a supply teacher has the qualifying aggregate service in the school, pay progression will be considered in line with all other teachers.</w:t>
      </w:r>
      <w:r w:rsidR="00DB4965" w:rsidRPr="00705394">
        <w:rPr>
          <w:u w:val="none"/>
        </w:rPr>
        <w:t xml:space="preserve"> </w:t>
      </w:r>
    </w:p>
    <w:p w14:paraId="1C1AA4E3" w14:textId="66B13443" w:rsidR="00744AF9" w:rsidRPr="00705394" w:rsidRDefault="00744AF9" w:rsidP="00DB4965">
      <w:pPr>
        <w:jc w:val="both"/>
        <w:rPr>
          <w:rFonts w:eastAsia="Times New Roman" w:cs="Times New Roman"/>
          <w:i/>
          <w:iCs/>
          <w:szCs w:val="20"/>
          <w:u w:val="none"/>
          <w:lang w:eastAsia="en-GB"/>
        </w:rPr>
      </w:pPr>
      <w:r w:rsidRPr="00705394">
        <w:rPr>
          <w:u w:val="none"/>
        </w:rPr>
        <w:t>Where schools employ agency staff their employment should be compliant with the Agency Workers Regulations. Agency teachers have certain rights from day one of their assignment – including the right to be informed of permanent vacancies in the school. After 12 weeks in the same assignment, they have the right to the same “basic” pay and conditions as if they were employed directly by the school.</w:t>
      </w:r>
    </w:p>
    <w:p w14:paraId="15154EA2" w14:textId="77777777" w:rsidR="00F817EC" w:rsidRPr="00705394" w:rsidRDefault="004526EB" w:rsidP="00106166">
      <w:pPr>
        <w:jc w:val="both"/>
        <w:rPr>
          <w:b/>
          <w:bCs/>
          <w:u w:val="none"/>
        </w:rPr>
      </w:pPr>
      <w:r w:rsidRPr="00705394">
        <w:rPr>
          <w:b/>
          <w:bCs/>
          <w:u w:val="none"/>
        </w:rPr>
        <w:t xml:space="preserve">Pay Policy Paragraph 15.0 - </w:t>
      </w:r>
      <w:r w:rsidR="00185902" w:rsidRPr="00705394">
        <w:rPr>
          <w:b/>
          <w:bCs/>
          <w:u w:val="none"/>
        </w:rPr>
        <w:t xml:space="preserve">Part Time </w:t>
      </w:r>
      <w:r w:rsidR="002455CC" w:rsidRPr="00705394">
        <w:rPr>
          <w:b/>
          <w:bCs/>
          <w:u w:val="none"/>
        </w:rPr>
        <w:t>Teachers</w:t>
      </w:r>
    </w:p>
    <w:p w14:paraId="6D765C3D" w14:textId="5D52CB2C" w:rsidR="00E06AF8" w:rsidRPr="002663D2" w:rsidRDefault="00185902" w:rsidP="00106166">
      <w:pPr>
        <w:spacing w:after="0"/>
        <w:jc w:val="both"/>
        <w:rPr>
          <w:u w:val="none"/>
        </w:rPr>
      </w:pPr>
      <w:r w:rsidRPr="00705394">
        <w:rPr>
          <w:u w:val="none"/>
        </w:rPr>
        <w:t xml:space="preserve">To ensure that the payments made to part time teachers are correct, the governing body must establish (STPCD  </w:t>
      </w:r>
      <w:r w:rsidR="00853573" w:rsidRPr="00705394">
        <w:rPr>
          <w:u w:val="none"/>
        </w:rPr>
        <w:t>202</w:t>
      </w:r>
      <w:r w:rsidR="00814D23" w:rsidRPr="00705394">
        <w:rPr>
          <w:u w:val="none"/>
        </w:rPr>
        <w:t>4</w:t>
      </w:r>
      <w:r w:rsidR="00853573" w:rsidRPr="00705394">
        <w:rPr>
          <w:u w:val="none"/>
        </w:rPr>
        <w:t xml:space="preserve"> </w:t>
      </w:r>
      <w:r w:rsidRPr="00705394">
        <w:rPr>
          <w:u w:val="none"/>
        </w:rPr>
        <w:t xml:space="preserve">page </w:t>
      </w:r>
      <w:r w:rsidR="00B75C78" w:rsidRPr="00705394">
        <w:rPr>
          <w:u w:val="none"/>
        </w:rPr>
        <w:t>43,</w:t>
      </w:r>
      <w:r w:rsidRPr="00705394">
        <w:rPr>
          <w:u w:val="none"/>
        </w:rPr>
        <w:t xml:space="preserve"> paragraph </w:t>
      </w:r>
      <w:r w:rsidR="00B75C78" w:rsidRPr="00705394">
        <w:rPr>
          <w:u w:val="none"/>
        </w:rPr>
        <w:t>40.2</w:t>
      </w:r>
      <w:r w:rsidRPr="00705394">
        <w:rPr>
          <w:u w:val="none"/>
        </w:rPr>
        <w:t>)</w:t>
      </w:r>
      <w:r w:rsidR="00034A0F" w:rsidRPr="00705394">
        <w:rPr>
          <w:i/>
          <w:u w:val="none"/>
        </w:rPr>
        <w:t xml:space="preserve"> </w:t>
      </w:r>
      <w:r w:rsidRPr="00705394">
        <w:rPr>
          <w:u w:val="none"/>
        </w:rPr>
        <w:t>the proportion of the school’s timetabled teaching week for each part time teacher as a percentage of the full</w:t>
      </w:r>
      <w:r w:rsidR="00BB505B" w:rsidRPr="00705394">
        <w:rPr>
          <w:u w:val="none"/>
        </w:rPr>
        <w:t>-</w:t>
      </w:r>
      <w:r w:rsidRPr="00705394">
        <w:rPr>
          <w:u w:val="none"/>
        </w:rPr>
        <w:t>time teacher’s school timetabled teaching week</w:t>
      </w:r>
      <w:r w:rsidR="00DB4965" w:rsidRPr="00705394">
        <w:rPr>
          <w:u w:val="none"/>
        </w:rPr>
        <w:t xml:space="preserve"> as set out in paragraph 7.0</w:t>
      </w:r>
      <w:r w:rsidR="006A7B28">
        <w:rPr>
          <w:u w:val="none"/>
        </w:rPr>
        <w:t xml:space="preserve"> and paragraph 15.0 – 15.1</w:t>
      </w:r>
      <w:r w:rsidRPr="00705394">
        <w:rPr>
          <w:u w:val="none"/>
        </w:rPr>
        <w:t>.</w:t>
      </w:r>
      <w:r w:rsidR="00F817EC" w:rsidRPr="00705394">
        <w:rPr>
          <w:u w:val="none"/>
        </w:rPr>
        <w:t xml:space="preserve"> </w:t>
      </w:r>
      <w:r w:rsidRPr="00705394">
        <w:rPr>
          <w:u w:val="none"/>
        </w:rPr>
        <w:t>The salary, allowances and all contractual arrangements for part time employees (teaching and support) must comply</w:t>
      </w:r>
      <w:r w:rsidR="00F817EC" w:rsidRPr="00705394">
        <w:rPr>
          <w:u w:val="none"/>
        </w:rPr>
        <w:t xml:space="preserve"> with the pro rata principle,</w:t>
      </w:r>
      <w:r w:rsidRPr="00705394">
        <w:rPr>
          <w:u w:val="none"/>
        </w:rPr>
        <w:t xml:space="preserve"> </w:t>
      </w:r>
      <w:r w:rsidR="00F85B1D" w:rsidRPr="00705394">
        <w:rPr>
          <w:u w:val="none"/>
        </w:rPr>
        <w:t>the Part Time Workers (Prevention of Less Favourable Treatme</w:t>
      </w:r>
      <w:r w:rsidR="00F817EC" w:rsidRPr="00705394">
        <w:rPr>
          <w:u w:val="none"/>
        </w:rPr>
        <w:t>nt) Regulations 2000, the</w:t>
      </w:r>
      <w:r w:rsidR="00F85B1D" w:rsidRPr="00705394">
        <w:rPr>
          <w:u w:val="none"/>
        </w:rPr>
        <w:t xml:space="preserve"> Equality Act 2010</w:t>
      </w:r>
      <w:r w:rsidRPr="00705394">
        <w:rPr>
          <w:u w:val="none"/>
        </w:rPr>
        <w:t xml:space="preserve"> and arrangements set out in the STPCD and NJC conditions of service. </w:t>
      </w:r>
      <w:r w:rsidR="00971084" w:rsidRPr="00705394">
        <w:rPr>
          <w:u w:val="none"/>
        </w:rPr>
        <w:t xml:space="preserve"> </w:t>
      </w:r>
      <w:r w:rsidRPr="00705394">
        <w:rPr>
          <w:u w:val="none"/>
        </w:rPr>
        <w:t xml:space="preserve">The pro rata principle requires part time pay to be determined according to the salary that would be paid to an employee </w:t>
      </w:r>
      <w:r w:rsidRPr="002663D2">
        <w:rPr>
          <w:u w:val="none"/>
        </w:rPr>
        <w:t xml:space="preserve">if employed in the same post on a </w:t>
      </w:r>
      <w:r w:rsidR="004D383B" w:rsidRPr="002663D2">
        <w:rPr>
          <w:u w:val="none"/>
        </w:rPr>
        <w:t>full-time</w:t>
      </w:r>
      <w:r w:rsidRPr="002663D2">
        <w:rPr>
          <w:u w:val="none"/>
        </w:rPr>
        <w:t xml:space="preserve"> basis.</w:t>
      </w:r>
      <w:r w:rsidR="004D383B" w:rsidRPr="002663D2">
        <w:rPr>
          <w:u w:val="none"/>
        </w:rPr>
        <w:t xml:space="preserve"> The only exception to this is the payment of a TLR 3 which must be paid in full irrespective of the teachers contracted hours</w:t>
      </w:r>
      <w:r w:rsidR="006A7B28" w:rsidRPr="002663D2">
        <w:rPr>
          <w:u w:val="none"/>
        </w:rPr>
        <w:t xml:space="preserve">. From 1 September 2025, </w:t>
      </w:r>
      <w:r w:rsidR="00131AFF" w:rsidRPr="002663D2">
        <w:rPr>
          <w:u w:val="none"/>
        </w:rPr>
        <w:t xml:space="preserve">it is important to note that </w:t>
      </w:r>
      <w:r w:rsidR="006A7B28" w:rsidRPr="002663D2">
        <w:rPr>
          <w:u w:val="none"/>
        </w:rPr>
        <w:t xml:space="preserve">the pro rata principle does not automatically apply to the payment of </w:t>
      </w:r>
      <w:r w:rsidR="00131AFF" w:rsidRPr="002663D2">
        <w:rPr>
          <w:u w:val="none"/>
        </w:rPr>
        <w:t>TLR1 or 2 as set out in paragraph 17.1.</w:t>
      </w:r>
    </w:p>
    <w:p w14:paraId="70BD839F" w14:textId="77777777" w:rsidR="00971084" w:rsidRPr="002663D2" w:rsidRDefault="00971084" w:rsidP="00106166">
      <w:pPr>
        <w:spacing w:after="0"/>
        <w:jc w:val="both"/>
        <w:rPr>
          <w:b/>
          <w:bCs/>
          <w:u w:val="none"/>
        </w:rPr>
      </w:pPr>
    </w:p>
    <w:p w14:paraId="316F6785" w14:textId="1DA4C85B" w:rsidR="00F817EC" w:rsidRPr="002663D2" w:rsidRDefault="004526EB" w:rsidP="00106166">
      <w:pPr>
        <w:spacing w:after="0"/>
        <w:jc w:val="both"/>
        <w:rPr>
          <w:b/>
          <w:bCs/>
          <w:u w:val="none"/>
        </w:rPr>
      </w:pPr>
      <w:r w:rsidRPr="002663D2">
        <w:rPr>
          <w:b/>
          <w:bCs/>
          <w:u w:val="none"/>
        </w:rPr>
        <w:t xml:space="preserve">Pay Policy Paragraph 16.0 - </w:t>
      </w:r>
      <w:r w:rsidR="00185902" w:rsidRPr="002663D2">
        <w:rPr>
          <w:b/>
          <w:bCs/>
          <w:u w:val="none"/>
        </w:rPr>
        <w:t>Tuition</w:t>
      </w:r>
    </w:p>
    <w:p w14:paraId="19E31D6E" w14:textId="77777777" w:rsidR="004526EB" w:rsidRPr="002663D2" w:rsidRDefault="004526EB" w:rsidP="00106166">
      <w:pPr>
        <w:spacing w:after="0"/>
        <w:jc w:val="both"/>
        <w:rPr>
          <w:b/>
          <w:bCs/>
          <w:u w:val="none"/>
        </w:rPr>
      </w:pPr>
    </w:p>
    <w:p w14:paraId="44F2F342" w14:textId="1E530594" w:rsidR="004C191A" w:rsidRPr="002663D2" w:rsidRDefault="00185902" w:rsidP="004C191A">
      <w:pPr>
        <w:spacing w:after="0"/>
        <w:jc w:val="both"/>
        <w:rPr>
          <w:u w:val="none"/>
        </w:rPr>
      </w:pPr>
      <w:r w:rsidRPr="002663D2">
        <w:rPr>
          <w:u w:val="none"/>
        </w:rPr>
        <w:t xml:space="preserve">The Local Authority has produced additional guidance for schools on the arrangements (including pay) for tutors </w:t>
      </w:r>
      <w:r w:rsidR="00897A11" w:rsidRPr="002663D2">
        <w:rPr>
          <w:u w:val="none"/>
        </w:rPr>
        <w:t>which</w:t>
      </w:r>
      <w:r w:rsidRPr="002663D2">
        <w:rPr>
          <w:u w:val="none"/>
        </w:rPr>
        <w:t xml:space="preserve"> is available on </w:t>
      </w:r>
      <w:hyperlink r:id="rId26" w:history="1">
        <w:r w:rsidR="00313A9C" w:rsidRPr="002663D2">
          <w:rPr>
            <w:rStyle w:val="Hyperlink"/>
            <w:color w:val="auto"/>
          </w:rPr>
          <w:t>Schools Portal</w:t>
        </w:r>
      </w:hyperlink>
      <w:r w:rsidR="00897A11" w:rsidRPr="002663D2">
        <w:rPr>
          <w:rStyle w:val="Hyperlink"/>
          <w:color w:val="auto"/>
        </w:rPr>
        <w:t>.</w:t>
      </w:r>
      <w:r w:rsidR="00313A9C" w:rsidRPr="002663D2">
        <w:rPr>
          <w:u w:val="none"/>
        </w:rPr>
        <w:t xml:space="preserve"> </w:t>
      </w:r>
    </w:p>
    <w:p w14:paraId="7EC5E136" w14:textId="77777777" w:rsidR="004663E7" w:rsidRPr="002663D2" w:rsidRDefault="004663E7" w:rsidP="004C191A">
      <w:pPr>
        <w:spacing w:after="0"/>
        <w:jc w:val="both"/>
        <w:rPr>
          <w:u w:val="none"/>
        </w:rPr>
      </w:pPr>
    </w:p>
    <w:p w14:paraId="1D9F2EE1" w14:textId="1B857D26" w:rsidR="004C191A" w:rsidRPr="002663D2" w:rsidRDefault="004663E7" w:rsidP="004C191A">
      <w:pPr>
        <w:spacing w:after="0"/>
        <w:jc w:val="both"/>
        <w:rPr>
          <w:b/>
          <w:bCs/>
          <w:u w:val="none"/>
        </w:rPr>
      </w:pPr>
      <w:r w:rsidRPr="002663D2">
        <w:rPr>
          <w:b/>
          <w:bCs/>
          <w:u w:val="none"/>
        </w:rPr>
        <w:t xml:space="preserve">Teachers </w:t>
      </w:r>
    </w:p>
    <w:p w14:paraId="3EFB7939" w14:textId="77777777" w:rsidR="004663E7" w:rsidRPr="002663D2" w:rsidRDefault="004663E7" w:rsidP="004C191A">
      <w:pPr>
        <w:spacing w:after="0"/>
        <w:jc w:val="both"/>
        <w:rPr>
          <w:u w:val="none"/>
        </w:rPr>
      </w:pPr>
    </w:p>
    <w:p w14:paraId="5F2BE5E8" w14:textId="239D63DB" w:rsidR="004C191A" w:rsidRPr="002663D2" w:rsidRDefault="004C191A" w:rsidP="004C191A">
      <w:pPr>
        <w:spacing w:after="0"/>
        <w:jc w:val="both"/>
        <w:rPr>
          <w:u w:val="none"/>
          <w:lang w:eastAsia="en-GB"/>
        </w:rPr>
      </w:pPr>
      <w:r w:rsidRPr="002663D2">
        <w:rPr>
          <w:u w:val="none"/>
          <w:lang w:eastAsia="en-GB"/>
        </w:rPr>
        <w:t xml:space="preserve">The School Teachers’ Pay and Conditions Document 2021 (Section 3 Guidance </w:t>
      </w:r>
      <w:r w:rsidR="009E590E" w:rsidRPr="002663D2">
        <w:rPr>
          <w:u w:val="none"/>
          <w:lang w:eastAsia="en-GB"/>
        </w:rPr>
        <w:t>document)</w:t>
      </w:r>
      <w:r w:rsidRPr="002663D2">
        <w:rPr>
          <w:u w:val="none"/>
          <w:lang w:eastAsia="en-GB"/>
        </w:rPr>
        <w:t xml:space="preserve"> allows for the payment of a TLR3 where teachers are undertaking planning, preparation, coordination of, or delivery of tutoring to provide catch up support to pupils lost to the pandemic. </w:t>
      </w:r>
      <w:r w:rsidR="009A3EE0" w:rsidRPr="002663D2">
        <w:rPr>
          <w:u w:val="none"/>
          <w:lang w:eastAsia="en-GB"/>
        </w:rPr>
        <w:t>Although the STPCD 202</w:t>
      </w:r>
      <w:r w:rsidR="00563EC0" w:rsidRPr="002663D2">
        <w:rPr>
          <w:u w:val="none"/>
          <w:lang w:eastAsia="en-GB"/>
        </w:rPr>
        <w:t>5</w:t>
      </w:r>
      <w:r w:rsidR="009A3EE0" w:rsidRPr="002663D2">
        <w:rPr>
          <w:u w:val="none"/>
          <w:lang w:eastAsia="en-GB"/>
        </w:rPr>
        <w:t xml:space="preserve"> appears to allow it, t</w:t>
      </w:r>
      <w:r w:rsidRPr="002663D2">
        <w:rPr>
          <w:u w:val="none"/>
          <w:lang w:eastAsia="en-GB"/>
        </w:rPr>
        <w:t xml:space="preserve">he HR Service </w:t>
      </w:r>
      <w:r w:rsidRPr="002663D2">
        <w:rPr>
          <w:b/>
          <w:bCs/>
          <w:lang w:eastAsia="en-GB"/>
        </w:rPr>
        <w:t>strongly advises against</w:t>
      </w:r>
      <w:r w:rsidRPr="002663D2">
        <w:rPr>
          <w:u w:val="none"/>
          <w:lang w:eastAsia="en-GB"/>
        </w:rPr>
        <w:t xml:space="preserve"> the use of a TLR3 as an hourly payment mechanism</w:t>
      </w:r>
      <w:r w:rsidR="009A3EE0" w:rsidRPr="002663D2">
        <w:rPr>
          <w:u w:val="none"/>
          <w:lang w:eastAsia="en-GB"/>
        </w:rPr>
        <w:t xml:space="preserve"> for this work</w:t>
      </w:r>
      <w:r w:rsidRPr="002663D2">
        <w:rPr>
          <w:u w:val="none"/>
          <w:lang w:eastAsia="en-GB"/>
        </w:rPr>
        <w:t xml:space="preserve"> and </w:t>
      </w:r>
      <w:r w:rsidR="009A3EE0" w:rsidRPr="002663D2">
        <w:rPr>
          <w:u w:val="none"/>
          <w:lang w:eastAsia="en-GB"/>
        </w:rPr>
        <w:t xml:space="preserve">the school must decide the hourly </w:t>
      </w:r>
      <w:r w:rsidRPr="002663D2">
        <w:rPr>
          <w:u w:val="none"/>
          <w:lang w:eastAsia="en-GB"/>
        </w:rPr>
        <w:t xml:space="preserve">payment for </w:t>
      </w:r>
      <w:r w:rsidR="009A3EE0" w:rsidRPr="002663D2">
        <w:rPr>
          <w:u w:val="none"/>
          <w:lang w:eastAsia="en-GB"/>
        </w:rPr>
        <w:t xml:space="preserve">catch up led </w:t>
      </w:r>
      <w:r w:rsidRPr="002663D2">
        <w:rPr>
          <w:u w:val="none"/>
          <w:lang w:eastAsia="en-GB"/>
        </w:rPr>
        <w:t>tutoring in line with</w:t>
      </w:r>
      <w:r w:rsidR="009A3EE0" w:rsidRPr="002663D2">
        <w:rPr>
          <w:u w:val="none"/>
          <w:lang w:eastAsia="en-GB"/>
        </w:rPr>
        <w:t xml:space="preserve"> (a) or (b) as set out in</w:t>
      </w:r>
      <w:r w:rsidRPr="002663D2">
        <w:rPr>
          <w:u w:val="none"/>
          <w:lang w:eastAsia="en-GB"/>
        </w:rPr>
        <w:t xml:space="preserve"> </w:t>
      </w:r>
      <w:r w:rsidRPr="002663D2">
        <w:rPr>
          <w:lang w:eastAsia="en-GB"/>
        </w:rPr>
        <w:t>paragraph</w:t>
      </w:r>
      <w:r w:rsidR="009A3EE0" w:rsidRPr="002663D2">
        <w:rPr>
          <w:lang w:eastAsia="en-GB"/>
        </w:rPr>
        <w:t>s</w:t>
      </w:r>
      <w:r w:rsidRPr="002663D2">
        <w:rPr>
          <w:lang w:eastAsia="en-GB"/>
        </w:rPr>
        <w:t xml:space="preserve"> 2</w:t>
      </w:r>
      <w:r w:rsidR="00A532DE" w:rsidRPr="002663D2">
        <w:rPr>
          <w:lang w:eastAsia="en-GB"/>
        </w:rPr>
        <w:t>2</w:t>
      </w:r>
      <w:r w:rsidRPr="002663D2">
        <w:rPr>
          <w:lang w:eastAsia="en-GB"/>
        </w:rPr>
        <w:t>.0</w:t>
      </w:r>
      <w:r w:rsidR="009A3EE0" w:rsidRPr="002663D2">
        <w:rPr>
          <w:lang w:eastAsia="en-GB"/>
        </w:rPr>
        <w:t xml:space="preserve"> -2</w:t>
      </w:r>
      <w:r w:rsidR="00A532DE" w:rsidRPr="002663D2">
        <w:rPr>
          <w:lang w:eastAsia="en-GB"/>
        </w:rPr>
        <w:t>2</w:t>
      </w:r>
      <w:r w:rsidR="009A3EE0" w:rsidRPr="002663D2">
        <w:rPr>
          <w:lang w:eastAsia="en-GB"/>
        </w:rPr>
        <w:t>.1</w:t>
      </w:r>
      <w:r w:rsidRPr="002663D2">
        <w:rPr>
          <w:u w:val="none"/>
          <w:lang w:eastAsia="en-GB"/>
        </w:rPr>
        <w:t xml:space="preserve"> of the School Pay Policy 202</w:t>
      </w:r>
      <w:r w:rsidR="00563EC0" w:rsidRPr="002663D2">
        <w:rPr>
          <w:u w:val="none"/>
          <w:lang w:eastAsia="en-GB"/>
        </w:rPr>
        <w:t>5</w:t>
      </w:r>
      <w:r w:rsidRPr="002663D2">
        <w:rPr>
          <w:u w:val="none"/>
          <w:lang w:eastAsia="en-GB"/>
        </w:rPr>
        <w:t xml:space="preserve"> (see also Guidance 21.0</w:t>
      </w:r>
      <w:r w:rsidR="009A3EE0" w:rsidRPr="002663D2">
        <w:rPr>
          <w:u w:val="none"/>
          <w:lang w:eastAsia="en-GB"/>
        </w:rPr>
        <w:t xml:space="preserve"> - 21.1</w:t>
      </w:r>
      <w:r w:rsidRPr="002663D2">
        <w:rPr>
          <w:u w:val="none"/>
          <w:lang w:eastAsia="en-GB"/>
        </w:rPr>
        <w:t xml:space="preserve">). </w:t>
      </w:r>
      <w:r w:rsidR="00563EC0" w:rsidRPr="002663D2">
        <w:rPr>
          <w:u w:val="none"/>
          <w:lang w:eastAsia="en-GB"/>
        </w:rPr>
        <w:t>Where additional tutoring is undertaken, any p</w:t>
      </w:r>
      <w:r w:rsidR="003F6E2C" w:rsidRPr="002663D2">
        <w:rPr>
          <w:u w:val="none"/>
          <w:lang w:eastAsia="en-GB"/>
        </w:rPr>
        <w:t>ayment should be made on a separate individual learning agreement and based on plain rate payment.</w:t>
      </w:r>
    </w:p>
    <w:p w14:paraId="0B3114BA" w14:textId="77777777" w:rsidR="004C191A" w:rsidRPr="002663D2" w:rsidRDefault="004C191A" w:rsidP="004C191A">
      <w:pPr>
        <w:spacing w:after="0"/>
        <w:jc w:val="both"/>
        <w:rPr>
          <w:u w:val="none"/>
          <w:lang w:eastAsia="en-GB"/>
        </w:rPr>
      </w:pPr>
    </w:p>
    <w:p w14:paraId="160542F6" w14:textId="4332D183" w:rsidR="004C191A" w:rsidRPr="00705394" w:rsidRDefault="004C191A" w:rsidP="004C191A">
      <w:pPr>
        <w:spacing w:after="0"/>
        <w:jc w:val="both"/>
        <w:rPr>
          <w:u w:val="none"/>
          <w:lang w:eastAsia="en-GB"/>
        </w:rPr>
      </w:pPr>
      <w:r w:rsidRPr="002663D2">
        <w:rPr>
          <w:u w:val="none"/>
          <w:lang w:eastAsia="en-GB"/>
        </w:rPr>
        <w:t xml:space="preserve">A TLR3 should not be awarded consecutively for the same </w:t>
      </w:r>
      <w:r w:rsidRPr="00705394">
        <w:rPr>
          <w:u w:val="none"/>
          <w:lang w:eastAsia="en-GB"/>
        </w:rPr>
        <w:t xml:space="preserve">responsibility </w:t>
      </w:r>
      <w:r w:rsidR="00563EC0">
        <w:rPr>
          <w:u w:val="none"/>
          <w:lang w:eastAsia="en-GB"/>
        </w:rPr>
        <w:t>and w</w:t>
      </w:r>
      <w:r w:rsidRPr="00705394">
        <w:rPr>
          <w:u w:val="none"/>
          <w:lang w:eastAsia="en-GB"/>
        </w:rPr>
        <w:t xml:space="preserve">here the TLR 3 is awarded with a fixed term of less than one year, then the total value should be determined proportionality to the annual value. Remember, the pro rata principle does not apply to TLR3’s and where a TLR 3 is awarded to a part time teacher the total value should </w:t>
      </w:r>
      <w:r w:rsidRPr="00705394">
        <w:rPr>
          <w:u w:val="none"/>
          <w:lang w:eastAsia="en-GB"/>
        </w:rPr>
        <w:lastRenderedPageBreak/>
        <w:t xml:space="preserve">only be amended for the </w:t>
      </w:r>
      <w:r w:rsidR="009E590E" w:rsidRPr="00705394">
        <w:rPr>
          <w:u w:val="none"/>
          <w:lang w:eastAsia="en-GB"/>
        </w:rPr>
        <w:t>period</w:t>
      </w:r>
      <w:r w:rsidRPr="00705394">
        <w:rPr>
          <w:u w:val="none"/>
          <w:lang w:eastAsia="en-GB"/>
        </w:rPr>
        <w:t xml:space="preserve"> it is paid and not amended to reflect the part time hours of the individual teacher. </w:t>
      </w:r>
    </w:p>
    <w:p w14:paraId="357603E2" w14:textId="77777777" w:rsidR="004663E7" w:rsidRPr="00705394" w:rsidRDefault="004663E7" w:rsidP="004C191A">
      <w:pPr>
        <w:spacing w:after="0"/>
        <w:jc w:val="both"/>
        <w:rPr>
          <w:u w:val="none"/>
          <w:lang w:eastAsia="en-GB"/>
        </w:rPr>
      </w:pPr>
    </w:p>
    <w:p w14:paraId="3063784C" w14:textId="37F46290" w:rsidR="003F6E2C" w:rsidRPr="00705394" w:rsidRDefault="004663E7" w:rsidP="004C191A">
      <w:pPr>
        <w:spacing w:after="0"/>
        <w:jc w:val="both"/>
        <w:rPr>
          <w:b/>
          <w:bCs/>
          <w:u w:val="none"/>
          <w:lang w:eastAsia="en-GB"/>
        </w:rPr>
      </w:pPr>
      <w:r w:rsidRPr="00705394">
        <w:rPr>
          <w:b/>
          <w:bCs/>
          <w:u w:val="none"/>
          <w:lang w:eastAsia="en-GB"/>
        </w:rPr>
        <w:t xml:space="preserve">Support Staff </w:t>
      </w:r>
    </w:p>
    <w:p w14:paraId="54BB7E98" w14:textId="77777777" w:rsidR="004663E7" w:rsidRPr="00705394" w:rsidRDefault="004663E7" w:rsidP="004C191A">
      <w:pPr>
        <w:spacing w:after="0"/>
        <w:jc w:val="both"/>
        <w:rPr>
          <w:u w:val="none"/>
          <w:lang w:eastAsia="en-GB"/>
        </w:rPr>
      </w:pPr>
    </w:p>
    <w:p w14:paraId="428CA362" w14:textId="25A9EB82" w:rsidR="00F43B7F" w:rsidRPr="00705394" w:rsidRDefault="00DE3A51" w:rsidP="004663E7">
      <w:pPr>
        <w:ind w:left="720" w:hanging="720"/>
        <w:jc w:val="both"/>
        <w:rPr>
          <w:rFonts w:eastAsia="Times New Roman"/>
          <w:u w:val="none"/>
          <w:lang w:eastAsia="en-GB"/>
        </w:rPr>
      </w:pPr>
      <w:r w:rsidRPr="002663D2">
        <w:rPr>
          <w:u w:val="none"/>
          <w:lang w:eastAsia="en-GB"/>
        </w:rPr>
        <w:t>Where applicable, (</w:t>
      </w:r>
      <w:r w:rsidR="00F43B7F" w:rsidRPr="002663D2">
        <w:rPr>
          <w:u w:val="none"/>
          <w:lang w:eastAsia="en-GB"/>
        </w:rPr>
        <w:t>paragraph 16.2</w:t>
      </w:r>
      <w:r w:rsidRPr="002663D2">
        <w:rPr>
          <w:u w:val="none"/>
          <w:lang w:eastAsia="en-GB"/>
        </w:rPr>
        <w:t>)</w:t>
      </w:r>
      <w:r w:rsidR="00F43B7F" w:rsidRPr="002663D2">
        <w:rPr>
          <w:u w:val="none"/>
          <w:lang w:eastAsia="en-GB"/>
        </w:rPr>
        <w:t xml:space="preserve"> t</w:t>
      </w:r>
      <w:r w:rsidR="00F43B7F" w:rsidRPr="002663D2">
        <w:rPr>
          <w:rFonts w:eastAsia="Times New Roman"/>
          <w:u w:val="none"/>
          <w:lang w:eastAsia="en-GB"/>
        </w:rPr>
        <w:t xml:space="preserve">eaching </w:t>
      </w:r>
      <w:r w:rsidR="004663E7" w:rsidRPr="002663D2">
        <w:rPr>
          <w:rFonts w:eastAsia="Times New Roman"/>
          <w:u w:val="none"/>
          <w:lang w:eastAsia="en-GB"/>
        </w:rPr>
        <w:t>assistants undertaking</w:t>
      </w:r>
      <w:r w:rsidR="00F43B7F" w:rsidRPr="002663D2">
        <w:rPr>
          <w:rFonts w:eastAsia="Times New Roman"/>
          <w:u w:val="none"/>
          <w:lang w:eastAsia="en-GB"/>
        </w:rPr>
        <w:t xml:space="preserve"> additional tuition will be</w:t>
      </w:r>
      <w:r w:rsidRPr="002663D2">
        <w:rPr>
          <w:rFonts w:eastAsia="Times New Roman"/>
          <w:u w:val="none"/>
          <w:lang w:eastAsia="en-GB"/>
        </w:rPr>
        <w:t xml:space="preserve"> </w:t>
      </w:r>
      <w:r w:rsidR="00F43B7F" w:rsidRPr="002663D2">
        <w:rPr>
          <w:rFonts w:eastAsia="Times New Roman"/>
          <w:u w:val="none"/>
          <w:lang w:eastAsia="en-GB"/>
        </w:rPr>
        <w:t>paid</w:t>
      </w:r>
      <w:r w:rsidRPr="002663D2">
        <w:rPr>
          <w:rFonts w:eastAsia="Times New Roman"/>
          <w:u w:val="none"/>
          <w:lang w:eastAsia="en-GB"/>
        </w:rPr>
        <w:t xml:space="preserve"> </w:t>
      </w:r>
      <w:r w:rsidR="00F43B7F" w:rsidRPr="002663D2">
        <w:rPr>
          <w:rFonts w:eastAsia="Times New Roman"/>
          <w:u w:val="none"/>
          <w:lang w:eastAsia="en-GB"/>
        </w:rPr>
        <w:t xml:space="preserve">plain time at </w:t>
      </w:r>
      <w:r w:rsidR="00F43B7F" w:rsidRPr="00705394">
        <w:rPr>
          <w:rFonts w:eastAsia="Times New Roman"/>
          <w:u w:val="none"/>
          <w:lang w:eastAsia="en-GB"/>
        </w:rPr>
        <w:t xml:space="preserve">their existing </w:t>
      </w:r>
      <w:r w:rsidR="004663E7" w:rsidRPr="00705394">
        <w:rPr>
          <w:rFonts w:eastAsia="Times New Roman"/>
          <w:u w:val="none"/>
          <w:lang w:eastAsia="en-GB"/>
        </w:rPr>
        <w:t xml:space="preserve">grade / </w:t>
      </w:r>
      <w:r w:rsidR="00F43B7F" w:rsidRPr="00705394">
        <w:rPr>
          <w:rFonts w:eastAsia="Times New Roman"/>
          <w:u w:val="none"/>
          <w:lang w:eastAsia="en-GB"/>
        </w:rPr>
        <w:t>rate</w:t>
      </w:r>
      <w:r>
        <w:rPr>
          <w:rFonts w:eastAsia="Times New Roman"/>
          <w:u w:val="none"/>
          <w:lang w:eastAsia="en-GB"/>
        </w:rPr>
        <w:t>.</w:t>
      </w:r>
      <w:r w:rsidR="00F43B7F" w:rsidRPr="00705394">
        <w:rPr>
          <w:rFonts w:eastAsia="Times New Roman"/>
          <w:u w:val="none"/>
          <w:lang w:eastAsia="en-GB"/>
        </w:rPr>
        <w:t xml:space="preserve"> </w:t>
      </w:r>
    </w:p>
    <w:p w14:paraId="2519A095" w14:textId="6D6E08C7" w:rsidR="00971084" w:rsidRPr="00705394" w:rsidRDefault="004526EB" w:rsidP="004C191A">
      <w:pPr>
        <w:spacing w:after="0"/>
        <w:jc w:val="both"/>
        <w:rPr>
          <w:b/>
          <w:bCs/>
          <w:u w:val="none"/>
        </w:rPr>
      </w:pPr>
      <w:r w:rsidRPr="00705394">
        <w:rPr>
          <w:b/>
          <w:bCs/>
          <w:u w:val="none"/>
        </w:rPr>
        <w:t xml:space="preserve">Pay Policy Paragraph 17.0 - </w:t>
      </w:r>
      <w:r w:rsidR="00185902" w:rsidRPr="00705394">
        <w:rPr>
          <w:b/>
          <w:bCs/>
          <w:u w:val="none"/>
        </w:rPr>
        <w:t xml:space="preserve">Teaching and Learning Responsibility Payments </w:t>
      </w:r>
    </w:p>
    <w:p w14:paraId="6332317E" w14:textId="77777777" w:rsidR="00F817EC" w:rsidRPr="00705394" w:rsidRDefault="00F817EC" w:rsidP="00396DA7">
      <w:pPr>
        <w:tabs>
          <w:tab w:val="left" w:pos="0"/>
        </w:tabs>
        <w:spacing w:after="0"/>
        <w:ind w:left="284"/>
        <w:jc w:val="both"/>
        <w:rPr>
          <w:u w:val="none"/>
        </w:rPr>
      </w:pPr>
    </w:p>
    <w:p w14:paraId="17A1A5EA" w14:textId="63E94AE4" w:rsidR="00185902" w:rsidRPr="00705394" w:rsidRDefault="00185902" w:rsidP="00106166">
      <w:pPr>
        <w:tabs>
          <w:tab w:val="left" w:pos="0"/>
        </w:tabs>
        <w:spacing w:after="0"/>
        <w:jc w:val="both"/>
        <w:rPr>
          <w:u w:val="none"/>
        </w:rPr>
      </w:pPr>
      <w:r w:rsidRPr="00705394">
        <w:rPr>
          <w:u w:val="none"/>
        </w:rPr>
        <w:t>Within the school’s structure plan the governing body should determine whether to establish TLR posts. The</w:t>
      </w:r>
      <w:r w:rsidR="0099429A" w:rsidRPr="00705394">
        <w:rPr>
          <w:u w:val="none"/>
        </w:rPr>
        <w:t xml:space="preserve"> governing body may award a TLR to a classroom teacher (MPR and UPR only) for undertaking a sustained</w:t>
      </w:r>
      <w:r w:rsidRPr="00705394">
        <w:rPr>
          <w:u w:val="none"/>
        </w:rPr>
        <w:t xml:space="preserve">, additional and significant responsibility for ensuring the continued delivery of </w:t>
      </w:r>
      <w:r w:rsidR="00830977" w:rsidRPr="00705394">
        <w:rPr>
          <w:u w:val="none"/>
        </w:rPr>
        <w:t>high-quality</w:t>
      </w:r>
      <w:r w:rsidRPr="00705394">
        <w:rPr>
          <w:u w:val="none"/>
        </w:rPr>
        <w:t xml:space="preserve"> teaching and learning and for which the </w:t>
      </w:r>
      <w:r w:rsidR="0099429A" w:rsidRPr="00705394">
        <w:rPr>
          <w:u w:val="none"/>
        </w:rPr>
        <w:t xml:space="preserve">teacher </w:t>
      </w:r>
      <w:r w:rsidRPr="00705394">
        <w:rPr>
          <w:u w:val="none"/>
        </w:rPr>
        <w:t xml:space="preserve">is accountable. </w:t>
      </w:r>
      <w:r w:rsidR="00F817EC" w:rsidRPr="00705394">
        <w:rPr>
          <w:u w:val="none"/>
        </w:rPr>
        <w:t xml:space="preserve"> </w:t>
      </w:r>
      <w:r w:rsidRPr="00705394">
        <w:rPr>
          <w:u w:val="none"/>
        </w:rPr>
        <w:t xml:space="preserve">The specific responsibilities must be clearly set out in the job description.  </w:t>
      </w:r>
    </w:p>
    <w:p w14:paraId="2F66AE24" w14:textId="77777777" w:rsidR="00971084" w:rsidRPr="00705394" w:rsidRDefault="00971084" w:rsidP="00106166">
      <w:pPr>
        <w:tabs>
          <w:tab w:val="left" w:pos="0"/>
        </w:tabs>
        <w:spacing w:after="0"/>
        <w:jc w:val="both"/>
        <w:rPr>
          <w:u w:val="none"/>
        </w:rPr>
      </w:pPr>
    </w:p>
    <w:p w14:paraId="11337465" w14:textId="77777777" w:rsidR="00971084" w:rsidRPr="00705394" w:rsidRDefault="00185902" w:rsidP="00106166">
      <w:pPr>
        <w:tabs>
          <w:tab w:val="left" w:pos="720"/>
        </w:tabs>
        <w:spacing w:after="0"/>
        <w:jc w:val="both"/>
        <w:rPr>
          <w:u w:val="none"/>
        </w:rPr>
      </w:pPr>
      <w:r w:rsidRPr="00705394">
        <w:rPr>
          <w:u w:val="none"/>
        </w:rPr>
        <w:t>The governing body should then determine whether these responsibilities are in line with a TLR1 or a TLR2.</w:t>
      </w:r>
      <w:r w:rsidR="004526EB" w:rsidRPr="00705394">
        <w:rPr>
          <w:u w:val="none"/>
        </w:rPr>
        <w:t xml:space="preserve"> And determine the value </w:t>
      </w:r>
      <w:r w:rsidRPr="00705394">
        <w:rPr>
          <w:u w:val="none"/>
        </w:rPr>
        <w:t xml:space="preserve">of each TLR. There is no longer a need for there to be a minimum difference of £1500 in the annual TLR value between each award of a TLR1 and TLR2. </w:t>
      </w:r>
      <w:r w:rsidR="00B52CB9" w:rsidRPr="00705394">
        <w:rPr>
          <w:u w:val="none"/>
        </w:rPr>
        <w:t xml:space="preserve"> </w:t>
      </w:r>
    </w:p>
    <w:p w14:paraId="7E050DF2" w14:textId="26F77D19" w:rsidR="00185902" w:rsidRPr="002663D2" w:rsidRDefault="00185902" w:rsidP="00106166">
      <w:pPr>
        <w:tabs>
          <w:tab w:val="left" w:pos="0"/>
        </w:tabs>
        <w:spacing w:after="0"/>
        <w:jc w:val="both"/>
        <w:rPr>
          <w:u w:val="none"/>
        </w:rPr>
      </w:pPr>
      <w:r w:rsidRPr="00705394">
        <w:rPr>
          <w:u w:val="none"/>
        </w:rPr>
        <w:t>A TLR 1 or 2 may only be awarded temporarily to cover situations where the teacher in the substantive TLR post is absent</w:t>
      </w:r>
      <w:r w:rsidR="004526EB" w:rsidRPr="00705394">
        <w:rPr>
          <w:u w:val="none"/>
        </w:rPr>
        <w:t xml:space="preserve">, </w:t>
      </w:r>
      <w:r w:rsidRPr="00705394">
        <w:rPr>
          <w:u w:val="none"/>
        </w:rPr>
        <w:t xml:space="preserve">generally </w:t>
      </w:r>
      <w:r w:rsidR="004526EB" w:rsidRPr="00705394">
        <w:rPr>
          <w:u w:val="none"/>
        </w:rPr>
        <w:t xml:space="preserve">to </w:t>
      </w:r>
      <w:r w:rsidRPr="00705394">
        <w:rPr>
          <w:u w:val="none"/>
        </w:rPr>
        <w:t>cover for secondment, maternity</w:t>
      </w:r>
      <w:r w:rsidR="004526EB" w:rsidRPr="00705394">
        <w:rPr>
          <w:u w:val="none"/>
        </w:rPr>
        <w:t>,</w:t>
      </w:r>
      <w:r w:rsidRPr="00705394">
        <w:rPr>
          <w:u w:val="none"/>
        </w:rPr>
        <w:t xml:space="preserve"> ill health or a vacancy pending appointment.</w:t>
      </w:r>
      <w:r w:rsidR="0034631F" w:rsidRPr="00705394">
        <w:rPr>
          <w:u w:val="none"/>
        </w:rPr>
        <w:t xml:space="preserve"> </w:t>
      </w:r>
      <w:r w:rsidRPr="00705394">
        <w:rPr>
          <w:u w:val="none"/>
        </w:rPr>
        <w:t>All TLR posts should be advertised appropriately in accordance with the Recruitment and Selection Policy. The date on which the temporary TLR award will start and end, or the circumstances in which it will cease, must be included in the written appointment confirmation to the teacher. Salary safeguarding provisions do not apply to any temporary payments or TLR3 responsibility</w:t>
      </w:r>
      <w:r w:rsidR="004526EB" w:rsidRPr="00705394">
        <w:rPr>
          <w:u w:val="none"/>
        </w:rPr>
        <w:t xml:space="preserve"> payments</w:t>
      </w:r>
      <w:r w:rsidRPr="00705394">
        <w:rPr>
          <w:u w:val="none"/>
        </w:rPr>
        <w:t>.</w:t>
      </w:r>
      <w:r w:rsidR="00F817EC" w:rsidRPr="00705394">
        <w:rPr>
          <w:u w:val="none"/>
        </w:rPr>
        <w:t xml:space="preserve"> </w:t>
      </w:r>
      <w:r w:rsidRPr="00705394">
        <w:rPr>
          <w:u w:val="none"/>
        </w:rPr>
        <w:t xml:space="preserve">Changes to the duties/responsibilities of a TLR1 or TLR2 must be subject to consultation with the teacher and any </w:t>
      </w:r>
      <w:r w:rsidRPr="002663D2">
        <w:rPr>
          <w:u w:val="none"/>
        </w:rPr>
        <w:t xml:space="preserve">new responsibilities must be included in the job description and commensurate with the value </w:t>
      </w:r>
      <w:r w:rsidR="00DE3A51" w:rsidRPr="002663D2">
        <w:rPr>
          <w:u w:val="none"/>
        </w:rPr>
        <w:t xml:space="preserve">and proportion </w:t>
      </w:r>
      <w:r w:rsidRPr="002663D2">
        <w:rPr>
          <w:u w:val="none"/>
        </w:rPr>
        <w:t xml:space="preserve">of the TLR </w:t>
      </w:r>
      <w:r w:rsidR="00DE3A51" w:rsidRPr="002663D2">
        <w:rPr>
          <w:u w:val="none"/>
        </w:rPr>
        <w:t>responsibility undertaken.</w:t>
      </w:r>
    </w:p>
    <w:p w14:paraId="5D0D5025" w14:textId="77777777" w:rsidR="007F64C2" w:rsidRPr="002663D2" w:rsidRDefault="007F64C2" w:rsidP="00106166">
      <w:pPr>
        <w:tabs>
          <w:tab w:val="left" w:pos="0"/>
        </w:tabs>
        <w:spacing w:after="0"/>
        <w:jc w:val="both"/>
        <w:rPr>
          <w:u w:val="none"/>
        </w:rPr>
      </w:pPr>
    </w:p>
    <w:p w14:paraId="3FC3B744" w14:textId="044C5BC4" w:rsidR="007F64C2" w:rsidRPr="002663D2" w:rsidRDefault="007F64C2" w:rsidP="00106166">
      <w:pPr>
        <w:tabs>
          <w:tab w:val="left" w:pos="0"/>
        </w:tabs>
        <w:spacing w:after="0"/>
        <w:jc w:val="both"/>
        <w:rPr>
          <w:b/>
          <w:bCs/>
          <w:u w:val="none"/>
        </w:rPr>
      </w:pPr>
      <w:r w:rsidRPr="002663D2">
        <w:rPr>
          <w:u w:val="none"/>
        </w:rPr>
        <w:t>17.1</w:t>
      </w:r>
      <w:r w:rsidRPr="002663D2">
        <w:rPr>
          <w:u w:val="none"/>
        </w:rPr>
        <w:tab/>
      </w:r>
      <w:r w:rsidRPr="002663D2">
        <w:rPr>
          <w:b/>
          <w:bCs/>
          <w:u w:val="none"/>
        </w:rPr>
        <w:t>Determination of the value of TLR 1 and TLR2 payments effective from 1 September 2025</w:t>
      </w:r>
    </w:p>
    <w:p w14:paraId="5CF5D99B" w14:textId="77777777" w:rsidR="007F64C2" w:rsidRPr="002663D2" w:rsidRDefault="007F64C2" w:rsidP="00106166">
      <w:pPr>
        <w:tabs>
          <w:tab w:val="left" w:pos="0"/>
        </w:tabs>
        <w:spacing w:after="0"/>
        <w:jc w:val="both"/>
        <w:rPr>
          <w:b/>
          <w:bCs/>
          <w:u w:val="none"/>
        </w:rPr>
      </w:pPr>
    </w:p>
    <w:p w14:paraId="4EC50F2D" w14:textId="77777777" w:rsidR="00FC301F" w:rsidRPr="002663D2" w:rsidRDefault="007F64C2" w:rsidP="00106166">
      <w:pPr>
        <w:tabs>
          <w:tab w:val="left" w:pos="0"/>
        </w:tabs>
        <w:spacing w:after="0"/>
        <w:jc w:val="both"/>
        <w:rPr>
          <w:u w:val="none"/>
        </w:rPr>
      </w:pPr>
      <w:r w:rsidRPr="002663D2">
        <w:rPr>
          <w:u w:val="none"/>
        </w:rPr>
        <w:t xml:space="preserve">The updated pay policy 2025 outlines a significant change to the payment of TLR 1 and TLR 2 responsibilities </w:t>
      </w:r>
      <w:r w:rsidR="00FC301F" w:rsidRPr="002663D2">
        <w:rPr>
          <w:u w:val="none"/>
        </w:rPr>
        <w:t xml:space="preserve">to full time and part time teachers </w:t>
      </w:r>
      <w:r w:rsidRPr="002663D2">
        <w:rPr>
          <w:u w:val="none"/>
        </w:rPr>
        <w:t xml:space="preserve">from 1 September 2025 and 1 September 2026. </w:t>
      </w:r>
    </w:p>
    <w:p w14:paraId="60EF9233" w14:textId="77777777" w:rsidR="00FC301F" w:rsidRPr="002663D2" w:rsidRDefault="00FC301F" w:rsidP="00106166">
      <w:pPr>
        <w:tabs>
          <w:tab w:val="left" w:pos="0"/>
        </w:tabs>
        <w:spacing w:after="0"/>
        <w:jc w:val="both"/>
        <w:rPr>
          <w:u w:val="none"/>
        </w:rPr>
      </w:pPr>
    </w:p>
    <w:p w14:paraId="0F63E1B5" w14:textId="4ED92360" w:rsidR="00461E8D" w:rsidRPr="002663D2" w:rsidRDefault="001D415D" w:rsidP="00106166">
      <w:pPr>
        <w:tabs>
          <w:tab w:val="left" w:pos="0"/>
        </w:tabs>
        <w:spacing w:after="0"/>
        <w:jc w:val="both"/>
        <w:rPr>
          <w:u w:val="none"/>
        </w:rPr>
      </w:pPr>
      <w:r w:rsidRPr="002663D2">
        <w:rPr>
          <w:u w:val="none"/>
        </w:rPr>
        <w:t xml:space="preserve">From 1st of September 2025, the value of any existing or new TLR1 or TLR 2 payment </w:t>
      </w:r>
      <w:r w:rsidRPr="002663D2">
        <w:t xml:space="preserve">may </w:t>
      </w:r>
      <w:r w:rsidRPr="002663D2">
        <w:rPr>
          <w:u w:val="none"/>
        </w:rPr>
        <w:t>be based on the proportion of the TLR responsibility the teacher undertak</w:t>
      </w:r>
      <w:r w:rsidR="00FC301F" w:rsidRPr="002663D2">
        <w:rPr>
          <w:u w:val="none"/>
        </w:rPr>
        <w:t>es</w:t>
      </w:r>
      <w:r w:rsidRPr="002663D2">
        <w:rPr>
          <w:u w:val="none"/>
        </w:rPr>
        <w:t xml:space="preserve">, i.e. the proportion of the </w:t>
      </w:r>
      <w:r w:rsidR="00FC301F" w:rsidRPr="002663D2">
        <w:rPr>
          <w:u w:val="none"/>
        </w:rPr>
        <w:t>full-time</w:t>
      </w:r>
      <w:r w:rsidRPr="002663D2">
        <w:rPr>
          <w:u w:val="none"/>
        </w:rPr>
        <w:t xml:space="preserve"> equivalent duty. From the 1st of September 2026, it will become a </w:t>
      </w:r>
      <w:r w:rsidRPr="002663D2">
        <w:t>requirement</w:t>
      </w:r>
      <w:r w:rsidRPr="002663D2">
        <w:rPr>
          <w:u w:val="none"/>
        </w:rPr>
        <w:t xml:space="preserve"> that all existing and new TLR 1 and TLR 2 payments be based on the proportion of the TLR the teacher undertak</w:t>
      </w:r>
      <w:r w:rsidR="00FC301F" w:rsidRPr="002663D2">
        <w:rPr>
          <w:u w:val="none"/>
        </w:rPr>
        <w:t>es</w:t>
      </w:r>
      <w:r w:rsidRPr="002663D2">
        <w:rPr>
          <w:u w:val="none"/>
        </w:rPr>
        <w:t xml:space="preserve"> i.e. the proportion of the </w:t>
      </w:r>
      <w:r w:rsidR="00DE3A51" w:rsidRPr="002663D2">
        <w:rPr>
          <w:u w:val="none"/>
        </w:rPr>
        <w:t>full-time</w:t>
      </w:r>
      <w:r w:rsidRPr="002663D2">
        <w:rPr>
          <w:u w:val="none"/>
        </w:rPr>
        <w:t xml:space="preserve"> equivalent duty. </w:t>
      </w:r>
      <w:r w:rsidR="004669FF" w:rsidRPr="002663D2">
        <w:rPr>
          <w:u w:val="none"/>
        </w:rPr>
        <w:t>In respect of part time teachers, t</w:t>
      </w:r>
      <w:r w:rsidR="007F64C2" w:rsidRPr="002663D2">
        <w:rPr>
          <w:u w:val="none"/>
        </w:rPr>
        <w:t xml:space="preserve">he </w:t>
      </w:r>
      <w:r w:rsidR="00D96925" w:rsidRPr="002663D2">
        <w:rPr>
          <w:u w:val="none"/>
        </w:rPr>
        <w:t xml:space="preserve">governing body is </w:t>
      </w:r>
      <w:r w:rsidRPr="002663D2">
        <w:rPr>
          <w:u w:val="none"/>
        </w:rPr>
        <w:t xml:space="preserve">therefore </w:t>
      </w:r>
      <w:r w:rsidR="00D96925" w:rsidRPr="002663D2">
        <w:rPr>
          <w:u w:val="none"/>
        </w:rPr>
        <w:t xml:space="preserve">no longer required to calculate the value </w:t>
      </w:r>
      <w:r w:rsidR="007F64C2" w:rsidRPr="002663D2">
        <w:rPr>
          <w:u w:val="none"/>
        </w:rPr>
        <w:t xml:space="preserve">of a TLR 1 or TLR 2 </w:t>
      </w:r>
      <w:r w:rsidR="00D96925" w:rsidRPr="002663D2">
        <w:rPr>
          <w:u w:val="none"/>
        </w:rPr>
        <w:t xml:space="preserve">in accordance with </w:t>
      </w:r>
      <w:r w:rsidR="007F64C2" w:rsidRPr="002663D2">
        <w:rPr>
          <w:u w:val="none"/>
        </w:rPr>
        <w:t>the pro-rata principle</w:t>
      </w:r>
      <w:r w:rsidR="00DE3A51" w:rsidRPr="002663D2">
        <w:rPr>
          <w:u w:val="none"/>
        </w:rPr>
        <w:t xml:space="preserve"> </w:t>
      </w:r>
      <w:r w:rsidR="00461E8D" w:rsidRPr="002663D2">
        <w:rPr>
          <w:u w:val="none"/>
        </w:rPr>
        <w:t>(See Pay Policy 15.1)</w:t>
      </w:r>
      <w:r w:rsidR="004669FF" w:rsidRPr="002663D2">
        <w:rPr>
          <w:u w:val="none"/>
        </w:rPr>
        <w:t>. T</w:t>
      </w:r>
      <w:r w:rsidR="00D96925" w:rsidRPr="002663D2">
        <w:rPr>
          <w:u w:val="none"/>
        </w:rPr>
        <w:t xml:space="preserve">he </w:t>
      </w:r>
      <w:r w:rsidR="00461E8D" w:rsidRPr="002663D2">
        <w:rPr>
          <w:u w:val="none"/>
        </w:rPr>
        <w:t xml:space="preserve">value of the </w:t>
      </w:r>
      <w:r w:rsidR="00D96925" w:rsidRPr="002663D2">
        <w:rPr>
          <w:u w:val="none"/>
        </w:rPr>
        <w:t xml:space="preserve">payment </w:t>
      </w:r>
      <w:r w:rsidR="004669FF" w:rsidRPr="002663D2">
        <w:rPr>
          <w:u w:val="none"/>
        </w:rPr>
        <w:t xml:space="preserve">for full time and part time teachers </w:t>
      </w:r>
      <w:r w:rsidR="00461E8D" w:rsidRPr="002663D2">
        <w:rPr>
          <w:u w:val="none"/>
        </w:rPr>
        <w:t xml:space="preserve">should be </w:t>
      </w:r>
      <w:r w:rsidR="004669FF" w:rsidRPr="002663D2">
        <w:rPr>
          <w:u w:val="none"/>
        </w:rPr>
        <w:t xml:space="preserve">determined in the same way, </w:t>
      </w:r>
      <w:r w:rsidR="00D96925" w:rsidRPr="002663D2">
        <w:rPr>
          <w:u w:val="none"/>
        </w:rPr>
        <w:t xml:space="preserve">based on the proportion of the TLR </w:t>
      </w:r>
      <w:r w:rsidR="00A130F9" w:rsidRPr="002663D2">
        <w:rPr>
          <w:u w:val="none"/>
        </w:rPr>
        <w:t xml:space="preserve">duties </w:t>
      </w:r>
      <w:r w:rsidR="00D96925" w:rsidRPr="002663D2">
        <w:rPr>
          <w:u w:val="none"/>
        </w:rPr>
        <w:t>undertak</w:t>
      </w:r>
      <w:r w:rsidR="00DE3A51" w:rsidRPr="002663D2">
        <w:rPr>
          <w:u w:val="none"/>
        </w:rPr>
        <w:t>e</w:t>
      </w:r>
      <w:r w:rsidR="00A130F9" w:rsidRPr="002663D2">
        <w:rPr>
          <w:u w:val="none"/>
        </w:rPr>
        <w:t>n.</w:t>
      </w:r>
    </w:p>
    <w:p w14:paraId="7C9F68B7" w14:textId="77777777" w:rsidR="001D415D" w:rsidRPr="002663D2" w:rsidRDefault="001D415D" w:rsidP="00106166">
      <w:pPr>
        <w:tabs>
          <w:tab w:val="left" w:pos="0"/>
        </w:tabs>
        <w:spacing w:after="0"/>
        <w:jc w:val="both"/>
        <w:rPr>
          <w:u w:val="none"/>
        </w:rPr>
      </w:pPr>
    </w:p>
    <w:p w14:paraId="5DB60AF7" w14:textId="77777777" w:rsidR="00FC301F" w:rsidRPr="002663D2" w:rsidRDefault="001D415D" w:rsidP="00106166">
      <w:pPr>
        <w:tabs>
          <w:tab w:val="left" w:pos="0"/>
        </w:tabs>
        <w:spacing w:after="0"/>
        <w:jc w:val="both"/>
        <w:rPr>
          <w:u w:val="none"/>
        </w:rPr>
      </w:pPr>
      <w:r w:rsidRPr="002663D2">
        <w:rPr>
          <w:u w:val="none"/>
        </w:rPr>
        <w:t>So, whilst there is no requirement for schools to adopt this proportion of duties based calculation from the 1st of September 2025, schools will, over the course of the 2025</w:t>
      </w:r>
      <w:r w:rsidR="00F50E73" w:rsidRPr="002663D2">
        <w:rPr>
          <w:u w:val="none"/>
        </w:rPr>
        <w:t xml:space="preserve">/26 academic year, </w:t>
      </w:r>
      <w:r w:rsidRPr="002663D2">
        <w:rPr>
          <w:u w:val="none"/>
        </w:rPr>
        <w:t xml:space="preserve">need to consider the impact of this upcoming change on teachers in receipt of a TLR </w:t>
      </w:r>
      <w:r w:rsidR="00F50E73" w:rsidRPr="002663D2">
        <w:rPr>
          <w:u w:val="none"/>
        </w:rPr>
        <w:t>1</w:t>
      </w:r>
      <w:r w:rsidRPr="002663D2">
        <w:rPr>
          <w:u w:val="none"/>
        </w:rPr>
        <w:t xml:space="preserve"> or TLR 2, so that the</w:t>
      </w:r>
      <w:r w:rsidR="00F50E73" w:rsidRPr="002663D2">
        <w:rPr>
          <w:u w:val="none"/>
        </w:rPr>
        <w:t xml:space="preserve"> school can </w:t>
      </w:r>
      <w:r w:rsidRPr="002663D2">
        <w:rPr>
          <w:u w:val="none"/>
        </w:rPr>
        <w:t xml:space="preserve">implement the new requirements </w:t>
      </w:r>
      <w:r w:rsidR="00F50E73" w:rsidRPr="002663D2">
        <w:rPr>
          <w:u w:val="none"/>
        </w:rPr>
        <w:t xml:space="preserve">from </w:t>
      </w:r>
      <w:r w:rsidRPr="002663D2">
        <w:rPr>
          <w:u w:val="none"/>
        </w:rPr>
        <w:t>the 1</w:t>
      </w:r>
      <w:r w:rsidR="00F50E73" w:rsidRPr="002663D2">
        <w:rPr>
          <w:u w:val="none"/>
        </w:rPr>
        <w:t>st</w:t>
      </w:r>
      <w:r w:rsidRPr="002663D2">
        <w:rPr>
          <w:u w:val="none"/>
        </w:rPr>
        <w:t xml:space="preserve">  September 2026. </w:t>
      </w:r>
      <w:r w:rsidR="00F50E73" w:rsidRPr="002663D2">
        <w:rPr>
          <w:u w:val="none"/>
        </w:rPr>
        <w:t>Schools</w:t>
      </w:r>
      <w:r w:rsidRPr="002663D2">
        <w:rPr>
          <w:u w:val="none"/>
        </w:rPr>
        <w:t xml:space="preserve"> will want to consider the impact on any part time teachers currently in receipt of a TLR </w:t>
      </w:r>
      <w:r w:rsidR="00F50E73" w:rsidRPr="002663D2">
        <w:rPr>
          <w:u w:val="none"/>
        </w:rPr>
        <w:t>1</w:t>
      </w:r>
      <w:r w:rsidRPr="002663D2">
        <w:rPr>
          <w:u w:val="none"/>
        </w:rPr>
        <w:t xml:space="preserve"> or TLR 2 and the impact on any full-time teachers undertaking only a proportion of the duties associated with the full TLR. </w:t>
      </w:r>
    </w:p>
    <w:p w14:paraId="53E7A3FE" w14:textId="77777777" w:rsidR="00FC301F" w:rsidRPr="002663D2" w:rsidRDefault="00FC301F" w:rsidP="00106166">
      <w:pPr>
        <w:tabs>
          <w:tab w:val="left" w:pos="0"/>
        </w:tabs>
        <w:spacing w:after="0"/>
        <w:jc w:val="both"/>
        <w:rPr>
          <w:u w:val="none"/>
        </w:rPr>
      </w:pPr>
    </w:p>
    <w:p w14:paraId="1886D8CE" w14:textId="788B2B86" w:rsidR="001D415D" w:rsidRPr="002663D2" w:rsidRDefault="00F50E73" w:rsidP="00106166">
      <w:pPr>
        <w:tabs>
          <w:tab w:val="left" w:pos="0"/>
        </w:tabs>
        <w:spacing w:after="0"/>
        <w:jc w:val="both"/>
        <w:rPr>
          <w:u w:val="none"/>
        </w:rPr>
      </w:pPr>
      <w:r w:rsidRPr="002663D2">
        <w:rPr>
          <w:u w:val="none"/>
        </w:rPr>
        <w:t xml:space="preserve">In practical terms, </w:t>
      </w:r>
      <w:r w:rsidR="001D415D" w:rsidRPr="002663D2">
        <w:rPr>
          <w:u w:val="none"/>
        </w:rPr>
        <w:t xml:space="preserve">the new proportion of duties based calculation means that the percentage value of the full TLR </w:t>
      </w:r>
      <w:r w:rsidRPr="002663D2">
        <w:rPr>
          <w:u w:val="none"/>
        </w:rPr>
        <w:t>1</w:t>
      </w:r>
      <w:r w:rsidR="001D415D" w:rsidRPr="002663D2">
        <w:rPr>
          <w:u w:val="none"/>
        </w:rPr>
        <w:t xml:space="preserve"> or TLR </w:t>
      </w:r>
      <w:r w:rsidRPr="002663D2">
        <w:rPr>
          <w:u w:val="none"/>
        </w:rPr>
        <w:t>2</w:t>
      </w:r>
      <w:r w:rsidR="001D415D" w:rsidRPr="002663D2">
        <w:rPr>
          <w:u w:val="none"/>
        </w:rPr>
        <w:t xml:space="preserve"> payment received by a part time teacher </w:t>
      </w:r>
      <w:r w:rsidRPr="002663D2">
        <w:rPr>
          <w:u w:val="none"/>
        </w:rPr>
        <w:t xml:space="preserve">may be higher than the percentage value </w:t>
      </w:r>
      <w:r w:rsidR="001D415D" w:rsidRPr="002663D2">
        <w:rPr>
          <w:u w:val="none"/>
        </w:rPr>
        <w:t>applied to their salary and other allowances</w:t>
      </w:r>
      <w:r w:rsidR="00FC301F" w:rsidRPr="002663D2">
        <w:rPr>
          <w:u w:val="none"/>
        </w:rPr>
        <w:t xml:space="preserve"> </w:t>
      </w:r>
      <w:r w:rsidRPr="002663D2">
        <w:rPr>
          <w:u w:val="none"/>
        </w:rPr>
        <w:t>(</w:t>
      </w:r>
      <w:r w:rsidR="001D415D" w:rsidRPr="002663D2">
        <w:rPr>
          <w:u w:val="none"/>
        </w:rPr>
        <w:t>determined in accordance with the pro rata principle</w:t>
      </w:r>
      <w:r w:rsidRPr="002663D2">
        <w:rPr>
          <w:u w:val="none"/>
        </w:rPr>
        <w:t>)</w:t>
      </w:r>
      <w:r w:rsidR="001D415D" w:rsidRPr="002663D2">
        <w:rPr>
          <w:u w:val="none"/>
        </w:rPr>
        <w:t xml:space="preserve"> if the teacher undertakes a higher proportion of the responsibilities associated with the TLR </w:t>
      </w:r>
      <w:r w:rsidRPr="002663D2">
        <w:rPr>
          <w:u w:val="none"/>
        </w:rPr>
        <w:t xml:space="preserve">1 </w:t>
      </w:r>
      <w:r w:rsidR="001D415D" w:rsidRPr="002663D2">
        <w:rPr>
          <w:u w:val="none"/>
        </w:rPr>
        <w:t xml:space="preserve">or TLR </w:t>
      </w:r>
      <w:r w:rsidRPr="002663D2">
        <w:rPr>
          <w:u w:val="none"/>
        </w:rPr>
        <w:t>2</w:t>
      </w:r>
      <w:r w:rsidR="001D415D" w:rsidRPr="002663D2">
        <w:rPr>
          <w:u w:val="none"/>
        </w:rPr>
        <w:t xml:space="preserve"> </w:t>
      </w:r>
      <w:r w:rsidRPr="002663D2">
        <w:rPr>
          <w:u w:val="none"/>
        </w:rPr>
        <w:t>(</w:t>
      </w:r>
      <w:r w:rsidR="001D415D" w:rsidRPr="002663D2">
        <w:rPr>
          <w:u w:val="none"/>
        </w:rPr>
        <w:t>up to the full amount</w:t>
      </w:r>
      <w:r w:rsidRPr="002663D2">
        <w:rPr>
          <w:u w:val="none"/>
        </w:rPr>
        <w:t>)</w:t>
      </w:r>
      <w:r w:rsidR="001D415D" w:rsidRPr="002663D2">
        <w:rPr>
          <w:u w:val="none"/>
        </w:rPr>
        <w:t>.</w:t>
      </w:r>
    </w:p>
    <w:p w14:paraId="6C5D294A" w14:textId="77777777" w:rsidR="001D415D" w:rsidRPr="002663D2" w:rsidRDefault="001D415D" w:rsidP="00106166">
      <w:pPr>
        <w:tabs>
          <w:tab w:val="left" w:pos="0"/>
        </w:tabs>
        <w:spacing w:after="0"/>
        <w:jc w:val="both"/>
        <w:rPr>
          <w:u w:val="none"/>
        </w:rPr>
      </w:pPr>
    </w:p>
    <w:p w14:paraId="18FA38E5" w14:textId="7DE3EF83" w:rsidR="001D415D" w:rsidRPr="002663D2" w:rsidRDefault="001D415D" w:rsidP="00106166">
      <w:pPr>
        <w:tabs>
          <w:tab w:val="left" w:pos="0"/>
        </w:tabs>
        <w:spacing w:after="0"/>
        <w:jc w:val="both"/>
        <w:rPr>
          <w:u w:val="none"/>
        </w:rPr>
      </w:pPr>
      <w:r w:rsidRPr="002663D2">
        <w:rPr>
          <w:u w:val="none"/>
        </w:rPr>
        <w:t>The duties agreed should be capable of being undertaken within the normal hours of the</w:t>
      </w:r>
      <w:r w:rsidR="00B6671C" w:rsidRPr="002663D2">
        <w:rPr>
          <w:u w:val="none"/>
        </w:rPr>
        <w:t xml:space="preserve"> teacher whether they are employed on a </w:t>
      </w:r>
      <w:r w:rsidR="002241BE" w:rsidRPr="002663D2">
        <w:rPr>
          <w:u w:val="none"/>
        </w:rPr>
        <w:t xml:space="preserve">full time or </w:t>
      </w:r>
      <w:r w:rsidRPr="002663D2">
        <w:rPr>
          <w:u w:val="none"/>
        </w:rPr>
        <w:t xml:space="preserve">part time </w:t>
      </w:r>
      <w:r w:rsidR="00B6671C" w:rsidRPr="002663D2">
        <w:rPr>
          <w:u w:val="none"/>
        </w:rPr>
        <w:t>basis.</w:t>
      </w:r>
      <w:r w:rsidRPr="002663D2">
        <w:rPr>
          <w:u w:val="none"/>
        </w:rPr>
        <w:t xml:space="preserve"> The new proportion of duties</w:t>
      </w:r>
      <w:r w:rsidR="00F50E73" w:rsidRPr="002663D2">
        <w:rPr>
          <w:u w:val="none"/>
        </w:rPr>
        <w:t>-</w:t>
      </w:r>
      <w:r w:rsidRPr="002663D2">
        <w:rPr>
          <w:u w:val="none"/>
        </w:rPr>
        <w:t xml:space="preserve">based calculation means that some full-time teachers will only receive a proportion of the full TLR </w:t>
      </w:r>
      <w:r w:rsidR="00F50E73" w:rsidRPr="002663D2">
        <w:rPr>
          <w:u w:val="none"/>
        </w:rPr>
        <w:t>1 or TLR2</w:t>
      </w:r>
      <w:r w:rsidR="003A6EEE" w:rsidRPr="002663D2">
        <w:rPr>
          <w:u w:val="none"/>
        </w:rPr>
        <w:t xml:space="preserve"> </w:t>
      </w:r>
      <w:r w:rsidRPr="002663D2">
        <w:rPr>
          <w:u w:val="none"/>
        </w:rPr>
        <w:t>payment if they are only undertak</w:t>
      </w:r>
      <w:r w:rsidR="003A6EEE" w:rsidRPr="002663D2">
        <w:rPr>
          <w:u w:val="none"/>
        </w:rPr>
        <w:t>ing</w:t>
      </w:r>
      <w:r w:rsidRPr="002663D2">
        <w:rPr>
          <w:u w:val="none"/>
        </w:rPr>
        <w:t xml:space="preserve"> a proportion of the duties associated with the f</w:t>
      </w:r>
      <w:r w:rsidR="003A6EEE" w:rsidRPr="002663D2">
        <w:rPr>
          <w:u w:val="none"/>
        </w:rPr>
        <w:t>ull TLR</w:t>
      </w:r>
      <w:r w:rsidRPr="002663D2">
        <w:rPr>
          <w:u w:val="none"/>
        </w:rPr>
        <w:t xml:space="preserve">. </w:t>
      </w:r>
      <w:r w:rsidR="00B6671C" w:rsidRPr="002663D2">
        <w:rPr>
          <w:u w:val="none"/>
        </w:rPr>
        <w:t>In each case, t</w:t>
      </w:r>
      <w:r w:rsidRPr="002663D2">
        <w:rPr>
          <w:u w:val="none"/>
        </w:rPr>
        <w:t>he appropriate level of allowance payment and duties should be agreed between the individual teacher and the head teacher.</w:t>
      </w:r>
    </w:p>
    <w:p w14:paraId="13371B4F" w14:textId="77777777" w:rsidR="00461E8D" w:rsidRPr="002663D2" w:rsidRDefault="00461E8D" w:rsidP="00106166">
      <w:pPr>
        <w:tabs>
          <w:tab w:val="left" w:pos="0"/>
        </w:tabs>
        <w:spacing w:after="0"/>
        <w:jc w:val="both"/>
        <w:rPr>
          <w:u w:val="none"/>
        </w:rPr>
      </w:pPr>
    </w:p>
    <w:p w14:paraId="3808EF5D" w14:textId="1E871644" w:rsidR="007F64C2" w:rsidRPr="002663D2" w:rsidRDefault="00461E8D" w:rsidP="00106166">
      <w:pPr>
        <w:tabs>
          <w:tab w:val="left" w:pos="0"/>
        </w:tabs>
        <w:spacing w:after="0"/>
        <w:jc w:val="both"/>
        <w:rPr>
          <w:u w:val="none"/>
        </w:rPr>
      </w:pPr>
      <w:r w:rsidRPr="002663D2">
        <w:rPr>
          <w:u w:val="none"/>
        </w:rPr>
        <w:t xml:space="preserve">When advertising a TLR 1 or TLR 2 schools should </w:t>
      </w:r>
      <w:r w:rsidR="002241BE" w:rsidRPr="002663D2">
        <w:rPr>
          <w:u w:val="none"/>
        </w:rPr>
        <w:t xml:space="preserve">ensure the positions are </w:t>
      </w:r>
      <w:r w:rsidRPr="002663D2">
        <w:rPr>
          <w:u w:val="none"/>
        </w:rPr>
        <w:t xml:space="preserve">open to all relevant staff, irrespective of their working pattern, and </w:t>
      </w:r>
      <w:r w:rsidR="002241BE" w:rsidRPr="002663D2">
        <w:rPr>
          <w:u w:val="none"/>
        </w:rPr>
        <w:t xml:space="preserve">schools should be </w:t>
      </w:r>
      <w:r w:rsidRPr="002663D2">
        <w:rPr>
          <w:u w:val="none"/>
        </w:rPr>
        <w:t>open minded to practical ways that TLR duties can be split and reduced to support the</w:t>
      </w:r>
      <w:r w:rsidR="001D415D" w:rsidRPr="002663D2">
        <w:rPr>
          <w:u w:val="none"/>
        </w:rPr>
        <w:t>ir</w:t>
      </w:r>
      <w:r w:rsidRPr="002663D2">
        <w:rPr>
          <w:u w:val="none"/>
        </w:rPr>
        <w:t xml:space="preserve"> being carried out </w:t>
      </w:r>
      <w:r w:rsidR="00B6671C" w:rsidRPr="002663D2">
        <w:rPr>
          <w:u w:val="none"/>
        </w:rPr>
        <w:t>on a part time basis.</w:t>
      </w:r>
      <w:r w:rsidRPr="002663D2">
        <w:rPr>
          <w:u w:val="none"/>
        </w:rPr>
        <w:t xml:space="preserve"> Schools should be particularly mindful of women returning from </w:t>
      </w:r>
      <w:r w:rsidR="001D415D" w:rsidRPr="002663D2">
        <w:rPr>
          <w:u w:val="none"/>
        </w:rPr>
        <w:t>m</w:t>
      </w:r>
      <w:r w:rsidRPr="002663D2">
        <w:rPr>
          <w:u w:val="none"/>
        </w:rPr>
        <w:t xml:space="preserve">aternity leave on a part time basis, where they had previously held a </w:t>
      </w:r>
      <w:r w:rsidR="003A6EEE" w:rsidRPr="002663D2">
        <w:rPr>
          <w:u w:val="none"/>
        </w:rPr>
        <w:t>full-time</w:t>
      </w:r>
      <w:r w:rsidRPr="002663D2">
        <w:rPr>
          <w:u w:val="none"/>
        </w:rPr>
        <w:t xml:space="preserve"> post and TLR. In these circumstances, schools should consider with the individual teacher whether, and if so how, they can continue to carry out </w:t>
      </w:r>
      <w:r w:rsidR="001D415D" w:rsidRPr="002663D2">
        <w:rPr>
          <w:u w:val="none"/>
        </w:rPr>
        <w:t xml:space="preserve">the </w:t>
      </w:r>
      <w:r w:rsidRPr="002663D2">
        <w:rPr>
          <w:u w:val="none"/>
        </w:rPr>
        <w:t>TLR responsibility within their part time hours.</w:t>
      </w:r>
      <w:r w:rsidR="00D96925" w:rsidRPr="002663D2">
        <w:rPr>
          <w:u w:val="none"/>
        </w:rPr>
        <w:t xml:space="preserve"> </w:t>
      </w:r>
      <w:r w:rsidR="007F64C2" w:rsidRPr="002663D2">
        <w:rPr>
          <w:u w:val="none"/>
        </w:rPr>
        <w:t xml:space="preserve"> </w:t>
      </w:r>
    </w:p>
    <w:p w14:paraId="41A96967" w14:textId="77777777" w:rsidR="00DC740E" w:rsidRPr="00705394" w:rsidRDefault="00DC740E" w:rsidP="00106166">
      <w:pPr>
        <w:tabs>
          <w:tab w:val="left" w:pos="0"/>
        </w:tabs>
        <w:spacing w:after="0"/>
        <w:jc w:val="both"/>
        <w:rPr>
          <w:u w:val="none"/>
        </w:rPr>
      </w:pPr>
    </w:p>
    <w:p w14:paraId="596EDDF3" w14:textId="1D573951" w:rsidR="00DC740E" w:rsidRPr="00705394" w:rsidRDefault="00DC740E" w:rsidP="00106166">
      <w:pPr>
        <w:tabs>
          <w:tab w:val="left" w:pos="0"/>
        </w:tabs>
        <w:spacing w:after="0"/>
        <w:jc w:val="both"/>
      </w:pPr>
      <w:r w:rsidRPr="00705394">
        <w:t xml:space="preserve">TLR and Subject Leadership </w:t>
      </w:r>
    </w:p>
    <w:p w14:paraId="1861B067" w14:textId="77777777" w:rsidR="00DC740E" w:rsidRPr="00705394" w:rsidRDefault="00DC740E" w:rsidP="00106166">
      <w:pPr>
        <w:tabs>
          <w:tab w:val="left" w:pos="0"/>
        </w:tabs>
        <w:spacing w:after="0"/>
        <w:jc w:val="both"/>
      </w:pPr>
    </w:p>
    <w:p w14:paraId="637CDDF9" w14:textId="6D7A3D99" w:rsidR="00DC740E" w:rsidRPr="00705394" w:rsidRDefault="00DC740E" w:rsidP="00DC740E">
      <w:pPr>
        <w:tabs>
          <w:tab w:val="left" w:pos="0"/>
        </w:tabs>
        <w:spacing w:after="0"/>
        <w:jc w:val="both"/>
        <w:rPr>
          <w:u w:val="none"/>
        </w:rPr>
      </w:pPr>
      <w:r w:rsidRPr="00705394">
        <w:rPr>
          <w:u w:val="none"/>
        </w:rPr>
        <w:t xml:space="preserve">The HR Service and EIS are clear that no one single teacher is expected to discuss subject leadership responsibilities with Ofsted on their own. In applying the requirements of the Ofsted framework. It is understood that there needs to be some flexibility in how subject leadership in schools in managed. The STPCD Guidance (Paragraph 48, 2024 states: </w:t>
      </w:r>
    </w:p>
    <w:p w14:paraId="06DDE3B1" w14:textId="059A155D" w:rsidR="00DC740E" w:rsidRPr="00705394" w:rsidRDefault="00DC740E" w:rsidP="00DC740E">
      <w:pPr>
        <w:rPr>
          <w:u w:val="none"/>
        </w:rPr>
      </w:pPr>
      <w:r w:rsidRPr="00705394">
        <w:rPr>
          <w:i/>
          <w:iCs/>
          <w:u w:val="none"/>
        </w:rPr>
        <w:t>“All teachers are expected to contribute orally and in writing to curriculum development by sharing professional expertise with colleagues and advising on effective practise. This does not mean a teacher can be expected to take on the responsibility and accountability for a subject area or to manage other teachers without appropriate additional payment. Responsibilities of this nature should be paid on the leadership range or linked to a post which attracts a TLR 1 or TLR2”.</w:t>
      </w:r>
      <w:r w:rsidRPr="00705394">
        <w:rPr>
          <w:u w:val="none"/>
        </w:rPr>
        <w:t xml:space="preserve"> </w:t>
      </w:r>
    </w:p>
    <w:p w14:paraId="22F4F327" w14:textId="11849717" w:rsidR="00971084" w:rsidRPr="00705394" w:rsidRDefault="00DC740E" w:rsidP="00DC740E">
      <w:pPr>
        <w:rPr>
          <w:u w:val="none"/>
        </w:rPr>
      </w:pPr>
      <w:r w:rsidRPr="00705394">
        <w:rPr>
          <w:u w:val="none"/>
        </w:rPr>
        <w:t xml:space="preserve">This means that schools need to be careful in how they define a </w:t>
      </w:r>
      <w:r w:rsidR="00DB3B14" w:rsidRPr="00705394">
        <w:rPr>
          <w:u w:val="none"/>
        </w:rPr>
        <w:t>teacher’s</w:t>
      </w:r>
      <w:r w:rsidRPr="00705394">
        <w:rPr>
          <w:u w:val="none"/>
        </w:rPr>
        <w:t xml:space="preserve"> role in subject leadership where they are paid on the MPR or UPR. Whilst they can expect to be assigned to and fully contribute to the development of a specific curriculum subject / area their role must over</w:t>
      </w:r>
      <w:r w:rsidR="00B3092B" w:rsidRPr="00705394">
        <w:rPr>
          <w:u w:val="none"/>
        </w:rPr>
        <w:t xml:space="preserve"> </w:t>
      </w:r>
      <w:r w:rsidRPr="00705394">
        <w:rPr>
          <w:u w:val="none"/>
        </w:rPr>
        <w:t xml:space="preserve">seen by a senior teacher, paid at the appropriate rate who will retain overall </w:t>
      </w:r>
      <w:r w:rsidRPr="00705394">
        <w:rPr>
          <w:u w:val="none"/>
        </w:rPr>
        <w:lastRenderedPageBreak/>
        <w:t>leadership responsibility.</w:t>
      </w:r>
      <w:r w:rsidR="00DB3B14" w:rsidRPr="00705394">
        <w:rPr>
          <w:u w:val="none"/>
        </w:rPr>
        <w:t xml:space="preserve"> A teacher should not be held fully responsible for outcomes within or across the subject / curriculum area unless they are paid appropriately. </w:t>
      </w:r>
    </w:p>
    <w:p w14:paraId="2A20EAEC" w14:textId="77777777" w:rsidR="00185902" w:rsidRPr="00705394" w:rsidRDefault="00185902" w:rsidP="00106166">
      <w:pPr>
        <w:tabs>
          <w:tab w:val="left" w:pos="720"/>
        </w:tabs>
        <w:spacing w:after="0"/>
        <w:jc w:val="both"/>
      </w:pPr>
      <w:r w:rsidRPr="00705394">
        <w:t>Paragraph 17.4 – 17.5 Determining the Value of a TLR</w:t>
      </w:r>
    </w:p>
    <w:p w14:paraId="4BE12BB6" w14:textId="77777777" w:rsidR="00F817EC" w:rsidRPr="00705394" w:rsidRDefault="00F817EC" w:rsidP="00106166">
      <w:pPr>
        <w:tabs>
          <w:tab w:val="left" w:pos="720"/>
        </w:tabs>
        <w:spacing w:after="0"/>
        <w:jc w:val="both"/>
      </w:pPr>
    </w:p>
    <w:p w14:paraId="1856C601" w14:textId="60CB45EF" w:rsidR="00185902" w:rsidRPr="002663D2" w:rsidRDefault="00185902" w:rsidP="00106166">
      <w:pPr>
        <w:tabs>
          <w:tab w:val="left" w:pos="720"/>
        </w:tabs>
        <w:spacing w:after="0"/>
        <w:jc w:val="both"/>
        <w:rPr>
          <w:strike/>
          <w:u w:val="none"/>
        </w:rPr>
      </w:pPr>
      <w:r w:rsidRPr="002663D2">
        <w:rPr>
          <w:u w:val="none"/>
        </w:rPr>
        <w:t xml:space="preserve">Governing bodies should determine the value of each TLR appropriate for the post </w:t>
      </w:r>
      <w:r w:rsidR="002F5421" w:rsidRPr="002663D2">
        <w:rPr>
          <w:u w:val="none"/>
        </w:rPr>
        <w:t xml:space="preserve">as set out in paragraph 17.1 </w:t>
      </w:r>
      <w:r w:rsidRPr="002663D2">
        <w:rPr>
          <w:u w:val="none"/>
        </w:rPr>
        <w:t>and a decision</w:t>
      </w:r>
      <w:r w:rsidR="0099429A" w:rsidRPr="002663D2">
        <w:rPr>
          <w:u w:val="none"/>
        </w:rPr>
        <w:t xml:space="preserve"> to pay above the statutory minimum </w:t>
      </w:r>
      <w:r w:rsidRPr="002663D2">
        <w:rPr>
          <w:u w:val="none"/>
        </w:rPr>
        <w:t xml:space="preserve">should be justified in relation to the level of responsibilities attached to the post and formally recorded by the governing body.  Changes to the value of TLR’s (or a decision to remove a TLR), once set by the governing body, should only take place following a staffing structure review and once there has been a material change in the responsibilities attached to the post. TLR1/2 payments to part time teachers </w:t>
      </w:r>
      <w:r w:rsidR="002F5421" w:rsidRPr="002663D2">
        <w:rPr>
          <w:u w:val="none"/>
        </w:rPr>
        <w:t xml:space="preserve">may (from September 2025) and are required (from September 2026) to be calculated according to the proportion of the full-time equivalent duty undertaken for both full and part time teachers and </w:t>
      </w:r>
      <w:r w:rsidR="003A6EEE" w:rsidRPr="002663D2">
        <w:rPr>
          <w:u w:val="none"/>
        </w:rPr>
        <w:t xml:space="preserve">no longer need to be calculated on a </w:t>
      </w:r>
      <w:r w:rsidRPr="002663D2">
        <w:rPr>
          <w:u w:val="none"/>
        </w:rPr>
        <w:t>pro rata basis</w:t>
      </w:r>
      <w:r w:rsidR="003A6EEE" w:rsidRPr="002663D2">
        <w:rPr>
          <w:u w:val="none"/>
        </w:rPr>
        <w:t xml:space="preserve">. </w:t>
      </w:r>
      <w:r w:rsidRPr="002663D2">
        <w:rPr>
          <w:u w:val="none"/>
        </w:rPr>
        <w:t xml:space="preserve"> </w:t>
      </w:r>
    </w:p>
    <w:p w14:paraId="53F6C285" w14:textId="77777777" w:rsidR="00F817EC" w:rsidRPr="002663D2" w:rsidRDefault="00F817EC" w:rsidP="00106166">
      <w:pPr>
        <w:tabs>
          <w:tab w:val="left" w:pos="720"/>
        </w:tabs>
        <w:spacing w:after="0"/>
        <w:jc w:val="both"/>
        <w:rPr>
          <w:u w:val="none"/>
        </w:rPr>
      </w:pPr>
    </w:p>
    <w:p w14:paraId="3C913DF6" w14:textId="77777777" w:rsidR="00185902" w:rsidRPr="00705394" w:rsidRDefault="00185902" w:rsidP="00106166">
      <w:pPr>
        <w:tabs>
          <w:tab w:val="left" w:pos="720"/>
        </w:tabs>
        <w:spacing w:after="0"/>
        <w:jc w:val="both"/>
        <w:rPr>
          <w:u w:val="none"/>
        </w:rPr>
      </w:pPr>
      <w:r w:rsidRPr="002663D2">
        <w:rPr>
          <w:u w:val="none"/>
        </w:rPr>
        <w:t xml:space="preserve">The governing body should ensure that they properly record </w:t>
      </w:r>
      <w:r w:rsidRPr="00705394">
        <w:rPr>
          <w:u w:val="none"/>
        </w:rPr>
        <w:t xml:space="preserve">objective criteria used when determining the value of the TLR payments to ensure that any claims on discriminatory grounds (protected characteristics) can be explained and defended. </w:t>
      </w:r>
    </w:p>
    <w:p w14:paraId="2B02D172" w14:textId="77777777" w:rsidR="00971084" w:rsidRPr="00705394" w:rsidRDefault="00971084" w:rsidP="00106166">
      <w:pPr>
        <w:tabs>
          <w:tab w:val="left" w:pos="720"/>
        </w:tabs>
        <w:spacing w:after="0"/>
        <w:jc w:val="both"/>
        <w:rPr>
          <w:u w:val="none"/>
        </w:rPr>
      </w:pPr>
    </w:p>
    <w:p w14:paraId="2629DC68" w14:textId="65F0E65A" w:rsidR="00185902" w:rsidRPr="00705394" w:rsidRDefault="00185902" w:rsidP="00106166">
      <w:pPr>
        <w:spacing w:after="0"/>
        <w:ind w:left="284" w:hanging="284"/>
        <w:jc w:val="both"/>
      </w:pPr>
      <w:r w:rsidRPr="00705394">
        <w:t>Paragraph 17.</w:t>
      </w:r>
      <w:r w:rsidR="00406D52" w:rsidRPr="00705394">
        <w:t>7</w:t>
      </w:r>
      <w:r w:rsidRPr="00705394">
        <w:t xml:space="preserve"> – 17.</w:t>
      </w:r>
      <w:r w:rsidR="00406D52" w:rsidRPr="00705394">
        <w:t>9</w:t>
      </w:r>
      <w:r w:rsidRPr="00705394">
        <w:t xml:space="preserve"> TLR3 Payments</w:t>
      </w:r>
    </w:p>
    <w:p w14:paraId="2EF93B07" w14:textId="77777777" w:rsidR="00F817EC" w:rsidRPr="00705394" w:rsidRDefault="00F817EC" w:rsidP="00396DA7">
      <w:pPr>
        <w:spacing w:after="0"/>
        <w:ind w:left="284" w:hanging="720"/>
        <w:jc w:val="both"/>
        <w:rPr>
          <w:b/>
          <w:bCs/>
          <w:u w:val="none"/>
        </w:rPr>
      </w:pPr>
    </w:p>
    <w:p w14:paraId="2A5A4CB1" w14:textId="77777777" w:rsidR="00185902" w:rsidRPr="00705394" w:rsidRDefault="00185902" w:rsidP="00106166">
      <w:pPr>
        <w:spacing w:after="0"/>
        <w:jc w:val="both"/>
        <w:rPr>
          <w:u w:val="none"/>
        </w:rPr>
      </w:pPr>
      <w:r w:rsidRPr="00705394">
        <w:rPr>
          <w:u w:val="none"/>
        </w:rPr>
        <w:t xml:space="preserve">The annual minimum and maximum payment levels as specified in the STPCD are for an individual TLR3.  Where a TLR3 is awarded for a fixed period of less than one year then the total value should be determined proportionately to the annual value. </w:t>
      </w:r>
      <w:r w:rsidR="002D1FDD" w:rsidRPr="00705394">
        <w:rPr>
          <w:u w:val="none"/>
        </w:rPr>
        <w:t xml:space="preserve"> </w:t>
      </w:r>
    </w:p>
    <w:p w14:paraId="653CF146" w14:textId="77777777" w:rsidR="002D1FDD" w:rsidRPr="00705394" w:rsidRDefault="002D1FDD" w:rsidP="00106166">
      <w:pPr>
        <w:spacing w:after="0"/>
        <w:jc w:val="both"/>
        <w:rPr>
          <w:u w:val="none"/>
        </w:rPr>
      </w:pPr>
    </w:p>
    <w:p w14:paraId="6E00F580" w14:textId="77777777" w:rsidR="002D1FDD" w:rsidRPr="00705394" w:rsidRDefault="00185902" w:rsidP="00106166">
      <w:pPr>
        <w:spacing w:after="0"/>
        <w:jc w:val="both"/>
        <w:rPr>
          <w:u w:val="none"/>
        </w:rPr>
      </w:pPr>
      <w:r w:rsidRPr="00705394">
        <w:rPr>
          <w:u w:val="none"/>
        </w:rPr>
        <w:t>The pro rata principle does not apply to TLR 3 payments.  Where a TLR 3 is awarded to a part time teacher the value should not be amended to reflect the part time hours of the teacher (STPCD page 7</w:t>
      </w:r>
      <w:r w:rsidR="008569E9" w:rsidRPr="00705394">
        <w:rPr>
          <w:u w:val="none"/>
        </w:rPr>
        <w:t>2</w:t>
      </w:r>
      <w:r w:rsidRPr="00705394">
        <w:rPr>
          <w:u w:val="none"/>
        </w:rPr>
        <w:t xml:space="preserve"> paragraph 5</w:t>
      </w:r>
      <w:r w:rsidR="008B627A" w:rsidRPr="00705394">
        <w:rPr>
          <w:u w:val="none"/>
        </w:rPr>
        <w:t>4</w:t>
      </w:r>
      <w:r w:rsidRPr="00705394">
        <w:rPr>
          <w:u w:val="none"/>
        </w:rPr>
        <w:t xml:space="preserve">). The governing body may therefore award the same value TLR3 to both a full time and part time teacher for work to be completed over the fixed period.  </w:t>
      </w:r>
    </w:p>
    <w:p w14:paraId="35D71EFF" w14:textId="77777777" w:rsidR="002D1FDD" w:rsidRPr="00705394" w:rsidRDefault="002D1FDD" w:rsidP="00106166">
      <w:pPr>
        <w:spacing w:after="0"/>
        <w:jc w:val="both"/>
        <w:rPr>
          <w:u w:val="none"/>
        </w:rPr>
      </w:pPr>
    </w:p>
    <w:p w14:paraId="18CCDAE8" w14:textId="43945319" w:rsidR="00185902" w:rsidRPr="00705394" w:rsidRDefault="00185902" w:rsidP="00106166">
      <w:pPr>
        <w:spacing w:after="0"/>
        <w:jc w:val="both"/>
        <w:rPr>
          <w:u w:val="none"/>
        </w:rPr>
      </w:pPr>
      <w:r w:rsidRPr="00705394">
        <w:rPr>
          <w:u w:val="none"/>
        </w:rPr>
        <w:t xml:space="preserve">Where teachers are paid the same </w:t>
      </w:r>
      <w:r w:rsidR="00830977" w:rsidRPr="00705394">
        <w:rPr>
          <w:u w:val="none"/>
        </w:rPr>
        <w:t>amount,</w:t>
      </w:r>
      <w:r w:rsidRPr="00705394">
        <w:rPr>
          <w:u w:val="none"/>
        </w:rPr>
        <w:t xml:space="preserve"> the governing body must ensure that the contribution of both teachers is of equal value and weight </w:t>
      </w:r>
      <w:r w:rsidR="009E590E" w:rsidRPr="00705394">
        <w:rPr>
          <w:u w:val="none"/>
        </w:rPr>
        <w:t>to</w:t>
      </w:r>
      <w:r w:rsidRPr="00705394">
        <w:rPr>
          <w:u w:val="none"/>
        </w:rPr>
        <w:t xml:space="preserve"> </w:t>
      </w:r>
      <w:r w:rsidR="004526EB" w:rsidRPr="00705394">
        <w:rPr>
          <w:u w:val="none"/>
        </w:rPr>
        <w:t xml:space="preserve">ensure value for money and to </w:t>
      </w:r>
      <w:r w:rsidRPr="00705394">
        <w:rPr>
          <w:u w:val="none"/>
        </w:rPr>
        <w:t xml:space="preserve">avoid equal opportunities issues.  For example, a 0.5 FTE teacher awarded a TLR3 should be given twice as long as a </w:t>
      </w:r>
      <w:r w:rsidR="00830977" w:rsidRPr="00705394">
        <w:rPr>
          <w:u w:val="none"/>
        </w:rPr>
        <w:t>full-time</w:t>
      </w:r>
      <w:r w:rsidRPr="00705394">
        <w:rPr>
          <w:u w:val="none"/>
        </w:rPr>
        <w:t xml:space="preserve"> teacher where they are expected to do the same piece of work and paid at the same rate.</w:t>
      </w:r>
    </w:p>
    <w:p w14:paraId="05F6A797" w14:textId="77777777" w:rsidR="00971084" w:rsidRPr="00705394" w:rsidRDefault="00971084" w:rsidP="00106166">
      <w:pPr>
        <w:spacing w:after="0"/>
        <w:jc w:val="both"/>
        <w:rPr>
          <w:u w:val="none"/>
        </w:rPr>
      </w:pPr>
    </w:p>
    <w:p w14:paraId="6287ECE6" w14:textId="5BB4D0C6" w:rsidR="00185902" w:rsidRPr="00705394" w:rsidRDefault="00185902" w:rsidP="00106166">
      <w:pPr>
        <w:spacing w:after="0"/>
        <w:jc w:val="both"/>
        <w:rPr>
          <w:u w:val="none"/>
        </w:rPr>
      </w:pPr>
      <w:r w:rsidRPr="00705394">
        <w:rPr>
          <w:u w:val="none"/>
        </w:rPr>
        <w:t>The non-requirement to pay a TLR3 in line with the pro rata principle makes this allowance very different to the award of other TLR’s.  It is crucial to note that a TLR3 is not linked to a post in the school’s structure; rather it is for a specific piece of additional work that is time limited.</w:t>
      </w:r>
      <w:r w:rsidR="00971084" w:rsidRPr="00705394">
        <w:rPr>
          <w:u w:val="none"/>
        </w:rPr>
        <w:t xml:space="preserve"> </w:t>
      </w:r>
      <w:r w:rsidRPr="00705394">
        <w:rPr>
          <w:u w:val="none"/>
        </w:rPr>
        <w:t>Teachers may hold more than one TLR3 at any one time, the needs of the school and workload permitting.</w:t>
      </w:r>
      <w:r w:rsidR="00DB4965" w:rsidRPr="00705394">
        <w:rPr>
          <w:u w:val="none"/>
        </w:rPr>
        <w:t xml:space="preserve"> </w:t>
      </w:r>
    </w:p>
    <w:p w14:paraId="7915C602" w14:textId="77777777" w:rsidR="00DB4965" w:rsidRPr="00705394" w:rsidRDefault="00DB4965" w:rsidP="00DB4965">
      <w:pPr>
        <w:spacing w:after="0" w:line="240" w:lineRule="auto"/>
        <w:ind w:left="720" w:hanging="720"/>
        <w:jc w:val="both"/>
        <w:rPr>
          <w:rFonts w:eastAsia="Times New Roman" w:cs="Times New Roman"/>
          <w:szCs w:val="20"/>
          <w:u w:val="none"/>
          <w:lang w:eastAsia="en-GB"/>
        </w:rPr>
      </w:pPr>
    </w:p>
    <w:p w14:paraId="4BDF0682" w14:textId="22309024" w:rsidR="00185902" w:rsidRPr="00705394" w:rsidRDefault="00185902" w:rsidP="00106166">
      <w:pPr>
        <w:spacing w:after="0"/>
        <w:jc w:val="both"/>
        <w:rPr>
          <w:u w:val="none"/>
        </w:rPr>
      </w:pPr>
      <w:r w:rsidRPr="00705394">
        <w:rPr>
          <w:u w:val="none"/>
        </w:rPr>
        <w:t>The payment must reflect</w:t>
      </w:r>
      <w:r w:rsidR="008E09CB" w:rsidRPr="00705394">
        <w:rPr>
          <w:u w:val="none"/>
        </w:rPr>
        <w:t xml:space="preserve"> a </w:t>
      </w:r>
      <w:r w:rsidR="008E09CB" w:rsidRPr="00705394">
        <w:t>significant</w:t>
      </w:r>
      <w:r w:rsidR="008E09CB" w:rsidRPr="00705394">
        <w:rPr>
          <w:u w:val="none"/>
        </w:rPr>
        <w:t xml:space="preserve"> additional responsibility, not required </w:t>
      </w:r>
      <w:r w:rsidR="004526EB" w:rsidRPr="00705394">
        <w:rPr>
          <w:u w:val="none"/>
        </w:rPr>
        <w:t>o</w:t>
      </w:r>
      <w:r w:rsidR="008E09CB" w:rsidRPr="00705394">
        <w:rPr>
          <w:u w:val="none"/>
        </w:rPr>
        <w:t>f all classroom teachers and reflect</w:t>
      </w:r>
      <w:r w:rsidRPr="00705394">
        <w:rPr>
          <w:u w:val="none"/>
        </w:rPr>
        <w:t xml:space="preserve"> the contribution to raising educational standards in the school as set out in paragraph 17.2 of the policy.  Where TLR3 responsibilities are paid at different </w:t>
      </w:r>
      <w:r w:rsidRPr="00705394">
        <w:rPr>
          <w:u w:val="none"/>
        </w:rPr>
        <w:lastRenderedPageBreak/>
        <w:t xml:space="preserve">amounts the governing body needs to determine and record the </w:t>
      </w:r>
      <w:r w:rsidR="002F5421">
        <w:rPr>
          <w:u w:val="none"/>
        </w:rPr>
        <w:t>rationale</w:t>
      </w:r>
      <w:r w:rsidRPr="00705394">
        <w:rPr>
          <w:u w:val="none"/>
        </w:rPr>
        <w:t>. The governing body should ensure that they properly record objective criteria used when determining the value of the TLR 3 payments to ensure that any claims on discriminatory grounds (protected characteristics) can be explained and defended.</w:t>
      </w:r>
    </w:p>
    <w:p w14:paraId="46098E61" w14:textId="77777777" w:rsidR="00971084" w:rsidRPr="00705394" w:rsidRDefault="00971084" w:rsidP="00396DA7">
      <w:pPr>
        <w:spacing w:after="0"/>
        <w:ind w:left="284"/>
        <w:jc w:val="both"/>
        <w:rPr>
          <w:u w:val="none"/>
        </w:rPr>
      </w:pPr>
    </w:p>
    <w:p w14:paraId="5995690B" w14:textId="77777777" w:rsidR="007B6D47" w:rsidRPr="00705394" w:rsidRDefault="00185902" w:rsidP="007B6D47">
      <w:pPr>
        <w:spacing w:after="0" w:line="240" w:lineRule="auto"/>
        <w:ind w:left="720" w:hanging="720"/>
        <w:jc w:val="both"/>
        <w:rPr>
          <w:u w:val="none"/>
        </w:rPr>
      </w:pPr>
      <w:r w:rsidRPr="00705394">
        <w:rPr>
          <w:u w:val="none"/>
        </w:rPr>
        <w:t>Prior to the award of a TLR3 payment the value, reason, purpose and outcome required and</w:t>
      </w:r>
    </w:p>
    <w:p w14:paraId="3BF40146" w14:textId="77777777" w:rsidR="007B6D47" w:rsidRPr="00705394" w:rsidRDefault="00185902" w:rsidP="007B6D47">
      <w:pPr>
        <w:spacing w:after="0" w:line="240" w:lineRule="auto"/>
        <w:ind w:left="720" w:hanging="720"/>
        <w:jc w:val="both"/>
        <w:rPr>
          <w:u w:val="none"/>
        </w:rPr>
      </w:pPr>
      <w:r w:rsidRPr="00705394">
        <w:rPr>
          <w:u w:val="none"/>
        </w:rPr>
        <w:t>duration of the fixed term payment must be agreed by the governing body before the</w:t>
      </w:r>
    </w:p>
    <w:p w14:paraId="39822858" w14:textId="617571E9" w:rsidR="007B6D47" w:rsidRPr="00705394" w:rsidRDefault="00185902" w:rsidP="007B6D47">
      <w:pPr>
        <w:spacing w:after="0" w:line="240" w:lineRule="auto"/>
        <w:ind w:left="720" w:hanging="720"/>
        <w:jc w:val="both"/>
        <w:rPr>
          <w:u w:val="none"/>
        </w:rPr>
      </w:pPr>
      <w:r w:rsidRPr="00705394">
        <w:rPr>
          <w:u w:val="none"/>
        </w:rPr>
        <w:t xml:space="preserve">payment commences and </w:t>
      </w:r>
      <w:r w:rsidR="00D10DC8">
        <w:rPr>
          <w:u w:val="none"/>
        </w:rPr>
        <w:t xml:space="preserve">then </w:t>
      </w:r>
      <w:r w:rsidR="00D10DC8" w:rsidRPr="00705394">
        <w:rPr>
          <w:u w:val="none"/>
        </w:rPr>
        <w:t>confirm</w:t>
      </w:r>
      <w:r w:rsidR="00D10DC8">
        <w:rPr>
          <w:u w:val="none"/>
        </w:rPr>
        <w:t>ed</w:t>
      </w:r>
      <w:r w:rsidRPr="00705394">
        <w:rPr>
          <w:u w:val="none"/>
        </w:rPr>
        <w:t xml:space="preserve"> in writing to the teacher. </w:t>
      </w:r>
      <w:r w:rsidR="007B6D47" w:rsidRPr="00705394">
        <w:rPr>
          <w:u w:val="none"/>
        </w:rPr>
        <w:t>S</w:t>
      </w:r>
      <w:r w:rsidRPr="00705394">
        <w:rPr>
          <w:u w:val="none"/>
        </w:rPr>
        <w:t>alary safeguarding</w:t>
      </w:r>
    </w:p>
    <w:p w14:paraId="0199A5E0" w14:textId="5F84A6EE" w:rsidR="007B6D47" w:rsidRPr="00705394" w:rsidRDefault="00185902" w:rsidP="007B6D47">
      <w:pPr>
        <w:spacing w:after="0" w:line="240" w:lineRule="auto"/>
        <w:ind w:left="720" w:hanging="720"/>
        <w:jc w:val="both"/>
        <w:rPr>
          <w:u w:val="none"/>
        </w:rPr>
      </w:pPr>
      <w:r w:rsidRPr="00705394">
        <w:rPr>
          <w:u w:val="none"/>
        </w:rPr>
        <w:t xml:space="preserve">provisions do not apply to TLR3 </w:t>
      </w:r>
      <w:r w:rsidR="007116A1" w:rsidRPr="00705394">
        <w:rPr>
          <w:u w:val="none"/>
        </w:rPr>
        <w:t>payments,</w:t>
      </w:r>
      <w:r w:rsidRPr="00705394">
        <w:rPr>
          <w:u w:val="none"/>
        </w:rPr>
        <w:t xml:space="preserve"> and the governing body should not award</w:t>
      </w:r>
    </w:p>
    <w:p w14:paraId="692AA9F1" w14:textId="77777777" w:rsidR="007B6D47" w:rsidRPr="00705394" w:rsidRDefault="00185902" w:rsidP="007B6D47">
      <w:pPr>
        <w:spacing w:after="0" w:line="240" w:lineRule="auto"/>
        <w:ind w:left="720" w:hanging="720"/>
        <w:jc w:val="both"/>
        <w:rPr>
          <w:rFonts w:eastAsia="Times New Roman" w:cs="Times New Roman"/>
          <w:szCs w:val="20"/>
          <w:u w:val="none"/>
          <w:lang w:eastAsia="en-GB"/>
        </w:rPr>
      </w:pPr>
      <w:r w:rsidRPr="00705394">
        <w:rPr>
          <w:u w:val="none"/>
        </w:rPr>
        <w:t>consecutive TLR3 payments for the same responsibility</w:t>
      </w:r>
      <w:r w:rsidR="007B6D47" w:rsidRPr="00705394">
        <w:rPr>
          <w:u w:val="none"/>
        </w:rPr>
        <w:t xml:space="preserve"> </w:t>
      </w:r>
      <w:r w:rsidR="007B6D47" w:rsidRPr="00705394">
        <w:rPr>
          <w:rFonts w:eastAsia="Times New Roman" w:cs="Times New Roman"/>
          <w:szCs w:val="20"/>
          <w:u w:val="none"/>
          <w:lang w:eastAsia="en-GB"/>
        </w:rPr>
        <w:t>unless that responsibility relates to</w:t>
      </w:r>
    </w:p>
    <w:p w14:paraId="14DF2C9E" w14:textId="77777777" w:rsidR="00733B4F" w:rsidRPr="00705394" w:rsidRDefault="00733B4F" w:rsidP="007B6D47">
      <w:pPr>
        <w:spacing w:after="0" w:line="240" w:lineRule="auto"/>
        <w:ind w:left="720" w:hanging="720"/>
        <w:jc w:val="both"/>
        <w:rPr>
          <w:rFonts w:eastAsia="Times New Roman" w:cs="Times New Roman"/>
          <w:szCs w:val="20"/>
          <w:u w:val="none"/>
          <w:lang w:eastAsia="en-GB"/>
        </w:rPr>
      </w:pPr>
      <w:r w:rsidRPr="00705394">
        <w:rPr>
          <w:rFonts w:eastAsia="Times New Roman" w:cs="Times New Roman"/>
          <w:szCs w:val="20"/>
          <w:u w:val="none"/>
          <w:lang w:eastAsia="en-GB"/>
        </w:rPr>
        <w:t xml:space="preserve">coordination of </w:t>
      </w:r>
      <w:r w:rsidR="007B6D47" w:rsidRPr="00705394">
        <w:rPr>
          <w:rFonts w:eastAsia="Times New Roman" w:cs="Times New Roman"/>
          <w:szCs w:val="20"/>
          <w:u w:val="none"/>
          <w:lang w:eastAsia="en-GB"/>
        </w:rPr>
        <w:t>tutoring to deliver catch up support to pupils on learning lost during the</w:t>
      </w:r>
    </w:p>
    <w:p w14:paraId="6A5C7B2C" w14:textId="3CF15C32" w:rsidR="007B6D47" w:rsidRPr="00705394" w:rsidRDefault="007B6D47" w:rsidP="007B6D47">
      <w:pPr>
        <w:spacing w:after="0" w:line="240" w:lineRule="auto"/>
        <w:ind w:left="720" w:hanging="720"/>
        <w:jc w:val="both"/>
        <w:rPr>
          <w:rFonts w:eastAsia="Times New Roman" w:cs="Times New Roman"/>
          <w:szCs w:val="20"/>
          <w:u w:val="none"/>
          <w:lang w:eastAsia="en-GB"/>
        </w:rPr>
      </w:pPr>
      <w:r w:rsidRPr="00705394">
        <w:rPr>
          <w:rFonts w:eastAsia="Times New Roman" w:cs="Times New Roman"/>
          <w:szCs w:val="20"/>
          <w:u w:val="none"/>
          <w:lang w:eastAsia="en-GB"/>
        </w:rPr>
        <w:t>pandemic as set out</w:t>
      </w:r>
      <w:r w:rsidR="00733B4F" w:rsidRPr="00705394">
        <w:rPr>
          <w:rFonts w:eastAsia="Times New Roman" w:cs="Times New Roman"/>
          <w:szCs w:val="20"/>
          <w:u w:val="none"/>
          <w:lang w:eastAsia="en-GB"/>
        </w:rPr>
        <w:t xml:space="preserve"> </w:t>
      </w:r>
      <w:r w:rsidRPr="00705394">
        <w:rPr>
          <w:rFonts w:eastAsia="Times New Roman" w:cs="Times New Roman"/>
          <w:szCs w:val="20"/>
          <w:u w:val="none"/>
          <w:lang w:eastAsia="en-GB"/>
        </w:rPr>
        <w:t>in the STPCD.</w:t>
      </w:r>
    </w:p>
    <w:p w14:paraId="034777B7" w14:textId="77777777" w:rsidR="00971084" w:rsidRPr="00705394" w:rsidRDefault="00971084" w:rsidP="00106166">
      <w:pPr>
        <w:tabs>
          <w:tab w:val="left" w:pos="720"/>
        </w:tabs>
        <w:spacing w:after="0"/>
        <w:jc w:val="both"/>
        <w:rPr>
          <w:u w:val="none"/>
        </w:rPr>
      </w:pPr>
    </w:p>
    <w:p w14:paraId="67C8618C" w14:textId="77777777" w:rsidR="004526EB" w:rsidRPr="00705394" w:rsidRDefault="004526EB" w:rsidP="00106166">
      <w:pPr>
        <w:tabs>
          <w:tab w:val="left" w:pos="720"/>
        </w:tabs>
        <w:spacing w:after="0"/>
        <w:jc w:val="both"/>
        <w:rPr>
          <w:b/>
          <w:bCs/>
          <w:u w:val="none"/>
        </w:rPr>
      </w:pPr>
      <w:r w:rsidRPr="00705394">
        <w:rPr>
          <w:b/>
          <w:bCs/>
          <w:u w:val="none"/>
        </w:rPr>
        <w:t xml:space="preserve">Pay Policy Paragraph 18.0 - </w:t>
      </w:r>
      <w:r w:rsidR="00185902" w:rsidRPr="00705394">
        <w:rPr>
          <w:b/>
          <w:bCs/>
          <w:u w:val="none"/>
        </w:rPr>
        <w:t>Special Educational Needs Allowance</w:t>
      </w:r>
      <w:r w:rsidR="00A40D8A" w:rsidRPr="00705394">
        <w:rPr>
          <w:b/>
          <w:bCs/>
          <w:u w:val="none"/>
        </w:rPr>
        <w:t xml:space="preserve"> (SEN)</w:t>
      </w:r>
    </w:p>
    <w:p w14:paraId="0D532F4D" w14:textId="77777777" w:rsidR="002D1FDD" w:rsidRPr="00705394" w:rsidRDefault="00185902" w:rsidP="00106166">
      <w:pPr>
        <w:tabs>
          <w:tab w:val="left" w:pos="720"/>
        </w:tabs>
        <w:spacing w:after="0"/>
        <w:jc w:val="both"/>
        <w:rPr>
          <w:u w:val="none"/>
        </w:rPr>
      </w:pPr>
      <w:r w:rsidRPr="00705394">
        <w:rPr>
          <w:b/>
          <w:bCs/>
          <w:u w:val="none"/>
        </w:rPr>
        <w:t xml:space="preserve"> </w:t>
      </w:r>
    </w:p>
    <w:p w14:paraId="4E5A289F" w14:textId="4BA36203" w:rsidR="00185902" w:rsidRPr="00705394" w:rsidRDefault="00185902" w:rsidP="007B6D47">
      <w:pPr>
        <w:tabs>
          <w:tab w:val="left" w:pos="720"/>
        </w:tabs>
        <w:spacing w:after="0"/>
        <w:rPr>
          <w:u w:val="none"/>
        </w:rPr>
      </w:pPr>
      <w:r w:rsidRPr="00705394">
        <w:rPr>
          <w:u w:val="none"/>
        </w:rPr>
        <w:t>A teacher who qualifies for a SEN allowance may also hold a TLR. The governing body should ensure that employees are notified of any SEN allowance including the reason and the value. The payment should be kept under review to ensure that:</w:t>
      </w:r>
    </w:p>
    <w:p w14:paraId="73D543FC" w14:textId="2FCC96E7" w:rsidR="00185902" w:rsidRPr="00705394" w:rsidRDefault="00185902" w:rsidP="00DB4965">
      <w:pPr>
        <w:numPr>
          <w:ilvl w:val="0"/>
          <w:numId w:val="23"/>
        </w:numPr>
        <w:spacing w:after="0"/>
        <w:ind w:right="-46"/>
        <w:rPr>
          <w:u w:val="none"/>
        </w:rPr>
      </w:pPr>
      <w:r w:rsidRPr="00705394">
        <w:rPr>
          <w:u w:val="none"/>
        </w:rPr>
        <w:t>Teachers holding SEN allowances are not carrying out duties,</w:t>
      </w:r>
      <w:r w:rsidR="00DB4965" w:rsidRPr="00705394">
        <w:rPr>
          <w:u w:val="none"/>
        </w:rPr>
        <w:t xml:space="preserve"> </w:t>
      </w:r>
      <w:r w:rsidRPr="00705394">
        <w:rPr>
          <w:u w:val="none"/>
        </w:rPr>
        <w:t>tasks and responsibilities which are more appropriately carried out by support staff</w:t>
      </w:r>
    </w:p>
    <w:p w14:paraId="579E0DC9" w14:textId="77777777" w:rsidR="00185902" w:rsidRPr="00705394" w:rsidRDefault="00185902" w:rsidP="00DB4965">
      <w:pPr>
        <w:numPr>
          <w:ilvl w:val="0"/>
          <w:numId w:val="23"/>
        </w:numPr>
        <w:spacing w:after="0"/>
        <w:ind w:right="-46"/>
        <w:rPr>
          <w:u w:val="none"/>
        </w:rPr>
      </w:pPr>
      <w:r w:rsidRPr="00705394">
        <w:rPr>
          <w:u w:val="none"/>
        </w:rPr>
        <w:t xml:space="preserve">SEN payments are not and must not be </w:t>
      </w:r>
      <w:r w:rsidR="004526EB" w:rsidRPr="00705394">
        <w:rPr>
          <w:u w:val="none"/>
        </w:rPr>
        <w:t xml:space="preserve">awarded </w:t>
      </w:r>
      <w:r w:rsidRPr="00705394">
        <w:rPr>
          <w:u w:val="none"/>
        </w:rPr>
        <w:t>for the purposes of recruitment and retention</w:t>
      </w:r>
      <w:r w:rsidR="00965CA6" w:rsidRPr="00705394">
        <w:rPr>
          <w:u w:val="none"/>
        </w:rPr>
        <w:t>; and</w:t>
      </w:r>
    </w:p>
    <w:p w14:paraId="6583BFF1" w14:textId="77777777" w:rsidR="008E3211" w:rsidRPr="00705394" w:rsidRDefault="00185902" w:rsidP="00DB4965">
      <w:pPr>
        <w:numPr>
          <w:ilvl w:val="0"/>
          <w:numId w:val="23"/>
        </w:numPr>
        <w:spacing w:after="0"/>
        <w:ind w:right="-46"/>
        <w:rPr>
          <w:u w:val="none"/>
        </w:rPr>
      </w:pPr>
      <w:r w:rsidRPr="00705394">
        <w:rPr>
          <w:u w:val="none"/>
        </w:rPr>
        <w:t>SEN responsibilities are clearly set out in job descriptions</w:t>
      </w:r>
      <w:r w:rsidR="00965CA6" w:rsidRPr="00705394">
        <w:rPr>
          <w:u w:val="none"/>
        </w:rPr>
        <w:t>.</w:t>
      </w:r>
    </w:p>
    <w:p w14:paraId="0A677E49" w14:textId="77777777" w:rsidR="008E3211" w:rsidRPr="00705394" w:rsidRDefault="008E3211" w:rsidP="00106166">
      <w:pPr>
        <w:spacing w:after="0"/>
        <w:ind w:right="-46"/>
        <w:jc w:val="both"/>
      </w:pPr>
    </w:p>
    <w:p w14:paraId="3F64620E" w14:textId="77777777" w:rsidR="00185902" w:rsidRPr="00705394" w:rsidRDefault="00185902" w:rsidP="00106166">
      <w:pPr>
        <w:spacing w:after="0"/>
        <w:ind w:right="-46"/>
        <w:jc w:val="both"/>
      </w:pPr>
      <w:r w:rsidRPr="00705394">
        <w:t>Paragraph 18.2 – Determining the Value of an SEN Allowance</w:t>
      </w:r>
    </w:p>
    <w:p w14:paraId="09127B05" w14:textId="77777777" w:rsidR="002D1FDD" w:rsidRPr="00705394" w:rsidRDefault="002D1FDD" w:rsidP="00106166">
      <w:pPr>
        <w:spacing w:after="0"/>
        <w:ind w:right="-46"/>
        <w:jc w:val="both"/>
      </w:pPr>
    </w:p>
    <w:p w14:paraId="250630AE" w14:textId="6F4831DA" w:rsidR="00185902" w:rsidRPr="00705394" w:rsidRDefault="00185902" w:rsidP="00106166">
      <w:pPr>
        <w:spacing w:after="0"/>
        <w:ind w:right="-46"/>
        <w:jc w:val="both"/>
        <w:rPr>
          <w:u w:val="none"/>
        </w:rPr>
      </w:pPr>
      <w:r w:rsidRPr="00705394">
        <w:rPr>
          <w:u w:val="none"/>
        </w:rPr>
        <w:t xml:space="preserve">Differential values relating to SEN roles in the school should be established by the governing body to properly reflect significant differences in the nature and challenge of the work entailed so that different payment levels can be objectively justified between the national minimum and maximum values provided for in the national framework. </w:t>
      </w:r>
      <w:r w:rsidR="002D1FDD" w:rsidRPr="00705394">
        <w:rPr>
          <w:u w:val="none"/>
        </w:rPr>
        <w:t xml:space="preserve"> </w:t>
      </w:r>
      <w:r w:rsidRPr="00705394">
        <w:rPr>
          <w:u w:val="none"/>
        </w:rPr>
        <w:t xml:space="preserve">Where the allowance is payable on a permanent basis general salary safeguarding will apply where there is a </w:t>
      </w:r>
      <w:r w:rsidR="009E590E">
        <w:rPr>
          <w:u w:val="none"/>
        </w:rPr>
        <w:t xml:space="preserve">SEN </w:t>
      </w:r>
      <w:r w:rsidR="009E590E" w:rsidRPr="00705394">
        <w:rPr>
          <w:u w:val="none"/>
        </w:rPr>
        <w:t xml:space="preserve">reorganisation </w:t>
      </w:r>
      <w:r w:rsidR="009E590E">
        <w:rPr>
          <w:u w:val="none"/>
        </w:rPr>
        <w:t>that</w:t>
      </w:r>
      <w:r w:rsidRPr="00705394">
        <w:rPr>
          <w:u w:val="none"/>
        </w:rPr>
        <w:t xml:space="preserve"> results in the value of an allowance being reduced or withdrawn. </w:t>
      </w:r>
    </w:p>
    <w:p w14:paraId="11F47379" w14:textId="77777777" w:rsidR="00AA6884" w:rsidRPr="00705394" w:rsidRDefault="00AA6884" w:rsidP="00AA6884">
      <w:pPr>
        <w:spacing w:after="0" w:line="240" w:lineRule="auto"/>
        <w:rPr>
          <w:rFonts w:eastAsia="Times New Roman"/>
          <w:b/>
          <w:bCs/>
          <w:u w:val="none"/>
          <w:lang w:eastAsia="en-GB"/>
        </w:rPr>
      </w:pPr>
    </w:p>
    <w:p w14:paraId="10F89A33" w14:textId="1899BDDB" w:rsidR="00AA6884" w:rsidRPr="00705394" w:rsidRDefault="00AA6884" w:rsidP="00AA6884">
      <w:pPr>
        <w:spacing w:after="0" w:line="240" w:lineRule="auto"/>
        <w:rPr>
          <w:rFonts w:eastAsia="Times New Roman"/>
          <w:b/>
          <w:bCs/>
          <w:u w:val="none"/>
          <w:lang w:eastAsia="en-GB"/>
        </w:rPr>
      </w:pPr>
      <w:bookmarkStart w:id="5" w:name="_Hlk181284627"/>
      <w:r w:rsidRPr="00705394">
        <w:rPr>
          <w:rFonts w:eastAsia="Times New Roman"/>
          <w:b/>
          <w:bCs/>
          <w:u w:val="none"/>
          <w:lang w:eastAsia="en-GB"/>
        </w:rPr>
        <w:t xml:space="preserve">Paragraph 18.3 - SENCO Qualification requirements </w:t>
      </w:r>
    </w:p>
    <w:p w14:paraId="2C405DC9" w14:textId="77777777" w:rsidR="00AA6884" w:rsidRPr="00705394" w:rsidRDefault="00AA6884" w:rsidP="00AA6884">
      <w:pPr>
        <w:spacing w:after="0" w:line="240" w:lineRule="auto"/>
        <w:rPr>
          <w:rFonts w:eastAsia="Times New Roman"/>
          <w:lang w:eastAsia="en-GB"/>
        </w:rPr>
      </w:pPr>
    </w:p>
    <w:p w14:paraId="3C5AB7E5" w14:textId="248108A4" w:rsidR="00AA6884" w:rsidRPr="005A574B" w:rsidRDefault="00406D52" w:rsidP="00AA6884">
      <w:pPr>
        <w:spacing w:after="0" w:line="240" w:lineRule="auto"/>
        <w:rPr>
          <w:rFonts w:eastAsia="Times New Roman"/>
          <w:u w:val="none"/>
          <w:lang w:eastAsia="en-GB"/>
        </w:rPr>
      </w:pPr>
      <w:r w:rsidRPr="00705394">
        <w:rPr>
          <w:rFonts w:eastAsia="Times New Roman"/>
          <w:u w:val="none"/>
          <w:lang w:eastAsia="en-GB"/>
        </w:rPr>
        <w:t>The h</w:t>
      </w:r>
      <w:r w:rsidR="00AA6884" w:rsidRPr="00705394">
        <w:rPr>
          <w:rFonts w:eastAsia="Times New Roman"/>
          <w:u w:val="none"/>
          <w:lang w:eastAsia="en-GB"/>
        </w:rPr>
        <w:t>eadteacher and governing bo</w:t>
      </w:r>
      <w:r w:rsidR="002F5421">
        <w:rPr>
          <w:rFonts w:eastAsia="Times New Roman"/>
          <w:u w:val="none"/>
          <w:lang w:eastAsia="en-GB"/>
        </w:rPr>
        <w:t>dy</w:t>
      </w:r>
      <w:r w:rsidR="00AA6884" w:rsidRPr="00705394">
        <w:rPr>
          <w:rFonts w:eastAsia="Times New Roman"/>
          <w:u w:val="none"/>
          <w:lang w:eastAsia="en-GB"/>
        </w:rPr>
        <w:t xml:space="preserve"> will be aware of the requirement since 2009, for every new mainstream school SENCO (who must be a qualified teacher) to gain a </w:t>
      </w:r>
      <w:proofErr w:type="gramStart"/>
      <w:r w:rsidR="00AA6884" w:rsidRPr="00705394">
        <w:rPr>
          <w:rFonts w:eastAsia="Times New Roman"/>
          <w:u w:val="none"/>
          <w:lang w:eastAsia="en-GB"/>
        </w:rPr>
        <w:t>Master’s</w:t>
      </w:r>
      <w:proofErr w:type="gramEnd"/>
      <w:r w:rsidR="00AA6884" w:rsidRPr="00705394">
        <w:rPr>
          <w:rFonts w:eastAsia="Times New Roman"/>
          <w:u w:val="none"/>
          <w:lang w:eastAsia="en-GB"/>
        </w:rPr>
        <w:t xml:space="preserve"> level national qualification to be a Special Educational needs Co – Ordinator (NASENCO) within 3 years of starting the job. </w:t>
      </w:r>
      <w:r w:rsidR="00AA6884" w:rsidRPr="00705394">
        <w:rPr>
          <w:rFonts w:eastAsia="Times New Roman"/>
          <w:u w:val="none"/>
          <w:shd w:val="clear" w:color="auto" w:fill="FFFFFF"/>
          <w:lang w:eastAsia="en-GB"/>
        </w:rPr>
        <w:t xml:space="preserve">The Department </w:t>
      </w:r>
      <w:r w:rsidR="00AA6884" w:rsidRPr="005A574B">
        <w:rPr>
          <w:rFonts w:eastAsia="Times New Roman"/>
          <w:u w:val="none"/>
          <w:shd w:val="clear" w:color="auto" w:fill="FFFFFF"/>
          <w:lang w:eastAsia="en-GB"/>
        </w:rPr>
        <w:t>for Education announced in the </w:t>
      </w:r>
      <w:hyperlink r:id="rId27" w:history="1">
        <w:r w:rsidR="00AA6884" w:rsidRPr="005A574B">
          <w:rPr>
            <w:rFonts w:eastAsia="Times New Roman"/>
            <w:color w:val="1D70B8"/>
            <w:shd w:val="clear" w:color="auto" w:fill="FFFFFF"/>
            <w:lang w:eastAsia="en-GB"/>
          </w:rPr>
          <w:t>SEND and alternative provision improvement plan</w:t>
        </w:r>
      </w:hyperlink>
      <w:r w:rsidR="00AA6884" w:rsidRPr="005A574B">
        <w:rPr>
          <w:rFonts w:eastAsia="Times New Roman"/>
          <w:color w:val="0B0C0C"/>
          <w:u w:val="none"/>
          <w:shd w:val="clear" w:color="auto" w:fill="FFFFFF"/>
          <w:lang w:eastAsia="en-GB"/>
        </w:rPr>
        <w:t xml:space="preserve">, </w:t>
      </w:r>
      <w:r w:rsidR="00AA6884" w:rsidRPr="005A574B">
        <w:rPr>
          <w:rFonts w:eastAsia="Times New Roman"/>
          <w:u w:val="none"/>
          <w:shd w:val="clear" w:color="auto" w:fill="FFFFFF"/>
          <w:lang w:eastAsia="en-GB"/>
        </w:rPr>
        <w:t>published in March 2023 that a new leadership level national professional qualification for SENCOs will now replace the existing qualification. SENCOs who have successfully completed the </w:t>
      </w:r>
      <w:r w:rsidR="00AA6884" w:rsidRPr="005A574B">
        <w:rPr>
          <w:rFonts w:eastAsia="Times New Roman"/>
          <w:u w:val="none"/>
          <w:lang w:eastAsia="en-GB"/>
        </w:rPr>
        <w:t>NASENCO</w:t>
      </w:r>
      <w:r w:rsidR="00AA6884" w:rsidRPr="005A574B">
        <w:rPr>
          <w:rFonts w:eastAsia="Times New Roman"/>
          <w:u w:val="none"/>
          <w:shd w:val="clear" w:color="auto" w:fill="FFFFFF"/>
          <w:lang w:eastAsia="en-GB"/>
        </w:rPr>
        <w:t> </w:t>
      </w:r>
      <w:r w:rsidR="00AA6884" w:rsidRPr="005A574B">
        <w:rPr>
          <w:rFonts w:eastAsia="Times New Roman"/>
          <w:shd w:val="clear" w:color="auto" w:fill="FFFFFF"/>
          <w:lang w:eastAsia="en-GB"/>
        </w:rPr>
        <w:t>will not</w:t>
      </w:r>
      <w:r w:rsidR="00AA6884" w:rsidRPr="005A574B">
        <w:rPr>
          <w:rFonts w:eastAsia="Times New Roman"/>
          <w:u w:val="none"/>
          <w:shd w:val="clear" w:color="auto" w:fill="FFFFFF"/>
          <w:lang w:eastAsia="en-GB"/>
        </w:rPr>
        <w:t xml:space="preserve"> be required to complete the new national professional qualification and the </w:t>
      </w:r>
      <w:r w:rsidR="00AA6884" w:rsidRPr="005A574B">
        <w:rPr>
          <w:rFonts w:eastAsia="Times New Roman"/>
          <w:u w:val="none"/>
          <w:lang w:eastAsia="en-GB"/>
        </w:rPr>
        <w:t xml:space="preserve">existing NASENCO will remain the mandatory qualification until </w:t>
      </w:r>
      <w:r w:rsidR="005A574B">
        <w:rPr>
          <w:rFonts w:eastAsia="Times New Roman"/>
          <w:u w:val="none"/>
          <w:lang w:eastAsia="en-GB"/>
        </w:rPr>
        <w:t>a</w:t>
      </w:r>
      <w:r w:rsidR="00AA6884" w:rsidRPr="005A574B">
        <w:rPr>
          <w:rFonts w:eastAsia="Times New Roman"/>
          <w:u w:val="none"/>
          <w:lang w:eastAsia="en-GB"/>
        </w:rPr>
        <w:t xml:space="preserve">utumn 2024. Aspiring SENCOs </w:t>
      </w:r>
      <w:r w:rsidR="002F5421">
        <w:rPr>
          <w:rFonts w:eastAsia="Times New Roman"/>
          <w:u w:val="none"/>
          <w:lang w:eastAsia="en-GB"/>
        </w:rPr>
        <w:t xml:space="preserve">were advised to </w:t>
      </w:r>
      <w:r w:rsidR="00AA6884" w:rsidRPr="005A574B">
        <w:rPr>
          <w:rFonts w:eastAsia="Times New Roman"/>
          <w:u w:val="none"/>
          <w:lang w:eastAsia="en-GB"/>
        </w:rPr>
        <w:t>continue to sign up for the NASENCO qualification until the end of the current 2023 - 24 academic year.</w:t>
      </w:r>
    </w:p>
    <w:p w14:paraId="7F4D97CA" w14:textId="502AC7AA" w:rsidR="00AA6884" w:rsidRPr="005A574B" w:rsidRDefault="00AA6884" w:rsidP="00AA6884">
      <w:pPr>
        <w:shd w:val="clear" w:color="auto" w:fill="FFFFFF"/>
        <w:spacing w:before="300" w:after="300" w:line="240" w:lineRule="auto"/>
        <w:rPr>
          <w:rFonts w:eastAsia="Times New Roman"/>
          <w:u w:val="none"/>
        </w:rPr>
      </w:pPr>
      <w:r w:rsidRPr="005A574B">
        <w:rPr>
          <w:rFonts w:eastAsia="Times New Roman"/>
          <w:u w:val="none"/>
          <w:lang w:eastAsia="en-GB"/>
        </w:rPr>
        <w:t>The new national professional qualification bec</w:t>
      </w:r>
      <w:r w:rsidR="002F5421">
        <w:rPr>
          <w:rFonts w:eastAsia="Times New Roman"/>
          <w:u w:val="none"/>
          <w:lang w:eastAsia="en-GB"/>
        </w:rPr>
        <w:t>ame</w:t>
      </w:r>
      <w:r w:rsidRPr="005A574B">
        <w:rPr>
          <w:rFonts w:eastAsia="Times New Roman"/>
          <w:u w:val="none"/>
          <w:lang w:eastAsia="en-GB"/>
        </w:rPr>
        <w:t xml:space="preserve"> the mandatory qualification for SENCOs from September 2024. First teaching of the national professional qualification for SENCOs </w:t>
      </w:r>
      <w:r w:rsidR="002F5421">
        <w:rPr>
          <w:rFonts w:eastAsia="Times New Roman"/>
          <w:u w:val="none"/>
          <w:lang w:eastAsia="en-GB"/>
        </w:rPr>
        <w:t xml:space="preserve">took place </w:t>
      </w:r>
      <w:r w:rsidRPr="005A574B">
        <w:rPr>
          <w:rFonts w:eastAsia="Times New Roman"/>
          <w:u w:val="none"/>
          <w:lang w:eastAsia="en-GB"/>
        </w:rPr>
        <w:t xml:space="preserve">in autumn 2024. The requirement to complete training within 3 years </w:t>
      </w:r>
      <w:r w:rsidRPr="005A574B">
        <w:rPr>
          <w:rFonts w:eastAsia="Times New Roman"/>
          <w:u w:val="none"/>
          <w:lang w:eastAsia="en-GB"/>
        </w:rPr>
        <w:lastRenderedPageBreak/>
        <w:t xml:space="preserve">of appointment will continue to apply. The national professional qualification for SENCOs </w:t>
      </w:r>
      <w:r w:rsidR="002F5421">
        <w:rPr>
          <w:rFonts w:eastAsia="Times New Roman"/>
          <w:u w:val="none"/>
          <w:lang w:eastAsia="en-GB"/>
        </w:rPr>
        <w:t xml:space="preserve">became </w:t>
      </w:r>
      <w:r w:rsidRPr="005A574B">
        <w:rPr>
          <w:rFonts w:eastAsia="Times New Roman"/>
          <w:u w:val="none"/>
          <w:lang w:eastAsia="en-GB"/>
        </w:rPr>
        <w:t xml:space="preserve">available from autumn 2024 and the following website updated with further </w:t>
      </w:r>
      <w:proofErr w:type="gramStart"/>
      <w:r w:rsidRPr="005A574B">
        <w:rPr>
          <w:rFonts w:eastAsia="Times New Roman"/>
          <w:u w:val="none"/>
          <w:lang w:eastAsia="en-GB"/>
        </w:rPr>
        <w:t>details :</w:t>
      </w:r>
      <w:proofErr w:type="gramEnd"/>
      <w:r w:rsidRPr="005A574B">
        <w:rPr>
          <w:rFonts w:eastAsia="Times New Roman"/>
          <w:u w:val="none"/>
          <w:lang w:eastAsia="en-GB"/>
        </w:rPr>
        <w:t xml:space="preserve"> </w:t>
      </w:r>
      <w:r w:rsidR="00201947" w:rsidRPr="005A574B">
        <w:rPr>
          <w:rFonts w:eastAsia="Times New Roman"/>
          <w:u w:val="none"/>
          <w:lang w:eastAsia="en-GB"/>
        </w:rPr>
        <w:t xml:space="preserve"> </w:t>
      </w:r>
      <w:hyperlink w:history="1">
        <w:r w:rsidR="00201947" w:rsidRPr="005A574B">
          <w:rPr>
            <w:rStyle w:val="Hyperlink"/>
            <w:rFonts w:eastAsia="Times New Roman"/>
            <w:lang w:eastAsia="en-GB"/>
          </w:rPr>
          <w:t>Transition to national professional qualification for special educational needs co-ordinators - GOV.UK (www.gov.uk)</w:t>
        </w:r>
      </w:hyperlink>
    </w:p>
    <w:p w14:paraId="4D1539EE" w14:textId="0F87645D" w:rsidR="00AA6884" w:rsidRPr="0034631F" w:rsidRDefault="00AA6884" w:rsidP="00AA6884">
      <w:pPr>
        <w:shd w:val="clear" w:color="auto" w:fill="FFFFFF"/>
        <w:spacing w:before="300" w:after="300" w:line="240" w:lineRule="auto"/>
        <w:rPr>
          <w:rFonts w:eastAsia="Times New Roman"/>
          <w:u w:val="none"/>
          <w:lang w:eastAsia="en-GB"/>
        </w:rPr>
      </w:pPr>
      <w:r w:rsidRPr="005A574B">
        <w:rPr>
          <w:rFonts w:eastAsia="Times New Roman"/>
          <w:u w:val="none"/>
          <w:lang w:eastAsia="en-GB"/>
        </w:rPr>
        <w:t>The</w:t>
      </w:r>
      <w:r w:rsidRPr="005A574B">
        <w:rPr>
          <w:rFonts w:eastAsia="Times New Roman"/>
          <w:color w:val="000000"/>
          <w:u w:val="none"/>
          <w:shd w:val="clear" w:color="auto" w:fill="FFFFFF"/>
          <w:lang w:eastAsia="en-GB"/>
        </w:rPr>
        <w:t xml:space="preserve">  </w:t>
      </w:r>
      <w:hyperlink r:id="rId28" w:history="1">
        <w:r w:rsidRPr="005A574B">
          <w:rPr>
            <w:rFonts w:eastAsia="Times New Roman"/>
            <w:color w:val="0000FF"/>
            <w:lang w:eastAsia="en-GB"/>
          </w:rPr>
          <w:t>The Special Educational Needs and Disability Regulations 2014 (legislation.gov.uk)</w:t>
        </w:r>
      </w:hyperlink>
      <w:r w:rsidRPr="005A574B">
        <w:rPr>
          <w:rFonts w:eastAsia="Times New Roman"/>
          <w:color w:val="000000"/>
          <w:u w:val="none"/>
          <w:shd w:val="clear" w:color="auto" w:fill="FFFFFF"/>
          <w:lang w:eastAsia="en-GB"/>
        </w:rPr>
        <w:t>  </w:t>
      </w:r>
      <w:r w:rsidR="002F5421">
        <w:rPr>
          <w:rFonts w:eastAsia="Times New Roman"/>
          <w:color w:val="000000"/>
          <w:u w:val="none"/>
          <w:shd w:val="clear" w:color="auto" w:fill="FFFFFF"/>
          <w:lang w:eastAsia="en-GB"/>
        </w:rPr>
        <w:t xml:space="preserve">has also been updated </w:t>
      </w:r>
      <w:r w:rsidRPr="005A574B">
        <w:rPr>
          <w:rFonts w:eastAsia="Times New Roman"/>
          <w:u w:val="none"/>
          <w:shd w:val="clear" w:color="auto" w:fill="FFFFFF"/>
          <w:lang w:eastAsia="en-GB"/>
        </w:rPr>
        <w:t xml:space="preserve">to reflect the change to the mandatory qualification. If you require further information or clarity on how this might affect your </w:t>
      </w:r>
      <w:proofErr w:type="gramStart"/>
      <w:r w:rsidRPr="005A574B">
        <w:rPr>
          <w:rFonts w:eastAsia="Times New Roman"/>
          <w:u w:val="none"/>
          <w:shd w:val="clear" w:color="auto" w:fill="FFFFFF"/>
          <w:lang w:eastAsia="en-GB"/>
        </w:rPr>
        <w:t>school</w:t>
      </w:r>
      <w:proofErr w:type="gramEnd"/>
      <w:r w:rsidRPr="005A574B">
        <w:rPr>
          <w:rFonts w:eastAsia="Times New Roman"/>
          <w:u w:val="none"/>
          <w:shd w:val="clear" w:color="auto" w:fill="FFFFFF"/>
          <w:lang w:eastAsia="en-GB"/>
        </w:rPr>
        <w:t xml:space="preserve"> please contact </w:t>
      </w:r>
      <w:hyperlink r:id="rId29" w:history="1">
        <w:r w:rsidRPr="005A574B">
          <w:rPr>
            <w:rFonts w:eastAsia="Times New Roman"/>
            <w:color w:val="0000FF"/>
            <w:shd w:val="clear" w:color="auto" w:fill="FFFFFF"/>
            <w:lang w:eastAsia="en-GB"/>
          </w:rPr>
          <w:t>peter.higgins@nottscc.gov.uk</w:t>
        </w:r>
      </w:hyperlink>
      <w:r w:rsidRPr="005A574B">
        <w:rPr>
          <w:rFonts w:eastAsia="Times New Roman"/>
          <w:color w:val="000000"/>
          <w:u w:val="none"/>
          <w:shd w:val="clear" w:color="auto" w:fill="FFFFFF"/>
          <w:lang w:eastAsia="en-GB"/>
        </w:rPr>
        <w:t xml:space="preserve"> </w:t>
      </w:r>
      <w:r w:rsidRPr="005A574B">
        <w:rPr>
          <w:rFonts w:eastAsia="Times New Roman"/>
          <w:u w:val="none"/>
          <w:shd w:val="clear" w:color="auto" w:fill="FFFFFF"/>
          <w:lang w:eastAsia="en-GB"/>
        </w:rPr>
        <w:t>the Nottinghamshire County Council SEND Education Improvement Adviser.</w:t>
      </w:r>
    </w:p>
    <w:bookmarkEnd w:id="5"/>
    <w:p w14:paraId="1B23A613" w14:textId="77777777" w:rsidR="00A40D8A" w:rsidRPr="00F406FB" w:rsidRDefault="004526EB" w:rsidP="005B662D">
      <w:pPr>
        <w:spacing w:after="0"/>
        <w:ind w:left="284" w:hanging="284"/>
        <w:jc w:val="both"/>
        <w:rPr>
          <w:b/>
          <w:bCs/>
          <w:u w:val="none"/>
        </w:rPr>
      </w:pPr>
      <w:r w:rsidRPr="00F406FB">
        <w:rPr>
          <w:b/>
          <w:bCs/>
          <w:u w:val="none"/>
        </w:rPr>
        <w:t xml:space="preserve">Pay Policy Paragraph 19.0 - </w:t>
      </w:r>
      <w:r w:rsidR="00185902" w:rsidRPr="00F406FB">
        <w:rPr>
          <w:b/>
          <w:bCs/>
          <w:u w:val="none"/>
        </w:rPr>
        <w:t>Acting Up Allowances and Honoraria Payments</w:t>
      </w:r>
    </w:p>
    <w:p w14:paraId="41A6E1A5" w14:textId="77777777" w:rsidR="002D1FDD" w:rsidRPr="00F406FB" w:rsidRDefault="002D1FDD" w:rsidP="00396DA7">
      <w:pPr>
        <w:spacing w:after="0"/>
        <w:ind w:left="284" w:hanging="720"/>
        <w:jc w:val="both"/>
        <w:rPr>
          <w:b/>
          <w:bCs/>
          <w:u w:val="none"/>
        </w:rPr>
      </w:pPr>
    </w:p>
    <w:p w14:paraId="42E8AB2A" w14:textId="6EDA7BCF" w:rsidR="005C5C1A" w:rsidRPr="00F406FB" w:rsidRDefault="002D1FDD" w:rsidP="00106166">
      <w:pPr>
        <w:spacing w:after="0"/>
        <w:jc w:val="both"/>
        <w:rPr>
          <w:u w:val="none"/>
        </w:rPr>
      </w:pPr>
      <w:r w:rsidRPr="00F406FB">
        <w:rPr>
          <w:u w:val="none"/>
        </w:rPr>
        <w:t xml:space="preserve">Honorarium payments are not payable to teachers under </w:t>
      </w:r>
      <w:r w:rsidRPr="00F406FB">
        <w:t>any</w:t>
      </w:r>
      <w:r w:rsidRPr="00F406FB">
        <w:rPr>
          <w:u w:val="none"/>
        </w:rPr>
        <w:t xml:space="preserve"> circumstances. </w:t>
      </w:r>
      <w:r w:rsidR="00185902" w:rsidRPr="00F406FB">
        <w:rPr>
          <w:u w:val="none"/>
        </w:rPr>
        <w:t>The value of any “acting up” allowance payable to a teacher will be d</w:t>
      </w:r>
      <w:r w:rsidR="00965CA6" w:rsidRPr="00F406FB">
        <w:rPr>
          <w:u w:val="none"/>
        </w:rPr>
        <w:t xml:space="preserve">etermined by the governing body </w:t>
      </w:r>
      <w:r w:rsidR="00185902" w:rsidRPr="00F406FB">
        <w:rPr>
          <w:u w:val="none"/>
        </w:rPr>
        <w:t xml:space="preserve">(STPCD paragraph 23.3). </w:t>
      </w:r>
      <w:r w:rsidR="00965CA6" w:rsidRPr="00F406FB">
        <w:rPr>
          <w:u w:val="none"/>
        </w:rPr>
        <w:t xml:space="preserve"> </w:t>
      </w:r>
      <w:r w:rsidR="00185902" w:rsidRPr="00F406FB">
        <w:rPr>
          <w:u w:val="none"/>
        </w:rPr>
        <w:t xml:space="preserve">Where a teacher is assigned and carries out the duties of the headteacher, deputy headteacher or assistant headteacher the pay determined will not be lower than the minimum of that </w:t>
      </w:r>
      <w:r w:rsidR="005557DE" w:rsidRPr="00F406FB">
        <w:rPr>
          <w:u w:val="none"/>
        </w:rPr>
        <w:t>IPR</w:t>
      </w:r>
      <w:r w:rsidR="00185902" w:rsidRPr="00F406FB">
        <w:rPr>
          <w:u w:val="none"/>
        </w:rPr>
        <w:t xml:space="preserve">. </w:t>
      </w:r>
      <w:r w:rsidR="00965CA6" w:rsidRPr="00F406FB">
        <w:rPr>
          <w:u w:val="none"/>
        </w:rPr>
        <w:t xml:space="preserve"> </w:t>
      </w:r>
      <w:r w:rsidR="00185902" w:rsidRPr="00F406FB">
        <w:rPr>
          <w:u w:val="none"/>
        </w:rPr>
        <w:t xml:space="preserve">Where any teacher acts up to a leadership post </w:t>
      </w:r>
      <w:r w:rsidR="005B662D" w:rsidRPr="00F406FB">
        <w:rPr>
          <w:u w:val="none"/>
        </w:rPr>
        <w:t xml:space="preserve">the </w:t>
      </w:r>
      <w:r w:rsidR="00185902" w:rsidRPr="00F406FB">
        <w:rPr>
          <w:u w:val="none"/>
        </w:rPr>
        <w:t xml:space="preserve">full contractual requirements associated with the level of pay will apply (STPCD 23.6). </w:t>
      </w:r>
    </w:p>
    <w:p w14:paraId="72FB39AE" w14:textId="77777777" w:rsidR="00185902" w:rsidRPr="00F406FB" w:rsidRDefault="00185902" w:rsidP="005B662D">
      <w:pPr>
        <w:spacing w:after="0"/>
        <w:jc w:val="both"/>
        <w:rPr>
          <w:u w:val="none"/>
        </w:rPr>
      </w:pPr>
    </w:p>
    <w:p w14:paraId="2AE0B6BB" w14:textId="77777777" w:rsidR="00185902" w:rsidRPr="00F406FB" w:rsidRDefault="00185902" w:rsidP="00106166">
      <w:pPr>
        <w:spacing w:after="0"/>
        <w:jc w:val="both"/>
      </w:pPr>
      <w:r w:rsidRPr="00F406FB">
        <w:t>Paragraph 19.1 – Support Staff Honoraria Payments</w:t>
      </w:r>
      <w:r w:rsidR="000C3D02" w:rsidRPr="00F406FB">
        <w:t xml:space="preserve"> </w:t>
      </w:r>
      <w:r w:rsidR="00900B18" w:rsidRPr="00F406FB">
        <w:t>(Support staff only)</w:t>
      </w:r>
    </w:p>
    <w:p w14:paraId="09CEFAC7" w14:textId="77777777" w:rsidR="002D1FDD" w:rsidRPr="00F406FB" w:rsidRDefault="002D1FDD" w:rsidP="00106166">
      <w:pPr>
        <w:spacing w:after="0"/>
        <w:jc w:val="both"/>
        <w:rPr>
          <w:u w:val="none"/>
        </w:rPr>
      </w:pPr>
    </w:p>
    <w:p w14:paraId="64776BC6" w14:textId="0A71D3EB" w:rsidR="002D1FDD" w:rsidRPr="00F406FB" w:rsidRDefault="00185902" w:rsidP="00106166">
      <w:pPr>
        <w:spacing w:after="0"/>
        <w:jc w:val="both"/>
        <w:rPr>
          <w:u w:val="none"/>
        </w:rPr>
      </w:pPr>
      <w:r w:rsidRPr="00F406FB">
        <w:rPr>
          <w:u w:val="none"/>
        </w:rPr>
        <w:t xml:space="preserve">Where it is deemed appropriate the governing body </w:t>
      </w:r>
      <w:r w:rsidR="00B77058" w:rsidRPr="00F406FB">
        <w:rPr>
          <w:u w:val="none"/>
        </w:rPr>
        <w:t>may</w:t>
      </w:r>
      <w:r w:rsidRPr="00F406FB">
        <w:rPr>
          <w:u w:val="none"/>
        </w:rPr>
        <w:t xml:space="preserve"> make an honorarium payment to a member of the support staff in line with the</w:t>
      </w:r>
      <w:r w:rsidR="002D1FDD" w:rsidRPr="00F406FB">
        <w:rPr>
          <w:u w:val="none"/>
        </w:rPr>
        <w:t xml:space="preserve"> following</w:t>
      </w:r>
      <w:r w:rsidR="00333601">
        <w:rPr>
          <w:u w:val="none"/>
        </w:rPr>
        <w:t>:</w:t>
      </w:r>
    </w:p>
    <w:p w14:paraId="546E6FB5" w14:textId="4BDB899B" w:rsidR="00185902" w:rsidRPr="00F406FB" w:rsidRDefault="00185902" w:rsidP="00B42818">
      <w:pPr>
        <w:numPr>
          <w:ilvl w:val="0"/>
          <w:numId w:val="4"/>
        </w:numPr>
        <w:spacing w:after="0"/>
        <w:ind w:left="709" w:hanging="425"/>
        <w:jc w:val="both"/>
        <w:rPr>
          <w:u w:val="none"/>
        </w:rPr>
      </w:pPr>
      <w:r w:rsidRPr="00F406FB">
        <w:rPr>
          <w:u w:val="none"/>
        </w:rPr>
        <w:t>The total amount payable will be calculated by assessing the proportion, expressed as a percentage, of the higher graded role that is being undertaken, and multiplying this by the difference in pay between the current and higher graded role for the period of partial acting up</w:t>
      </w:r>
    </w:p>
    <w:p w14:paraId="2BC0585C" w14:textId="403AD1BB" w:rsidR="00185902" w:rsidRPr="00F406FB" w:rsidRDefault="00185902" w:rsidP="00B42818">
      <w:pPr>
        <w:pStyle w:val="NormalWeb"/>
        <w:numPr>
          <w:ilvl w:val="0"/>
          <w:numId w:val="4"/>
        </w:numPr>
        <w:spacing w:after="0" w:afterAutospacing="0" w:line="276" w:lineRule="auto"/>
        <w:ind w:left="709" w:hanging="425"/>
        <w:jc w:val="both"/>
        <w:rPr>
          <w:rFonts w:ascii="Arial" w:hAnsi="Arial" w:cs="Arial"/>
          <w:u w:val="none"/>
        </w:rPr>
      </w:pPr>
      <w:r w:rsidRPr="00F406FB">
        <w:rPr>
          <w:rFonts w:ascii="Arial" w:hAnsi="Arial" w:cs="Arial"/>
          <w:u w:val="none"/>
        </w:rPr>
        <w:t>The rate used will be the spinal column point that the individual would receive if they were appointed to the higher graded job.  This will normally be the minimum of the grade</w:t>
      </w:r>
    </w:p>
    <w:p w14:paraId="0D0A8097" w14:textId="77777777" w:rsidR="00185902" w:rsidRPr="00F406FB" w:rsidRDefault="00185902" w:rsidP="00B42818">
      <w:pPr>
        <w:pStyle w:val="NormalWeb"/>
        <w:numPr>
          <w:ilvl w:val="0"/>
          <w:numId w:val="4"/>
        </w:numPr>
        <w:spacing w:after="0" w:afterAutospacing="0" w:line="276" w:lineRule="auto"/>
        <w:ind w:left="709" w:hanging="425"/>
        <w:jc w:val="both"/>
        <w:rPr>
          <w:rFonts w:ascii="Arial" w:hAnsi="Arial" w:cs="Arial"/>
          <w:u w:val="none"/>
        </w:rPr>
      </w:pPr>
      <w:r w:rsidRPr="00F406FB">
        <w:rPr>
          <w:rFonts w:ascii="Arial" w:hAnsi="Arial" w:cs="Arial"/>
          <w:u w:val="none"/>
        </w:rPr>
        <w:t xml:space="preserve">A payment may also be appropriate where an individual </w:t>
      </w:r>
      <w:r w:rsidR="004526EB" w:rsidRPr="00F406FB">
        <w:rPr>
          <w:rFonts w:ascii="Arial" w:hAnsi="Arial" w:cs="Arial"/>
          <w:u w:val="none"/>
        </w:rPr>
        <w:t xml:space="preserve">paid </w:t>
      </w:r>
      <w:r w:rsidRPr="00F406FB">
        <w:rPr>
          <w:rFonts w:ascii="Arial" w:hAnsi="Arial" w:cs="Arial"/>
          <w:u w:val="none"/>
        </w:rPr>
        <w:t xml:space="preserve">at Hay Band E or below undertakes work from a different job type in addition to their own role, with no additional staffing resource, and that work is evaluated on the same pay </w:t>
      </w:r>
      <w:proofErr w:type="gramStart"/>
      <w:r w:rsidRPr="00F406FB">
        <w:rPr>
          <w:rFonts w:ascii="Arial" w:hAnsi="Arial" w:cs="Arial"/>
          <w:u w:val="none"/>
        </w:rPr>
        <w:t>band;</w:t>
      </w:r>
      <w:proofErr w:type="gramEnd"/>
    </w:p>
    <w:p w14:paraId="66F3D90D" w14:textId="7C94B6F0" w:rsidR="00185902" w:rsidRPr="00F406FB" w:rsidRDefault="00185902" w:rsidP="00B42818">
      <w:pPr>
        <w:pStyle w:val="NormalWeb"/>
        <w:numPr>
          <w:ilvl w:val="0"/>
          <w:numId w:val="4"/>
        </w:numPr>
        <w:spacing w:after="0" w:afterAutospacing="0" w:line="276" w:lineRule="auto"/>
        <w:ind w:left="709" w:hanging="425"/>
        <w:jc w:val="both"/>
        <w:rPr>
          <w:rFonts w:ascii="Arial" w:hAnsi="Arial" w:cs="Arial"/>
          <w:u w:val="none"/>
        </w:rPr>
      </w:pPr>
      <w:r w:rsidRPr="00F406FB">
        <w:rPr>
          <w:rFonts w:ascii="Arial" w:hAnsi="Arial" w:cs="Arial"/>
          <w:u w:val="none"/>
        </w:rPr>
        <w:t xml:space="preserve">Such honorarium payments will normally be based on 5% of the individual’s substantive pay (including any on-going salary protection) for the period of undertaking additional </w:t>
      </w:r>
      <w:r w:rsidR="009E590E" w:rsidRPr="00F406FB">
        <w:rPr>
          <w:rFonts w:ascii="Arial" w:hAnsi="Arial" w:cs="Arial"/>
          <w:u w:val="none"/>
        </w:rPr>
        <w:t>duties.</w:t>
      </w:r>
    </w:p>
    <w:p w14:paraId="33DAAA67" w14:textId="236EA925" w:rsidR="002D1FDD" w:rsidRPr="00F406FB" w:rsidRDefault="00185902" w:rsidP="00B42818">
      <w:pPr>
        <w:pStyle w:val="NormalWeb"/>
        <w:numPr>
          <w:ilvl w:val="0"/>
          <w:numId w:val="4"/>
        </w:numPr>
        <w:spacing w:after="0" w:afterAutospacing="0" w:line="276" w:lineRule="auto"/>
        <w:ind w:left="709" w:hanging="425"/>
        <w:jc w:val="both"/>
        <w:rPr>
          <w:rFonts w:ascii="Arial" w:hAnsi="Arial" w:cs="Arial"/>
          <w:u w:val="none"/>
        </w:rPr>
      </w:pPr>
      <w:r w:rsidRPr="00F406FB">
        <w:rPr>
          <w:rFonts w:ascii="Arial" w:hAnsi="Arial" w:cs="Arial"/>
          <w:u w:val="none"/>
        </w:rPr>
        <w:t>The honorarium will be paid in monthly instalments (</w:t>
      </w:r>
      <w:r w:rsidR="009E590E" w:rsidRPr="00F406FB">
        <w:rPr>
          <w:rFonts w:ascii="Arial" w:hAnsi="Arial" w:cs="Arial"/>
          <w:u w:val="none"/>
        </w:rPr>
        <w:t>backdated</w:t>
      </w:r>
      <w:r w:rsidRPr="00F406FB">
        <w:rPr>
          <w:rFonts w:ascii="Arial" w:hAnsi="Arial" w:cs="Arial"/>
          <w:u w:val="none"/>
        </w:rPr>
        <w:t xml:space="preserve"> to the start of the arrangement), particularly where there is uncertainty about the likely dur</w:t>
      </w:r>
      <w:r w:rsidR="002D1FDD" w:rsidRPr="00F406FB">
        <w:rPr>
          <w:rFonts w:ascii="Arial" w:hAnsi="Arial" w:cs="Arial"/>
          <w:u w:val="none"/>
        </w:rPr>
        <w:t>ation</w:t>
      </w:r>
      <w:r w:rsidRPr="00F406FB">
        <w:rPr>
          <w:rFonts w:ascii="Arial" w:hAnsi="Arial" w:cs="Arial"/>
          <w:u w:val="none"/>
        </w:rPr>
        <w:t>.</w:t>
      </w:r>
      <w:r w:rsidR="002D1FDD" w:rsidRPr="00F406FB">
        <w:rPr>
          <w:rFonts w:ascii="Arial" w:hAnsi="Arial" w:cs="Arial"/>
          <w:u w:val="none"/>
        </w:rPr>
        <w:br/>
      </w:r>
    </w:p>
    <w:p w14:paraId="66C813B9" w14:textId="1BEFDF3D" w:rsidR="004526EB" w:rsidRPr="00F406FB" w:rsidRDefault="004526EB" w:rsidP="00106166">
      <w:pPr>
        <w:spacing w:after="0"/>
        <w:jc w:val="both"/>
        <w:rPr>
          <w:b/>
          <w:bCs/>
          <w:u w:val="none"/>
        </w:rPr>
      </w:pPr>
      <w:r w:rsidRPr="00F406FB">
        <w:rPr>
          <w:b/>
          <w:bCs/>
          <w:u w:val="none"/>
        </w:rPr>
        <w:t>Pay Policy Paragraph 2</w:t>
      </w:r>
      <w:r w:rsidR="0034631F">
        <w:rPr>
          <w:b/>
          <w:bCs/>
          <w:u w:val="none"/>
        </w:rPr>
        <w:t>2</w:t>
      </w:r>
      <w:r w:rsidRPr="00F406FB">
        <w:rPr>
          <w:b/>
          <w:bCs/>
          <w:u w:val="none"/>
        </w:rPr>
        <w:t xml:space="preserve">.0 - </w:t>
      </w:r>
      <w:r w:rsidR="00185902" w:rsidRPr="00F406FB">
        <w:rPr>
          <w:b/>
          <w:bCs/>
          <w:u w:val="none"/>
        </w:rPr>
        <w:t>Additional Payments</w:t>
      </w:r>
      <w:r w:rsidR="004D383B" w:rsidRPr="00F406FB">
        <w:rPr>
          <w:b/>
          <w:bCs/>
          <w:u w:val="none"/>
        </w:rPr>
        <w:t xml:space="preserve"> to </w:t>
      </w:r>
      <w:r w:rsidR="00965CA6" w:rsidRPr="00F406FB">
        <w:rPr>
          <w:b/>
          <w:bCs/>
          <w:u w:val="none"/>
        </w:rPr>
        <w:t>Teachers</w:t>
      </w:r>
      <w:r w:rsidR="003376D3" w:rsidRPr="00F406FB">
        <w:rPr>
          <w:b/>
          <w:bCs/>
          <w:u w:val="none"/>
        </w:rPr>
        <w:t xml:space="preserve"> </w:t>
      </w:r>
      <w:r w:rsidR="004D383B" w:rsidRPr="00F406FB">
        <w:rPr>
          <w:b/>
          <w:bCs/>
          <w:u w:val="none"/>
        </w:rPr>
        <w:t xml:space="preserve">(other than </w:t>
      </w:r>
      <w:r w:rsidR="00406D52">
        <w:rPr>
          <w:b/>
          <w:bCs/>
          <w:u w:val="none"/>
        </w:rPr>
        <w:t>h</w:t>
      </w:r>
      <w:r w:rsidR="004D383B" w:rsidRPr="00F406FB">
        <w:rPr>
          <w:b/>
          <w:bCs/>
          <w:u w:val="none"/>
        </w:rPr>
        <w:t xml:space="preserve">eadteacher) </w:t>
      </w:r>
    </w:p>
    <w:p w14:paraId="24A98609" w14:textId="77777777" w:rsidR="00C91844" w:rsidRPr="00F406FB" w:rsidRDefault="00C91844" w:rsidP="00106166">
      <w:pPr>
        <w:spacing w:after="0"/>
        <w:jc w:val="both"/>
        <w:rPr>
          <w:u w:val="none"/>
        </w:rPr>
      </w:pPr>
    </w:p>
    <w:p w14:paraId="1687DB58" w14:textId="0A8C18DF" w:rsidR="00185902" w:rsidRPr="00F406FB" w:rsidRDefault="00185902" w:rsidP="00106166">
      <w:pPr>
        <w:spacing w:after="0"/>
        <w:jc w:val="both"/>
        <w:rPr>
          <w:u w:val="none"/>
        </w:rPr>
      </w:pPr>
      <w:r w:rsidRPr="00F406FB">
        <w:rPr>
          <w:u w:val="none"/>
        </w:rPr>
        <w:t xml:space="preserve">The STPCD does not stipulate how to calculate the payments set out in </w:t>
      </w:r>
      <w:r w:rsidR="004526EB" w:rsidRPr="00F406FB">
        <w:rPr>
          <w:u w:val="none"/>
        </w:rPr>
        <w:t>pay policy p</w:t>
      </w:r>
      <w:r w:rsidRPr="00F406FB">
        <w:rPr>
          <w:u w:val="none"/>
        </w:rPr>
        <w:t xml:space="preserve">aragraph </w:t>
      </w:r>
      <w:r w:rsidRPr="0034631F">
        <w:rPr>
          <w:color w:val="FF0000"/>
          <w:u w:val="none"/>
        </w:rPr>
        <w:t>2</w:t>
      </w:r>
      <w:r w:rsidR="0034631F" w:rsidRPr="0034631F">
        <w:rPr>
          <w:color w:val="FF0000"/>
          <w:u w:val="none"/>
        </w:rPr>
        <w:t>2</w:t>
      </w:r>
      <w:r w:rsidR="00B77058" w:rsidRPr="0034631F">
        <w:rPr>
          <w:color w:val="FF0000"/>
          <w:u w:val="none"/>
        </w:rPr>
        <w:t>.</w:t>
      </w:r>
      <w:r w:rsidR="009521A5" w:rsidRPr="0034631F">
        <w:rPr>
          <w:color w:val="FF0000"/>
          <w:u w:val="none"/>
        </w:rPr>
        <w:t>0.</w:t>
      </w:r>
      <w:r w:rsidR="00B77058" w:rsidRPr="0034631F">
        <w:rPr>
          <w:color w:val="FF0000"/>
          <w:u w:val="none"/>
        </w:rPr>
        <w:t xml:space="preserve"> </w:t>
      </w:r>
      <w:r w:rsidRPr="0034631F">
        <w:rPr>
          <w:color w:val="FF0000"/>
          <w:u w:val="none"/>
        </w:rPr>
        <w:t xml:space="preserve"> </w:t>
      </w:r>
      <w:r w:rsidRPr="00F406FB">
        <w:rPr>
          <w:u w:val="none"/>
        </w:rPr>
        <w:t>It is ther</w:t>
      </w:r>
      <w:r w:rsidR="002D1FDD" w:rsidRPr="00F406FB">
        <w:rPr>
          <w:u w:val="none"/>
        </w:rPr>
        <w:t>efore for the governing body to</w:t>
      </w:r>
      <w:r w:rsidR="009F0BCF">
        <w:rPr>
          <w:u w:val="none"/>
        </w:rPr>
        <w:t>:</w:t>
      </w:r>
    </w:p>
    <w:p w14:paraId="74F66ACD" w14:textId="77777777" w:rsidR="00C91844" w:rsidRPr="00F406FB" w:rsidRDefault="00C91844" w:rsidP="00106166">
      <w:pPr>
        <w:spacing w:after="0"/>
        <w:jc w:val="both"/>
        <w:rPr>
          <w:u w:val="none"/>
        </w:rPr>
      </w:pPr>
    </w:p>
    <w:p w14:paraId="2C6C1E47" w14:textId="471B8173" w:rsidR="00185902" w:rsidRPr="00F406FB" w:rsidRDefault="00185902" w:rsidP="00B42818">
      <w:pPr>
        <w:numPr>
          <w:ilvl w:val="0"/>
          <w:numId w:val="5"/>
        </w:numPr>
        <w:tabs>
          <w:tab w:val="clear" w:pos="1080"/>
          <w:tab w:val="num" w:pos="709"/>
        </w:tabs>
        <w:spacing w:after="0"/>
        <w:ind w:left="709" w:hanging="425"/>
        <w:jc w:val="both"/>
        <w:rPr>
          <w:u w:val="none"/>
        </w:rPr>
      </w:pPr>
      <w:r w:rsidRPr="00F406FB">
        <w:rPr>
          <w:u w:val="none"/>
        </w:rPr>
        <w:t xml:space="preserve">Determine </w:t>
      </w:r>
      <w:r w:rsidR="009E590E" w:rsidRPr="00F406FB">
        <w:rPr>
          <w:u w:val="none"/>
        </w:rPr>
        <w:t>whether</w:t>
      </w:r>
      <w:r w:rsidRPr="00F406FB">
        <w:rPr>
          <w:u w:val="none"/>
        </w:rPr>
        <w:t xml:space="preserve"> such payments will be made and for what activities</w:t>
      </w:r>
    </w:p>
    <w:p w14:paraId="4AD26189" w14:textId="5662373B" w:rsidR="00185902" w:rsidRPr="00F406FB" w:rsidRDefault="00185902" w:rsidP="00B42818">
      <w:pPr>
        <w:numPr>
          <w:ilvl w:val="0"/>
          <w:numId w:val="5"/>
        </w:numPr>
        <w:tabs>
          <w:tab w:val="clear" w:pos="1080"/>
          <w:tab w:val="num" w:pos="709"/>
        </w:tabs>
        <w:spacing w:after="0"/>
        <w:ind w:left="709" w:hanging="425"/>
        <w:jc w:val="both"/>
        <w:rPr>
          <w:u w:val="none"/>
        </w:rPr>
      </w:pPr>
      <w:r w:rsidRPr="00F406FB">
        <w:rPr>
          <w:u w:val="none"/>
        </w:rPr>
        <w:t>The value of such payments</w:t>
      </w:r>
    </w:p>
    <w:p w14:paraId="03F49326" w14:textId="77777777" w:rsidR="00185902" w:rsidRPr="00F406FB" w:rsidRDefault="00185902" w:rsidP="00B42818">
      <w:pPr>
        <w:numPr>
          <w:ilvl w:val="0"/>
          <w:numId w:val="5"/>
        </w:numPr>
        <w:tabs>
          <w:tab w:val="clear" w:pos="1080"/>
          <w:tab w:val="num" w:pos="709"/>
        </w:tabs>
        <w:spacing w:after="0"/>
        <w:ind w:left="709" w:hanging="425"/>
        <w:jc w:val="both"/>
        <w:rPr>
          <w:u w:val="none"/>
        </w:rPr>
      </w:pPr>
      <w:r w:rsidRPr="00F406FB">
        <w:rPr>
          <w:u w:val="none"/>
        </w:rPr>
        <w:lastRenderedPageBreak/>
        <w:t>Make sure that the basis of all payments made to teachers is clear and are documented</w:t>
      </w:r>
      <w:r w:rsidR="00965CA6" w:rsidRPr="00F406FB">
        <w:rPr>
          <w:u w:val="none"/>
        </w:rPr>
        <w:t>; and</w:t>
      </w:r>
    </w:p>
    <w:p w14:paraId="58BDCC21" w14:textId="77777777" w:rsidR="00185902" w:rsidRPr="00F406FB" w:rsidRDefault="00185902" w:rsidP="00B42818">
      <w:pPr>
        <w:numPr>
          <w:ilvl w:val="0"/>
          <w:numId w:val="5"/>
        </w:numPr>
        <w:tabs>
          <w:tab w:val="clear" w:pos="1080"/>
          <w:tab w:val="num" w:pos="709"/>
        </w:tabs>
        <w:spacing w:after="0"/>
        <w:ind w:left="709" w:hanging="425"/>
        <w:jc w:val="both"/>
        <w:rPr>
          <w:u w:val="none"/>
        </w:rPr>
      </w:pPr>
      <w:r w:rsidRPr="00F406FB">
        <w:rPr>
          <w:u w:val="none"/>
        </w:rPr>
        <w:t xml:space="preserve">Make sure they do not exceed the overall limits as set out in the STPCD. </w:t>
      </w:r>
    </w:p>
    <w:p w14:paraId="044CF817" w14:textId="03DE5F8A" w:rsidR="00C0767A" w:rsidRPr="00F406FB" w:rsidRDefault="00185902" w:rsidP="00106166">
      <w:pPr>
        <w:spacing w:after="0"/>
        <w:jc w:val="both"/>
        <w:rPr>
          <w:u w:val="none"/>
        </w:rPr>
      </w:pPr>
      <w:r w:rsidRPr="00F406FB">
        <w:rPr>
          <w:u w:val="none"/>
        </w:rPr>
        <w:br/>
        <w:t xml:space="preserve">The overriding requirement is for any </w:t>
      </w:r>
      <w:r w:rsidR="00C0767A" w:rsidRPr="00F406FB">
        <w:rPr>
          <w:u w:val="none"/>
        </w:rPr>
        <w:t xml:space="preserve">additional </w:t>
      </w:r>
      <w:r w:rsidRPr="00F406FB">
        <w:rPr>
          <w:u w:val="none"/>
        </w:rPr>
        <w:t xml:space="preserve">payments </w:t>
      </w:r>
      <w:r w:rsidR="00C0767A" w:rsidRPr="00F406FB">
        <w:rPr>
          <w:u w:val="none"/>
        </w:rPr>
        <w:t xml:space="preserve">allowed for under </w:t>
      </w:r>
      <w:r w:rsidR="009521A5" w:rsidRPr="00F406FB">
        <w:rPr>
          <w:u w:val="none"/>
        </w:rPr>
        <w:t>STPCD paragraph 26.1</w:t>
      </w:r>
      <w:r w:rsidR="00C0767A" w:rsidRPr="00F406FB">
        <w:rPr>
          <w:u w:val="none"/>
        </w:rPr>
        <w:t xml:space="preserve"> </w:t>
      </w:r>
      <w:proofErr w:type="spellStart"/>
      <w:proofErr w:type="gramStart"/>
      <w:r w:rsidR="00C0767A" w:rsidRPr="00F406FB">
        <w:rPr>
          <w:u w:val="none"/>
        </w:rPr>
        <w:t>a,b</w:t>
      </w:r>
      <w:proofErr w:type="gramEnd"/>
      <w:r w:rsidR="00C0767A" w:rsidRPr="00F406FB">
        <w:rPr>
          <w:u w:val="none"/>
        </w:rPr>
        <w:t>,</w:t>
      </w:r>
      <w:proofErr w:type="gramStart"/>
      <w:r w:rsidR="00C0767A" w:rsidRPr="00F406FB">
        <w:rPr>
          <w:u w:val="none"/>
        </w:rPr>
        <w:t>c,d</w:t>
      </w:r>
      <w:proofErr w:type="spellEnd"/>
      <w:proofErr w:type="gramEnd"/>
      <w:r w:rsidR="00C0767A" w:rsidRPr="00F406FB">
        <w:rPr>
          <w:u w:val="none"/>
        </w:rPr>
        <w:t xml:space="preserve"> </w:t>
      </w:r>
      <w:r w:rsidRPr="00F406FB">
        <w:rPr>
          <w:u w:val="none"/>
        </w:rPr>
        <w:t xml:space="preserve">to be set out in the school pay policy and to be fair and equitable. </w:t>
      </w:r>
      <w:r w:rsidR="002D1FDD" w:rsidRPr="00F406FB">
        <w:rPr>
          <w:u w:val="none"/>
        </w:rPr>
        <w:t xml:space="preserve"> </w:t>
      </w:r>
      <w:r w:rsidR="00C0767A" w:rsidRPr="00F406FB">
        <w:rPr>
          <w:u w:val="none"/>
        </w:rPr>
        <w:t>The governing body may make payments to a teacher (</w:t>
      </w:r>
      <w:r w:rsidR="002D1FDD" w:rsidRPr="00F406FB">
        <w:rPr>
          <w:u w:val="none"/>
        </w:rPr>
        <w:t xml:space="preserve">not </w:t>
      </w:r>
      <w:r w:rsidR="004D383B" w:rsidRPr="00F406FB">
        <w:rPr>
          <w:u w:val="none"/>
        </w:rPr>
        <w:t xml:space="preserve">applicable to headteacher) </w:t>
      </w:r>
      <w:r w:rsidR="002D1FDD" w:rsidRPr="00F406FB">
        <w:rPr>
          <w:u w:val="none"/>
        </w:rPr>
        <w:t>in respect of</w:t>
      </w:r>
      <w:r w:rsidR="009521A5" w:rsidRPr="00F406FB">
        <w:rPr>
          <w:u w:val="none"/>
        </w:rPr>
        <w:t>:</w:t>
      </w:r>
    </w:p>
    <w:p w14:paraId="17D645A0" w14:textId="77777777" w:rsidR="009521A5" w:rsidRPr="00F406FB" w:rsidRDefault="009521A5" w:rsidP="00396DA7">
      <w:pPr>
        <w:spacing w:after="0"/>
        <w:ind w:left="284"/>
        <w:jc w:val="both"/>
        <w:rPr>
          <w:u w:val="none"/>
        </w:rPr>
      </w:pPr>
    </w:p>
    <w:p w14:paraId="1239D89B" w14:textId="11303843" w:rsidR="00185902" w:rsidRPr="00F406FB" w:rsidRDefault="00185902" w:rsidP="00B42818">
      <w:pPr>
        <w:numPr>
          <w:ilvl w:val="0"/>
          <w:numId w:val="6"/>
        </w:numPr>
        <w:tabs>
          <w:tab w:val="clear" w:pos="1140"/>
          <w:tab w:val="num" w:pos="709"/>
        </w:tabs>
        <w:spacing w:after="0"/>
        <w:ind w:left="709" w:hanging="425"/>
        <w:jc w:val="both"/>
        <w:rPr>
          <w:u w:val="none"/>
        </w:rPr>
      </w:pPr>
      <w:r w:rsidRPr="00F406FB">
        <w:rPr>
          <w:u w:val="none"/>
        </w:rPr>
        <w:t xml:space="preserve">Continuing Professional Development </w:t>
      </w:r>
      <w:r w:rsidR="00C0767A" w:rsidRPr="00F406FB">
        <w:rPr>
          <w:u w:val="none"/>
        </w:rPr>
        <w:t xml:space="preserve">undertaken outside of the school day </w:t>
      </w:r>
      <w:r w:rsidRPr="00F406FB">
        <w:rPr>
          <w:u w:val="none"/>
        </w:rPr>
        <w:t>– Some teachers may not wish, or be able, to attend training courses in the evenings, at weekends or in the school holidays and the school should respect the right of individuals to make their own choice and should be voluntary.  Payment to classroom teachers should only be made in respect of those activities undertaken outside of either the 1265 hours directed time, or the appropriate proportion for part time teachers</w:t>
      </w:r>
    </w:p>
    <w:p w14:paraId="50375EBE" w14:textId="4DFFA954" w:rsidR="00185902" w:rsidRPr="00F406FB" w:rsidRDefault="00185902" w:rsidP="00B42818">
      <w:pPr>
        <w:numPr>
          <w:ilvl w:val="0"/>
          <w:numId w:val="6"/>
        </w:numPr>
        <w:tabs>
          <w:tab w:val="clear" w:pos="1140"/>
          <w:tab w:val="num" w:pos="709"/>
        </w:tabs>
        <w:spacing w:after="0"/>
        <w:ind w:left="709" w:hanging="425"/>
        <w:jc w:val="both"/>
        <w:rPr>
          <w:u w:val="none"/>
        </w:rPr>
      </w:pPr>
      <w:r w:rsidRPr="00F406FB">
        <w:rPr>
          <w:u w:val="none"/>
        </w:rPr>
        <w:t xml:space="preserve">Initial Teacher Training (ITT) activities – Except for those teachers employed as leading practitioners, who may be required to carry out this duty as part of their role, teachers undertaking </w:t>
      </w:r>
      <w:r w:rsidR="009E590E" w:rsidRPr="00F406FB">
        <w:rPr>
          <w:u w:val="none"/>
        </w:rPr>
        <w:t>school-based</w:t>
      </w:r>
      <w:r w:rsidRPr="00F406FB">
        <w:rPr>
          <w:u w:val="none"/>
        </w:rPr>
        <w:t xml:space="preserve"> ITT activities do so on an entirely voluntary basis.  These activities might include supervising and observing teaching practice, giving feedback to students on their performance and acting as professional tutors; running seminars or tutorials on aspects of the course; and formally assessing students’ competence; planning and preparing materials for an ITT course and or taking responsibility for the wellbeing and tuition of ITT students</w:t>
      </w:r>
      <w:r w:rsidR="00A654DE">
        <w:rPr>
          <w:u w:val="none"/>
        </w:rPr>
        <w:t>.</w:t>
      </w:r>
    </w:p>
    <w:p w14:paraId="496CCD8A" w14:textId="2A85AE48" w:rsidR="00185902" w:rsidRDefault="00185902" w:rsidP="00536B68">
      <w:pPr>
        <w:numPr>
          <w:ilvl w:val="0"/>
          <w:numId w:val="6"/>
        </w:numPr>
        <w:tabs>
          <w:tab w:val="clear" w:pos="1140"/>
          <w:tab w:val="num" w:pos="709"/>
        </w:tabs>
        <w:spacing w:after="0"/>
        <w:ind w:left="709" w:hanging="425"/>
        <w:jc w:val="both"/>
        <w:rPr>
          <w:u w:val="none"/>
        </w:rPr>
      </w:pPr>
      <w:r w:rsidRPr="00406D52">
        <w:rPr>
          <w:u w:val="none"/>
        </w:rPr>
        <w:t>Out of school hours learning activities – Payments to teachers who agree to participate in out of school hours learning activities should only be made in respect of activities undertaken outside of either the 1265 hours of directed time or the appropriate proportion for part time staff.  Activities should require the exercise of a teacher’s professional skills or judgement.</w:t>
      </w:r>
      <w:r w:rsidR="007B6D47" w:rsidRPr="00406D52">
        <w:rPr>
          <w:u w:val="none"/>
        </w:rPr>
        <w:t xml:space="preserve"> </w:t>
      </w:r>
    </w:p>
    <w:p w14:paraId="06454571" w14:textId="77777777" w:rsidR="00406D52" w:rsidRPr="00705394" w:rsidRDefault="00406D52" w:rsidP="00406D52">
      <w:pPr>
        <w:spacing w:after="0"/>
        <w:ind w:left="709"/>
        <w:jc w:val="both"/>
        <w:rPr>
          <w:u w:val="none"/>
        </w:rPr>
      </w:pPr>
    </w:p>
    <w:p w14:paraId="2CF61591" w14:textId="15259E5A" w:rsidR="0047018B" w:rsidRPr="00705394" w:rsidRDefault="0047018B" w:rsidP="0047018B">
      <w:pPr>
        <w:tabs>
          <w:tab w:val="num" w:pos="720"/>
        </w:tabs>
        <w:spacing w:after="0" w:line="240" w:lineRule="auto"/>
        <w:jc w:val="both"/>
        <w:rPr>
          <w:u w:val="none"/>
        </w:rPr>
      </w:pPr>
      <w:r w:rsidRPr="00705394">
        <w:rPr>
          <w:u w:val="none"/>
        </w:rPr>
        <w:t>In line with paragraph 2</w:t>
      </w:r>
      <w:r w:rsidR="00406D52" w:rsidRPr="00705394">
        <w:rPr>
          <w:u w:val="none"/>
        </w:rPr>
        <w:t>2.0</w:t>
      </w:r>
      <w:r w:rsidRPr="00705394">
        <w:rPr>
          <w:u w:val="none"/>
        </w:rPr>
        <w:t>, t</w:t>
      </w:r>
      <w:r w:rsidR="00185902" w:rsidRPr="00705394">
        <w:rPr>
          <w:u w:val="none"/>
        </w:rPr>
        <w:t>he pay policy recommends that the additional payments a, b and c are calculated at an hourly/daily rate according to the teachers’ individual salary point.</w:t>
      </w:r>
      <w:r w:rsidRPr="00705394">
        <w:rPr>
          <w:u w:val="none"/>
        </w:rPr>
        <w:t xml:space="preserve"> However, the governing body should </w:t>
      </w:r>
      <w:r w:rsidR="00E9362F" w:rsidRPr="00705394">
        <w:rPr>
          <w:u w:val="none"/>
        </w:rPr>
        <w:t xml:space="preserve">consider </w:t>
      </w:r>
      <w:r w:rsidRPr="00705394">
        <w:rPr>
          <w:u w:val="none"/>
        </w:rPr>
        <w:t xml:space="preserve">the </w:t>
      </w:r>
      <w:r w:rsidR="00E9362F" w:rsidRPr="00705394">
        <w:rPr>
          <w:u w:val="none"/>
        </w:rPr>
        <w:t xml:space="preserve">level of responsibility of the </w:t>
      </w:r>
      <w:r w:rsidRPr="00705394">
        <w:rPr>
          <w:u w:val="none"/>
        </w:rPr>
        <w:t>work and where the governing body determine otherwise, this section should be amended to set out the basis of the payment(s) agreed</w:t>
      </w:r>
    </w:p>
    <w:p w14:paraId="015E2A05" w14:textId="77777777" w:rsidR="0047018B" w:rsidRPr="00705394" w:rsidRDefault="0047018B" w:rsidP="0047018B">
      <w:pPr>
        <w:tabs>
          <w:tab w:val="num" w:pos="720"/>
        </w:tabs>
        <w:spacing w:after="0" w:line="240" w:lineRule="auto"/>
        <w:jc w:val="both"/>
        <w:rPr>
          <w:rFonts w:eastAsia="Times New Roman" w:cs="Times New Roman"/>
          <w:szCs w:val="20"/>
          <w:u w:val="none"/>
          <w:lang w:eastAsia="en-GB"/>
        </w:rPr>
      </w:pPr>
    </w:p>
    <w:p w14:paraId="2E126563" w14:textId="74650C8B" w:rsidR="00E9362F" w:rsidRPr="00705394" w:rsidRDefault="00E9362F" w:rsidP="0047018B">
      <w:pPr>
        <w:spacing w:after="0" w:line="240" w:lineRule="auto"/>
        <w:jc w:val="both"/>
        <w:rPr>
          <w:u w:val="none"/>
        </w:rPr>
      </w:pPr>
      <w:r w:rsidRPr="00705394">
        <w:rPr>
          <w:u w:val="none"/>
        </w:rPr>
        <w:t>The school must decide the hourly payment for teachers who work additional hours as part of the school led tuition programme for catch up.</w:t>
      </w:r>
      <w:r w:rsidR="000E17C1" w:rsidRPr="00705394">
        <w:rPr>
          <w:u w:val="none"/>
        </w:rPr>
        <w:t xml:space="preserve"> The </w:t>
      </w:r>
      <w:r w:rsidRPr="00705394">
        <w:rPr>
          <w:u w:val="none"/>
        </w:rPr>
        <w:t xml:space="preserve">governing body </w:t>
      </w:r>
      <w:r w:rsidR="005775FC" w:rsidRPr="00705394">
        <w:rPr>
          <w:b/>
          <w:bCs/>
          <w:u w:val="none"/>
        </w:rPr>
        <w:t>must</w:t>
      </w:r>
      <w:r w:rsidR="005775FC" w:rsidRPr="00705394">
        <w:rPr>
          <w:u w:val="none"/>
        </w:rPr>
        <w:t xml:space="preserve"> </w:t>
      </w:r>
      <w:r w:rsidRPr="00705394">
        <w:rPr>
          <w:u w:val="none"/>
        </w:rPr>
        <w:t xml:space="preserve">decide whether all qualified teachers are paid on either: </w:t>
      </w:r>
    </w:p>
    <w:p w14:paraId="2759E882" w14:textId="77777777" w:rsidR="00E9362F" w:rsidRPr="00705394" w:rsidRDefault="00E9362F" w:rsidP="0047018B">
      <w:pPr>
        <w:spacing w:after="0" w:line="240" w:lineRule="auto"/>
        <w:jc w:val="both"/>
        <w:rPr>
          <w:u w:val="none"/>
        </w:rPr>
      </w:pPr>
    </w:p>
    <w:p w14:paraId="2FC8AD72" w14:textId="346E508E" w:rsidR="00E9362F" w:rsidRPr="00705394" w:rsidRDefault="00E9362F" w:rsidP="0047018B">
      <w:pPr>
        <w:spacing w:after="0" w:line="240" w:lineRule="auto"/>
        <w:jc w:val="both"/>
        <w:rPr>
          <w:u w:val="none"/>
        </w:rPr>
      </w:pPr>
      <w:r w:rsidRPr="00705394">
        <w:rPr>
          <w:u w:val="none"/>
        </w:rPr>
        <w:t xml:space="preserve">(a) a fixed point based on MPR 6 (equivalent to the rate </w:t>
      </w:r>
      <w:r w:rsidR="005775FC" w:rsidRPr="00705394">
        <w:rPr>
          <w:u w:val="none"/>
        </w:rPr>
        <w:t xml:space="preserve">paid for </w:t>
      </w:r>
      <w:r w:rsidR="00A654DE" w:rsidRPr="00705394">
        <w:rPr>
          <w:u w:val="none"/>
        </w:rPr>
        <w:t>one-to-one</w:t>
      </w:r>
      <w:r w:rsidRPr="00705394">
        <w:rPr>
          <w:u w:val="none"/>
        </w:rPr>
        <w:t xml:space="preserve"> tuition programme for </w:t>
      </w:r>
      <w:r w:rsidR="00D308A7" w:rsidRPr="00705394">
        <w:rPr>
          <w:u w:val="none"/>
        </w:rPr>
        <w:t>E</w:t>
      </w:r>
      <w:r w:rsidRPr="00705394">
        <w:rPr>
          <w:u w:val="none"/>
        </w:rPr>
        <w:t>nglish / maths</w:t>
      </w:r>
      <w:r w:rsidR="005775FC" w:rsidRPr="00705394">
        <w:rPr>
          <w:u w:val="none"/>
        </w:rPr>
        <w:t>)</w:t>
      </w:r>
      <w:r w:rsidRPr="00705394">
        <w:rPr>
          <w:u w:val="none"/>
        </w:rPr>
        <w:t xml:space="preserve">, or </w:t>
      </w:r>
    </w:p>
    <w:p w14:paraId="7B2E87C1" w14:textId="525E49CE" w:rsidR="00E9362F" w:rsidRPr="00705394" w:rsidRDefault="00E9362F" w:rsidP="0047018B">
      <w:pPr>
        <w:spacing w:after="0" w:line="240" w:lineRule="auto"/>
        <w:jc w:val="both"/>
        <w:rPr>
          <w:u w:val="none"/>
        </w:rPr>
      </w:pPr>
      <w:r w:rsidRPr="00705394">
        <w:rPr>
          <w:u w:val="none"/>
        </w:rPr>
        <w:t xml:space="preserve">(b) </w:t>
      </w:r>
      <w:r w:rsidR="000E17C1" w:rsidRPr="00705394">
        <w:rPr>
          <w:u w:val="none"/>
        </w:rPr>
        <w:t>according to the</w:t>
      </w:r>
      <w:r w:rsidR="005775FC" w:rsidRPr="00705394">
        <w:rPr>
          <w:u w:val="none"/>
        </w:rPr>
        <w:t xml:space="preserve"> teachers’ </w:t>
      </w:r>
      <w:r w:rsidR="000E17C1" w:rsidRPr="00705394">
        <w:rPr>
          <w:u w:val="none"/>
        </w:rPr>
        <w:t xml:space="preserve">individual salary point subject to </w:t>
      </w:r>
      <w:r w:rsidR="00406D52" w:rsidRPr="00705394">
        <w:rPr>
          <w:u w:val="none"/>
        </w:rPr>
        <w:t xml:space="preserve">M6 </w:t>
      </w:r>
      <w:r w:rsidR="000E17C1" w:rsidRPr="00705394">
        <w:rPr>
          <w:u w:val="none"/>
        </w:rPr>
        <w:t>the maximum point of the MPR</w:t>
      </w:r>
      <w:r w:rsidR="005775FC" w:rsidRPr="00705394">
        <w:rPr>
          <w:u w:val="none"/>
        </w:rPr>
        <w:t>.</w:t>
      </w:r>
      <w:r w:rsidR="00733B4F" w:rsidRPr="00705394">
        <w:rPr>
          <w:u w:val="none"/>
        </w:rPr>
        <w:t xml:space="preserve"> </w:t>
      </w:r>
    </w:p>
    <w:p w14:paraId="6CB9568C" w14:textId="77777777" w:rsidR="000E17C1" w:rsidRPr="00705394" w:rsidRDefault="000E17C1" w:rsidP="0047018B">
      <w:pPr>
        <w:spacing w:after="0" w:line="240" w:lineRule="auto"/>
        <w:jc w:val="both"/>
        <w:rPr>
          <w:u w:val="none"/>
        </w:rPr>
      </w:pPr>
    </w:p>
    <w:p w14:paraId="005EA7B9" w14:textId="48A1B0FF" w:rsidR="004C191A" w:rsidRPr="00705394" w:rsidRDefault="004C191A" w:rsidP="000E17C1">
      <w:pPr>
        <w:spacing w:after="0" w:line="240" w:lineRule="auto"/>
        <w:jc w:val="both"/>
        <w:rPr>
          <w:u w:val="none"/>
          <w:lang w:eastAsia="en-GB"/>
        </w:rPr>
      </w:pPr>
      <w:r w:rsidRPr="00705394">
        <w:rPr>
          <w:u w:val="none"/>
          <w:lang w:eastAsia="en-GB"/>
        </w:rPr>
        <w:t xml:space="preserve">The School Teachers’ Pay and Conditions Document (Section 3 Guidance </w:t>
      </w:r>
      <w:r w:rsidR="00A654DE" w:rsidRPr="00705394">
        <w:rPr>
          <w:u w:val="none"/>
          <w:lang w:eastAsia="en-GB"/>
        </w:rPr>
        <w:t>document)</w:t>
      </w:r>
      <w:r w:rsidRPr="00705394">
        <w:rPr>
          <w:u w:val="none"/>
          <w:lang w:eastAsia="en-GB"/>
        </w:rPr>
        <w:t xml:space="preserve"> </w:t>
      </w:r>
      <w:r w:rsidR="007E3039">
        <w:rPr>
          <w:u w:val="none"/>
          <w:lang w:eastAsia="en-GB"/>
        </w:rPr>
        <w:t xml:space="preserve">previously allowed </w:t>
      </w:r>
      <w:r w:rsidRPr="00705394">
        <w:rPr>
          <w:u w:val="none"/>
          <w:lang w:eastAsia="en-GB"/>
        </w:rPr>
        <w:t xml:space="preserve">for the payment of a TLR3 where teachers are undertaking planning, preparation, coordination of, or delivery of tutoring to provide catch up support to pupils lost to the pandemic. The HR Service </w:t>
      </w:r>
      <w:r w:rsidRPr="00705394">
        <w:rPr>
          <w:b/>
          <w:bCs/>
          <w:lang w:eastAsia="en-GB"/>
        </w:rPr>
        <w:t>strongly advises against</w:t>
      </w:r>
      <w:r w:rsidRPr="00705394">
        <w:rPr>
          <w:u w:val="none"/>
          <w:lang w:eastAsia="en-GB"/>
        </w:rPr>
        <w:t xml:space="preserve"> the use of a TLR3 as an hourly </w:t>
      </w:r>
      <w:r w:rsidRPr="00705394">
        <w:rPr>
          <w:u w:val="none"/>
          <w:lang w:eastAsia="en-GB"/>
        </w:rPr>
        <w:lastRenderedPageBreak/>
        <w:t xml:space="preserve">payment mechanism and payments for tutoring should be made in line with paragraph </w:t>
      </w:r>
      <w:r w:rsidR="007E3039">
        <w:rPr>
          <w:u w:val="none"/>
          <w:lang w:eastAsia="en-GB"/>
        </w:rPr>
        <w:t xml:space="preserve">16.0-16.3 </w:t>
      </w:r>
      <w:r w:rsidRPr="00705394">
        <w:rPr>
          <w:u w:val="none"/>
          <w:lang w:eastAsia="en-GB"/>
        </w:rPr>
        <w:t xml:space="preserve">of the School Pay </w:t>
      </w:r>
      <w:r w:rsidR="007E3039">
        <w:rPr>
          <w:u w:val="none"/>
          <w:lang w:eastAsia="en-GB"/>
        </w:rPr>
        <w:t>P</w:t>
      </w:r>
      <w:r w:rsidRPr="00705394">
        <w:rPr>
          <w:u w:val="none"/>
          <w:lang w:eastAsia="en-GB"/>
        </w:rPr>
        <w:t>olicy</w:t>
      </w:r>
      <w:r w:rsidR="007E3039">
        <w:rPr>
          <w:u w:val="none"/>
          <w:lang w:eastAsia="en-GB"/>
        </w:rPr>
        <w:t>.</w:t>
      </w:r>
      <w:r w:rsidRPr="00705394">
        <w:rPr>
          <w:u w:val="none"/>
          <w:lang w:eastAsia="en-GB"/>
        </w:rPr>
        <w:t xml:space="preserve"> </w:t>
      </w:r>
    </w:p>
    <w:p w14:paraId="4A5525C5" w14:textId="77777777" w:rsidR="004C191A" w:rsidRPr="00705394" w:rsidRDefault="004C191A" w:rsidP="004C191A">
      <w:pPr>
        <w:spacing w:after="0"/>
        <w:jc w:val="both"/>
        <w:rPr>
          <w:u w:val="none"/>
          <w:lang w:eastAsia="en-GB"/>
        </w:rPr>
      </w:pPr>
    </w:p>
    <w:p w14:paraId="3F96CDEF" w14:textId="7EEB538D" w:rsidR="004C191A" w:rsidRPr="00705394" w:rsidRDefault="004C191A" w:rsidP="004C191A">
      <w:pPr>
        <w:spacing w:after="0"/>
        <w:jc w:val="both"/>
        <w:rPr>
          <w:u w:val="none"/>
          <w:lang w:eastAsia="en-GB"/>
        </w:rPr>
      </w:pPr>
      <w:r w:rsidRPr="00705394">
        <w:rPr>
          <w:u w:val="none"/>
          <w:lang w:eastAsia="en-GB"/>
        </w:rPr>
        <w:t xml:space="preserve">A TLR3 should not be awarded consecutively for the same </w:t>
      </w:r>
      <w:r w:rsidR="007E3039">
        <w:rPr>
          <w:u w:val="none"/>
          <w:lang w:eastAsia="en-GB"/>
        </w:rPr>
        <w:t>and w</w:t>
      </w:r>
      <w:r w:rsidRPr="00705394">
        <w:rPr>
          <w:u w:val="none"/>
          <w:lang w:eastAsia="en-GB"/>
        </w:rPr>
        <w:t xml:space="preserve">here the TLR 3 is awarded with a fixed term of less than one year, then the total value should be determined proportionality to the annual value. Remember, the pro rata principle does not apply to TLR3’s and where a TLR 3 is awarded to a part time teacher the total value should only be amended for the </w:t>
      </w:r>
      <w:r w:rsidR="009E590E" w:rsidRPr="00705394">
        <w:rPr>
          <w:u w:val="none"/>
          <w:lang w:eastAsia="en-GB"/>
        </w:rPr>
        <w:t>period</w:t>
      </w:r>
      <w:r w:rsidRPr="00705394">
        <w:rPr>
          <w:u w:val="none"/>
          <w:lang w:eastAsia="en-GB"/>
        </w:rPr>
        <w:t xml:space="preserve"> it is paid and not amended to reflect the part time hours of the individual teacher. </w:t>
      </w:r>
    </w:p>
    <w:p w14:paraId="5FBCA4C5" w14:textId="77777777" w:rsidR="00185902" w:rsidRPr="00705394" w:rsidRDefault="00185902" w:rsidP="00396DA7">
      <w:pPr>
        <w:spacing w:after="0"/>
        <w:ind w:left="284"/>
        <w:jc w:val="both"/>
        <w:rPr>
          <w:u w:val="none"/>
        </w:rPr>
      </w:pPr>
    </w:p>
    <w:p w14:paraId="630A0AA2" w14:textId="796FD2C4" w:rsidR="00185902" w:rsidRPr="00705394" w:rsidRDefault="009521A5" w:rsidP="00106166">
      <w:pPr>
        <w:spacing w:after="0"/>
        <w:jc w:val="both"/>
        <w:rPr>
          <w:b/>
          <w:bCs/>
          <w:u w:val="none"/>
        </w:rPr>
      </w:pPr>
      <w:r w:rsidRPr="00705394">
        <w:rPr>
          <w:b/>
          <w:bCs/>
          <w:u w:val="none"/>
        </w:rPr>
        <w:t>Pay Policy Paragraph 2</w:t>
      </w:r>
      <w:r w:rsidR="0034631F" w:rsidRPr="00705394">
        <w:rPr>
          <w:b/>
          <w:bCs/>
          <w:u w:val="none"/>
        </w:rPr>
        <w:t>3</w:t>
      </w:r>
      <w:r w:rsidRPr="00705394">
        <w:rPr>
          <w:b/>
          <w:bCs/>
          <w:u w:val="none"/>
        </w:rPr>
        <w:t>.0</w:t>
      </w:r>
      <w:r w:rsidR="00E67DD2" w:rsidRPr="00705394">
        <w:rPr>
          <w:b/>
          <w:bCs/>
          <w:u w:val="none"/>
        </w:rPr>
        <w:t xml:space="preserve"> </w:t>
      </w:r>
      <w:r w:rsidR="005B662D" w:rsidRPr="00705394">
        <w:rPr>
          <w:b/>
          <w:bCs/>
          <w:u w:val="none"/>
        </w:rPr>
        <w:t xml:space="preserve">- </w:t>
      </w:r>
      <w:r w:rsidR="00185902" w:rsidRPr="00705394">
        <w:rPr>
          <w:b/>
          <w:bCs/>
          <w:u w:val="none"/>
        </w:rPr>
        <w:t>Head Teacher</w:t>
      </w:r>
      <w:r w:rsidR="00C91844" w:rsidRPr="00705394">
        <w:rPr>
          <w:b/>
          <w:bCs/>
          <w:u w:val="none"/>
        </w:rPr>
        <w:t xml:space="preserve"> Temporary</w:t>
      </w:r>
      <w:r w:rsidR="003376D3" w:rsidRPr="00705394">
        <w:rPr>
          <w:b/>
          <w:bCs/>
          <w:u w:val="none"/>
        </w:rPr>
        <w:t xml:space="preserve"> Payments</w:t>
      </w:r>
      <w:r w:rsidR="00185902" w:rsidRPr="00705394">
        <w:rPr>
          <w:b/>
          <w:bCs/>
          <w:u w:val="none"/>
        </w:rPr>
        <w:t xml:space="preserve"> </w:t>
      </w:r>
    </w:p>
    <w:p w14:paraId="1346C65D" w14:textId="77777777" w:rsidR="00E67DD2" w:rsidRPr="00705394" w:rsidRDefault="00E67DD2" w:rsidP="00106166">
      <w:pPr>
        <w:spacing w:after="0"/>
        <w:jc w:val="both"/>
        <w:rPr>
          <w:b/>
          <w:bCs/>
          <w:u w:val="none"/>
        </w:rPr>
      </w:pPr>
    </w:p>
    <w:p w14:paraId="1D34ABA3" w14:textId="68EB6A14" w:rsidR="00185902" w:rsidRPr="00705394" w:rsidRDefault="00185902" w:rsidP="00106166">
      <w:pPr>
        <w:spacing w:after="0"/>
        <w:jc w:val="both"/>
        <w:rPr>
          <w:u w:val="none"/>
        </w:rPr>
      </w:pPr>
      <w:r w:rsidRPr="00705394">
        <w:rPr>
          <w:u w:val="none"/>
        </w:rPr>
        <w:t xml:space="preserve">Where the </w:t>
      </w:r>
      <w:r w:rsidR="00C0767A" w:rsidRPr="00705394">
        <w:rPr>
          <w:u w:val="none"/>
        </w:rPr>
        <w:t>headteacher takes on additional responsibility</w:t>
      </w:r>
      <w:r w:rsidR="005C5C1A" w:rsidRPr="00705394">
        <w:rPr>
          <w:u w:val="none"/>
        </w:rPr>
        <w:t xml:space="preserve"> over and above their substantive role,</w:t>
      </w:r>
      <w:r w:rsidR="009521A5" w:rsidRPr="00705394">
        <w:rPr>
          <w:u w:val="none"/>
        </w:rPr>
        <w:t xml:space="preserve"> the </w:t>
      </w:r>
      <w:r w:rsidRPr="00705394">
        <w:rPr>
          <w:u w:val="none"/>
        </w:rPr>
        <w:t xml:space="preserve">governing body </w:t>
      </w:r>
      <w:r w:rsidR="00C0767A" w:rsidRPr="00705394">
        <w:rPr>
          <w:u w:val="none"/>
        </w:rPr>
        <w:t xml:space="preserve">may </w:t>
      </w:r>
      <w:r w:rsidRPr="00705394">
        <w:rPr>
          <w:u w:val="none"/>
        </w:rPr>
        <w:t>consider making temporary payments to the</w:t>
      </w:r>
      <w:r w:rsidR="004152D7" w:rsidRPr="00705394">
        <w:rPr>
          <w:u w:val="none"/>
        </w:rPr>
        <w:t>m</w:t>
      </w:r>
      <w:r w:rsidR="00C0767A" w:rsidRPr="00705394">
        <w:rPr>
          <w:u w:val="none"/>
        </w:rPr>
        <w:t>. The governing body</w:t>
      </w:r>
      <w:r w:rsidRPr="00705394">
        <w:rPr>
          <w:u w:val="none"/>
        </w:rPr>
        <w:t xml:space="preserve"> should seek advice from the HR Service to ensure that the provisions of the STPCD have been properly applied.  The governing body must ensure that there is a clear audit trail for any advice provided and a full accurate record of </w:t>
      </w:r>
      <w:r w:rsidR="00C0767A" w:rsidRPr="00705394">
        <w:rPr>
          <w:u w:val="none"/>
        </w:rPr>
        <w:t xml:space="preserve">the additional responsibility, the </w:t>
      </w:r>
      <w:r w:rsidRPr="00705394">
        <w:rPr>
          <w:u w:val="none"/>
        </w:rPr>
        <w:t>decision made and the reasoning. The governing body should record temporary payments to the head teacher on Appendix 2</w:t>
      </w:r>
      <w:r w:rsidR="00C0767A" w:rsidRPr="00705394">
        <w:rPr>
          <w:u w:val="none"/>
        </w:rPr>
        <w:t>c</w:t>
      </w:r>
      <w:r w:rsidR="005C5C1A" w:rsidRPr="00705394">
        <w:rPr>
          <w:u w:val="none"/>
        </w:rPr>
        <w:t xml:space="preserve"> of the Nottinghamshire School Pay Policy Toolkit</w:t>
      </w:r>
      <w:r w:rsidRPr="00705394">
        <w:rPr>
          <w:u w:val="none"/>
        </w:rPr>
        <w:t>.</w:t>
      </w:r>
    </w:p>
    <w:p w14:paraId="08A95B7E" w14:textId="77777777" w:rsidR="00971084" w:rsidRPr="00705394" w:rsidRDefault="00971084" w:rsidP="00106166">
      <w:pPr>
        <w:spacing w:after="0"/>
        <w:jc w:val="both"/>
        <w:rPr>
          <w:u w:val="none"/>
        </w:rPr>
      </w:pPr>
    </w:p>
    <w:p w14:paraId="6427AAFE" w14:textId="24F15324" w:rsidR="002D1FDD" w:rsidRPr="00705394" w:rsidRDefault="00EE6A2D" w:rsidP="00106166">
      <w:pPr>
        <w:spacing w:after="0"/>
        <w:jc w:val="both"/>
        <w:rPr>
          <w:u w:val="none"/>
        </w:rPr>
      </w:pPr>
      <w:r w:rsidRPr="00705394">
        <w:rPr>
          <w:u w:val="none"/>
        </w:rPr>
        <w:t xml:space="preserve">A governing body may in exceptional circumstances make a temporary payment to the headteacher of between 1% and 25% above the maximum of the salary of the headteacher group. </w:t>
      </w:r>
      <w:r w:rsidR="00965CA6" w:rsidRPr="00705394">
        <w:rPr>
          <w:u w:val="none"/>
        </w:rPr>
        <w:t xml:space="preserve"> </w:t>
      </w:r>
      <w:r w:rsidRPr="00705394">
        <w:rPr>
          <w:u w:val="none"/>
        </w:rPr>
        <w:t>Where this provision is applied there should be a clear audit trail and the overall limit of a payment of no more than 25% of the value of the headteacher’s salary should be seen as a maximum and not as the norm.</w:t>
      </w:r>
      <w:r w:rsidR="00C0767A" w:rsidRPr="00705394">
        <w:rPr>
          <w:u w:val="none"/>
        </w:rPr>
        <w:t xml:space="preserve"> Safeguarding provisions do not apply to temporary payments. </w:t>
      </w:r>
      <w:r w:rsidR="002D1FDD" w:rsidRPr="00705394">
        <w:rPr>
          <w:u w:val="none"/>
        </w:rPr>
        <w:t xml:space="preserve"> </w:t>
      </w:r>
    </w:p>
    <w:p w14:paraId="60D7B148" w14:textId="77777777" w:rsidR="002D1FDD" w:rsidRPr="00705394" w:rsidRDefault="002D1FDD" w:rsidP="00106166">
      <w:pPr>
        <w:spacing w:after="0"/>
        <w:jc w:val="both"/>
        <w:rPr>
          <w:u w:val="none"/>
        </w:rPr>
      </w:pPr>
    </w:p>
    <w:p w14:paraId="4DB8FD48" w14:textId="54887988" w:rsidR="00E67DD2" w:rsidRPr="00705394" w:rsidRDefault="00E67DD2" w:rsidP="0075272B">
      <w:pPr>
        <w:spacing w:after="0"/>
        <w:ind w:left="720" w:hanging="720"/>
        <w:jc w:val="both"/>
        <w:rPr>
          <w:rFonts w:eastAsia="Times New Roman" w:cs="Times New Roman"/>
          <w:szCs w:val="20"/>
          <w:u w:val="none"/>
          <w:lang w:eastAsia="en-GB"/>
        </w:rPr>
      </w:pPr>
      <w:r w:rsidRPr="00705394">
        <w:rPr>
          <w:b/>
          <w:bCs/>
          <w:u w:val="none"/>
        </w:rPr>
        <w:t>Pay Policy Paragraph 2</w:t>
      </w:r>
      <w:r w:rsidR="0034631F" w:rsidRPr="00705394">
        <w:rPr>
          <w:b/>
          <w:bCs/>
          <w:u w:val="none"/>
        </w:rPr>
        <w:t>4</w:t>
      </w:r>
      <w:r w:rsidR="006174FC" w:rsidRPr="00705394">
        <w:rPr>
          <w:b/>
          <w:bCs/>
          <w:u w:val="none"/>
        </w:rPr>
        <w:t>.0 -</w:t>
      </w:r>
      <w:r w:rsidRPr="00705394">
        <w:rPr>
          <w:b/>
          <w:bCs/>
          <w:u w:val="none"/>
        </w:rPr>
        <w:t xml:space="preserve"> </w:t>
      </w:r>
      <w:r w:rsidRPr="00705394">
        <w:rPr>
          <w:rFonts w:eastAsia="Times New Roman" w:cs="Times New Roman"/>
          <w:b/>
          <w:szCs w:val="20"/>
          <w:u w:val="none"/>
          <w:lang w:eastAsia="en-GB"/>
        </w:rPr>
        <w:t xml:space="preserve">Work </w:t>
      </w:r>
      <w:r w:rsidR="00C91844" w:rsidRPr="00705394">
        <w:rPr>
          <w:rFonts w:eastAsia="Times New Roman" w:cs="Times New Roman"/>
          <w:b/>
          <w:szCs w:val="20"/>
          <w:u w:val="none"/>
          <w:lang w:eastAsia="en-GB"/>
        </w:rPr>
        <w:t>Outside of School</w:t>
      </w:r>
      <w:r w:rsidRPr="00705394">
        <w:rPr>
          <w:rFonts w:eastAsia="Times New Roman" w:cs="Times New Roman"/>
          <w:b/>
          <w:szCs w:val="20"/>
          <w:u w:val="none"/>
          <w:lang w:eastAsia="en-GB"/>
        </w:rPr>
        <w:t xml:space="preserve"> </w:t>
      </w:r>
    </w:p>
    <w:p w14:paraId="4CD9A319" w14:textId="77777777" w:rsidR="00E67DD2" w:rsidRPr="00705394" w:rsidRDefault="00E67DD2" w:rsidP="0075272B">
      <w:pPr>
        <w:spacing w:after="0"/>
        <w:ind w:left="720" w:hanging="720"/>
        <w:jc w:val="both"/>
        <w:rPr>
          <w:rFonts w:eastAsia="Times New Roman" w:cs="Times New Roman"/>
          <w:szCs w:val="20"/>
          <w:u w:val="none"/>
          <w:lang w:eastAsia="en-GB"/>
        </w:rPr>
      </w:pPr>
    </w:p>
    <w:p w14:paraId="5452DE28" w14:textId="6CA13C70" w:rsidR="00E67DD2" w:rsidRPr="00705394" w:rsidRDefault="00E67DD2" w:rsidP="0075272B">
      <w:pPr>
        <w:spacing w:after="0"/>
        <w:jc w:val="both"/>
      </w:pPr>
      <w:r w:rsidRPr="00705394">
        <w:t>Paragraph 2</w:t>
      </w:r>
      <w:r w:rsidR="003000CD" w:rsidRPr="00705394">
        <w:t>4</w:t>
      </w:r>
      <w:r w:rsidRPr="00705394">
        <w:t>.</w:t>
      </w:r>
      <w:r w:rsidR="00C91844" w:rsidRPr="00705394">
        <w:t>1</w:t>
      </w:r>
      <w:r w:rsidRPr="00705394">
        <w:t xml:space="preserve"> </w:t>
      </w:r>
      <w:r w:rsidR="0075272B" w:rsidRPr="00705394">
        <w:t xml:space="preserve">– </w:t>
      </w:r>
      <w:r w:rsidRPr="00705394">
        <w:t xml:space="preserve">Service Provision for other schools </w:t>
      </w:r>
    </w:p>
    <w:p w14:paraId="733E6CF9" w14:textId="77777777" w:rsidR="00043D7E" w:rsidRPr="00705394" w:rsidRDefault="00043D7E" w:rsidP="0075272B">
      <w:pPr>
        <w:spacing w:after="0"/>
        <w:jc w:val="both"/>
      </w:pPr>
    </w:p>
    <w:p w14:paraId="188512BB" w14:textId="20EA0FDE" w:rsidR="00043D7E" w:rsidRPr="00705394" w:rsidRDefault="007F2BC1" w:rsidP="0075272B">
      <w:pPr>
        <w:spacing w:after="0"/>
        <w:jc w:val="both"/>
        <w:rPr>
          <w:u w:val="none"/>
        </w:rPr>
      </w:pPr>
      <w:r w:rsidRPr="00705394">
        <w:rPr>
          <w:u w:val="none"/>
        </w:rPr>
        <w:t>Th</w:t>
      </w:r>
      <w:r w:rsidR="007E3039">
        <w:rPr>
          <w:u w:val="none"/>
        </w:rPr>
        <w:t xml:space="preserve">e Pay Policy Toolkit </w:t>
      </w:r>
      <w:r w:rsidRPr="00705394">
        <w:rPr>
          <w:u w:val="none"/>
        </w:rPr>
        <w:t xml:space="preserve">document includes </w:t>
      </w:r>
      <w:r w:rsidR="007E3039" w:rsidRPr="007E3039">
        <w:rPr>
          <w:b/>
          <w:bCs/>
          <w:u w:val="none"/>
        </w:rPr>
        <w:t>A</w:t>
      </w:r>
      <w:r w:rsidR="00043D7E" w:rsidRPr="00705394">
        <w:rPr>
          <w:b/>
          <w:bCs/>
          <w:u w:val="none"/>
        </w:rPr>
        <w:t xml:space="preserve">ppendix 15 Pay Policy Toolkit </w:t>
      </w:r>
      <w:r w:rsidRPr="00705394">
        <w:rPr>
          <w:b/>
          <w:bCs/>
          <w:u w:val="none"/>
        </w:rPr>
        <w:t xml:space="preserve">– Guidance and Forms for Payments </w:t>
      </w:r>
      <w:r w:rsidR="007E3039">
        <w:rPr>
          <w:b/>
          <w:bCs/>
          <w:u w:val="none"/>
        </w:rPr>
        <w:t xml:space="preserve">to staff </w:t>
      </w:r>
      <w:r w:rsidRPr="00705394">
        <w:rPr>
          <w:b/>
          <w:bCs/>
          <w:u w:val="none"/>
        </w:rPr>
        <w:t>from External Income</w:t>
      </w:r>
      <w:r w:rsidRPr="00705394">
        <w:rPr>
          <w:u w:val="none"/>
        </w:rPr>
        <w:t xml:space="preserve"> to support the governing body to decide how best to manage this work. It contains Guidance notes and a form for completion.  </w:t>
      </w:r>
    </w:p>
    <w:p w14:paraId="0A2189D7" w14:textId="77777777" w:rsidR="00E67DD2" w:rsidRPr="00705394" w:rsidRDefault="00E67DD2" w:rsidP="0075272B">
      <w:pPr>
        <w:spacing w:after="0"/>
        <w:jc w:val="both"/>
        <w:rPr>
          <w:u w:val="none"/>
        </w:rPr>
      </w:pPr>
    </w:p>
    <w:p w14:paraId="4877DA7B" w14:textId="2B6DDE33" w:rsidR="00E67DD2" w:rsidRPr="00705394" w:rsidRDefault="00C0767A" w:rsidP="0075272B">
      <w:pPr>
        <w:spacing w:after="0"/>
        <w:jc w:val="both"/>
        <w:rPr>
          <w:rFonts w:eastAsia="Times New Roman" w:cs="Times New Roman"/>
          <w:szCs w:val="20"/>
          <w:u w:val="none"/>
          <w:lang w:eastAsia="en-GB"/>
        </w:rPr>
      </w:pPr>
      <w:r w:rsidRPr="00705394">
        <w:rPr>
          <w:u w:val="none"/>
        </w:rPr>
        <w:t xml:space="preserve">Any services provided by the headteacher (or any other teacher) to another school must be formally authorised </w:t>
      </w:r>
      <w:r w:rsidR="003000CD" w:rsidRPr="00705394">
        <w:rPr>
          <w:u w:val="none"/>
        </w:rPr>
        <w:t xml:space="preserve">in advance </w:t>
      </w:r>
      <w:r w:rsidRPr="00705394">
        <w:rPr>
          <w:u w:val="none"/>
        </w:rPr>
        <w:t xml:space="preserve">by the governing </w:t>
      </w:r>
      <w:r w:rsidR="009E590E" w:rsidRPr="00705394">
        <w:rPr>
          <w:u w:val="none"/>
        </w:rPr>
        <w:t>body and</w:t>
      </w:r>
      <w:r w:rsidRPr="00705394">
        <w:rPr>
          <w:u w:val="none"/>
        </w:rPr>
        <w:t xml:space="preserve"> regularly reviewed. </w:t>
      </w:r>
      <w:r w:rsidR="00E67DD2" w:rsidRPr="00705394">
        <w:rPr>
          <w:rFonts w:eastAsia="Times New Roman" w:cs="Times New Roman"/>
          <w:szCs w:val="20"/>
          <w:u w:val="none"/>
          <w:lang w:eastAsia="en-GB"/>
        </w:rPr>
        <w:t>The School Teachers pay and Conditions Document (STPCD) (Paragraph 65 – 68 (a)</w:t>
      </w:r>
    </w:p>
    <w:p w14:paraId="39056AB7" w14:textId="1F93E379" w:rsidR="00E67DD2" w:rsidRPr="00705394" w:rsidRDefault="00E67DD2" w:rsidP="0075272B">
      <w:pPr>
        <w:spacing w:after="0"/>
        <w:jc w:val="both"/>
        <w:rPr>
          <w:rFonts w:eastAsia="Times New Roman" w:cs="Times New Roman"/>
          <w:szCs w:val="20"/>
          <w:u w:val="none"/>
          <w:lang w:eastAsia="en-GB"/>
        </w:rPr>
      </w:pPr>
      <w:r w:rsidRPr="00705394">
        <w:rPr>
          <w:rFonts w:eastAsia="Times New Roman" w:cs="Times New Roman"/>
          <w:szCs w:val="20"/>
          <w:u w:val="none"/>
          <w:lang w:eastAsia="en-GB"/>
        </w:rPr>
        <w:t>– (h)) sets out that where a headteacher in one school</w:t>
      </w:r>
      <w:r w:rsidR="0075272B" w:rsidRPr="00705394">
        <w:rPr>
          <w:rFonts w:eastAsia="Times New Roman" w:cs="Times New Roman"/>
          <w:szCs w:val="20"/>
          <w:u w:val="none"/>
          <w:lang w:eastAsia="en-GB"/>
        </w:rPr>
        <w:t xml:space="preserve"> provides a service to another </w:t>
      </w:r>
      <w:r w:rsidRPr="00705394">
        <w:rPr>
          <w:rFonts w:eastAsia="Times New Roman" w:cs="Times New Roman"/>
          <w:szCs w:val="20"/>
          <w:u w:val="none"/>
          <w:lang w:eastAsia="en-GB"/>
        </w:rPr>
        <w:t xml:space="preserve">school, for example as a National Leader of Education (NLE), all income derived from external sources for the work of a school’s staff undertaking service provision </w:t>
      </w:r>
      <w:r w:rsidRPr="00705394">
        <w:rPr>
          <w:rFonts w:eastAsia="Times New Roman" w:cs="Times New Roman"/>
          <w:szCs w:val="20"/>
          <w:lang w:eastAsia="en-GB"/>
        </w:rPr>
        <w:t>should accrue to the school</w:t>
      </w:r>
      <w:r w:rsidRPr="00705394">
        <w:rPr>
          <w:rFonts w:eastAsia="Times New Roman" w:cs="Times New Roman"/>
          <w:szCs w:val="20"/>
          <w:u w:val="none"/>
          <w:lang w:eastAsia="en-GB"/>
        </w:rPr>
        <w:t xml:space="preserve">. </w:t>
      </w:r>
      <w:r w:rsidR="0075272B" w:rsidRPr="00705394">
        <w:rPr>
          <w:rFonts w:eastAsia="Times New Roman" w:cs="Times New Roman"/>
          <w:szCs w:val="20"/>
          <w:u w:val="none"/>
          <w:lang w:eastAsia="en-GB"/>
        </w:rPr>
        <w:t>T</w:t>
      </w:r>
      <w:r w:rsidRPr="00705394">
        <w:rPr>
          <w:rFonts w:eastAsia="Times New Roman" w:cs="Times New Roman"/>
          <w:szCs w:val="20"/>
          <w:u w:val="none"/>
          <w:lang w:eastAsia="en-GB"/>
        </w:rPr>
        <w:t>he governing b</w:t>
      </w:r>
      <w:r w:rsidR="0075272B" w:rsidRPr="00705394">
        <w:rPr>
          <w:rFonts w:eastAsia="Times New Roman" w:cs="Times New Roman"/>
          <w:szCs w:val="20"/>
          <w:u w:val="none"/>
          <w:lang w:eastAsia="en-GB"/>
        </w:rPr>
        <w:t>ody may determine (paragraph (g)</w:t>
      </w:r>
      <w:r w:rsidRPr="00705394">
        <w:rPr>
          <w:rFonts w:eastAsia="Times New Roman" w:cs="Times New Roman"/>
          <w:szCs w:val="20"/>
          <w:u w:val="none"/>
          <w:lang w:eastAsia="en-GB"/>
        </w:rPr>
        <w:t xml:space="preserve">) how much, if any, additional payment is due to the individual(s) concerned, for example where the contract requires work outside school sessions. </w:t>
      </w:r>
      <w:r w:rsidR="0075272B" w:rsidRPr="00705394">
        <w:rPr>
          <w:rFonts w:eastAsia="Times New Roman" w:cs="Times New Roman"/>
          <w:szCs w:val="20"/>
          <w:u w:val="none"/>
          <w:lang w:eastAsia="en-GB"/>
        </w:rPr>
        <w:t>T</w:t>
      </w:r>
      <w:r w:rsidRPr="00705394">
        <w:rPr>
          <w:rFonts w:eastAsia="Times New Roman" w:cs="Times New Roman"/>
          <w:szCs w:val="20"/>
          <w:u w:val="none"/>
          <w:lang w:eastAsia="en-GB"/>
        </w:rPr>
        <w:t xml:space="preserve">he governing body should decide whether it is appropriate for individual members of staff to receive additional remuneration for these activities and, if </w:t>
      </w:r>
      <w:r w:rsidR="00C063FE" w:rsidRPr="00705394">
        <w:rPr>
          <w:rFonts w:eastAsia="Times New Roman" w:cs="Times New Roman"/>
          <w:szCs w:val="20"/>
          <w:u w:val="none"/>
          <w:lang w:eastAsia="en-GB"/>
        </w:rPr>
        <w:t>so,</w:t>
      </w:r>
      <w:r w:rsidRPr="00705394">
        <w:rPr>
          <w:rFonts w:eastAsia="Times New Roman" w:cs="Times New Roman"/>
          <w:szCs w:val="20"/>
          <w:u w:val="none"/>
          <w:lang w:eastAsia="en-GB"/>
        </w:rPr>
        <w:t xml:space="preserve"> determine the appropriate amount</w:t>
      </w:r>
      <w:r w:rsidR="00BB4C61" w:rsidRPr="00705394">
        <w:rPr>
          <w:rFonts w:eastAsia="Times New Roman" w:cs="Times New Roman"/>
          <w:szCs w:val="20"/>
          <w:u w:val="none"/>
          <w:lang w:eastAsia="en-GB"/>
        </w:rPr>
        <w:t>, bearing in mind any impact on the management of the school and payment of any consequent cover costs.</w:t>
      </w:r>
    </w:p>
    <w:p w14:paraId="1FDBB3A4" w14:textId="77777777" w:rsidR="00E67DD2" w:rsidRPr="00705394" w:rsidRDefault="00E67DD2" w:rsidP="0075272B">
      <w:pPr>
        <w:spacing w:after="0"/>
        <w:ind w:left="720"/>
        <w:jc w:val="both"/>
        <w:rPr>
          <w:rFonts w:eastAsia="Times New Roman" w:cs="Times New Roman"/>
          <w:szCs w:val="20"/>
          <w:u w:val="none"/>
          <w:lang w:eastAsia="en-GB"/>
        </w:rPr>
      </w:pPr>
    </w:p>
    <w:p w14:paraId="4A876728" w14:textId="4F6515A1" w:rsidR="00E67DD2" w:rsidRPr="00705394" w:rsidRDefault="00E67DD2" w:rsidP="00043D7E">
      <w:pPr>
        <w:spacing w:after="0"/>
        <w:jc w:val="both"/>
        <w:rPr>
          <w:rFonts w:eastAsia="Times New Roman" w:cs="Times New Roman"/>
          <w:szCs w:val="20"/>
          <w:u w:val="none"/>
          <w:lang w:eastAsia="en-GB"/>
        </w:rPr>
      </w:pPr>
      <w:r w:rsidRPr="00705394">
        <w:rPr>
          <w:rFonts w:eastAsia="Times New Roman" w:cs="Times New Roman"/>
          <w:szCs w:val="20"/>
          <w:u w:val="none"/>
          <w:lang w:eastAsia="en-GB"/>
        </w:rPr>
        <w:t>The governing body should consider the remuneration of other teachers who</w:t>
      </w:r>
      <w:r w:rsidR="00C91844" w:rsidRPr="00705394">
        <w:rPr>
          <w:rFonts w:eastAsia="Times New Roman" w:cs="Times New Roman"/>
          <w:szCs w:val="20"/>
          <w:u w:val="none"/>
          <w:lang w:eastAsia="en-GB"/>
        </w:rPr>
        <w:t>,</w:t>
      </w:r>
      <w:r w:rsidRPr="00705394">
        <w:rPr>
          <w:rFonts w:eastAsia="Times New Roman" w:cs="Times New Roman"/>
          <w:szCs w:val="20"/>
          <w:u w:val="none"/>
          <w:lang w:eastAsia="en-GB"/>
        </w:rPr>
        <w:t xml:space="preserve"> </w:t>
      </w:r>
      <w:r w:rsidR="009E590E" w:rsidRPr="00705394">
        <w:rPr>
          <w:rFonts w:eastAsia="Times New Roman" w:cs="Times New Roman"/>
          <w:szCs w:val="20"/>
          <w:u w:val="none"/>
          <w:lang w:eastAsia="en-GB"/>
        </w:rPr>
        <w:t>because of</w:t>
      </w:r>
      <w:r w:rsidRPr="00705394">
        <w:rPr>
          <w:rFonts w:eastAsia="Times New Roman" w:cs="Times New Roman"/>
          <w:szCs w:val="20"/>
          <w:u w:val="none"/>
          <w:lang w:eastAsia="en-GB"/>
        </w:rPr>
        <w:t xml:space="preserve"> the head/other teacher’s </w:t>
      </w:r>
      <w:r w:rsidR="003000CD" w:rsidRPr="00705394">
        <w:rPr>
          <w:rFonts w:eastAsia="Times New Roman" w:cs="Times New Roman"/>
          <w:szCs w:val="20"/>
          <w:u w:val="none"/>
          <w:lang w:eastAsia="en-GB"/>
        </w:rPr>
        <w:t xml:space="preserve">absence / </w:t>
      </w:r>
      <w:r w:rsidRPr="00705394">
        <w:rPr>
          <w:rFonts w:eastAsia="Times New Roman" w:cs="Times New Roman"/>
          <w:szCs w:val="20"/>
          <w:u w:val="none"/>
          <w:lang w:eastAsia="en-GB"/>
        </w:rPr>
        <w:t>additional role</w:t>
      </w:r>
      <w:r w:rsidR="00C91844" w:rsidRPr="00705394">
        <w:rPr>
          <w:rFonts w:eastAsia="Times New Roman" w:cs="Times New Roman"/>
          <w:szCs w:val="20"/>
          <w:u w:val="none"/>
          <w:lang w:eastAsia="en-GB"/>
        </w:rPr>
        <w:t>,</w:t>
      </w:r>
      <w:r w:rsidRPr="00705394">
        <w:rPr>
          <w:rFonts w:eastAsia="Times New Roman" w:cs="Times New Roman"/>
          <w:szCs w:val="20"/>
          <w:u w:val="none"/>
          <w:lang w:eastAsia="en-GB"/>
        </w:rPr>
        <w:t xml:space="preserve"> take on additional responsibilities and activities. An additional payment should only be paid where a post accrues </w:t>
      </w:r>
      <w:r w:rsidR="003000CD" w:rsidRPr="00705394">
        <w:rPr>
          <w:rFonts w:eastAsia="Times New Roman" w:cs="Times New Roman"/>
          <w:szCs w:val="20"/>
          <w:u w:val="none"/>
          <w:lang w:eastAsia="en-GB"/>
        </w:rPr>
        <w:t xml:space="preserve">identified </w:t>
      </w:r>
      <w:r w:rsidRPr="00705394">
        <w:rPr>
          <w:rFonts w:eastAsia="Times New Roman" w:cs="Times New Roman"/>
          <w:szCs w:val="20"/>
          <w:u w:val="none"/>
          <w:lang w:eastAsia="en-GB"/>
        </w:rPr>
        <w:t xml:space="preserve">additional responsibilities </w:t>
      </w:r>
      <w:r w:rsidR="00C91844" w:rsidRPr="00705394">
        <w:rPr>
          <w:rFonts w:eastAsia="Times New Roman" w:cs="Times New Roman"/>
          <w:szCs w:val="20"/>
          <w:u w:val="none"/>
          <w:lang w:eastAsia="en-GB"/>
        </w:rPr>
        <w:t>an</w:t>
      </w:r>
      <w:r w:rsidRPr="00705394">
        <w:rPr>
          <w:rFonts w:eastAsia="Times New Roman" w:cs="Times New Roman"/>
          <w:szCs w:val="20"/>
          <w:u w:val="none"/>
          <w:lang w:eastAsia="en-GB"/>
        </w:rPr>
        <w:t xml:space="preserve">d is not automatic.  </w:t>
      </w:r>
    </w:p>
    <w:p w14:paraId="478D356F" w14:textId="77777777" w:rsidR="00E67DD2" w:rsidRPr="00705394" w:rsidRDefault="00E67DD2" w:rsidP="0075272B">
      <w:pPr>
        <w:spacing w:after="0"/>
        <w:ind w:left="720"/>
        <w:jc w:val="both"/>
        <w:rPr>
          <w:rFonts w:eastAsia="Times New Roman" w:cs="Times New Roman"/>
          <w:szCs w:val="20"/>
          <w:u w:val="none"/>
          <w:lang w:eastAsia="en-GB"/>
        </w:rPr>
      </w:pPr>
    </w:p>
    <w:p w14:paraId="0F47BD3E" w14:textId="77777777" w:rsidR="00E67DD2" w:rsidRPr="00705394" w:rsidRDefault="00E67DD2" w:rsidP="0075272B">
      <w:pPr>
        <w:spacing w:after="0"/>
        <w:jc w:val="both"/>
        <w:rPr>
          <w:rFonts w:eastAsia="Times New Roman" w:cs="Times New Roman"/>
          <w:szCs w:val="20"/>
          <w:u w:val="none"/>
          <w:lang w:eastAsia="en-GB"/>
        </w:rPr>
      </w:pPr>
      <w:r w:rsidRPr="00705394">
        <w:rPr>
          <w:rFonts w:eastAsia="Times New Roman" w:cs="Times New Roman"/>
          <w:szCs w:val="20"/>
          <w:u w:val="none"/>
          <w:lang w:eastAsia="en-GB"/>
        </w:rPr>
        <w:t>The</w:t>
      </w:r>
      <w:r w:rsidR="00BB4C61" w:rsidRPr="00705394">
        <w:rPr>
          <w:rFonts w:eastAsia="Times New Roman" w:cs="Times New Roman"/>
          <w:szCs w:val="20"/>
          <w:u w:val="none"/>
          <w:lang w:eastAsia="en-GB"/>
        </w:rPr>
        <w:t xml:space="preserve"> approval to undertake the work and</w:t>
      </w:r>
      <w:r w:rsidRPr="00705394">
        <w:rPr>
          <w:rFonts w:eastAsia="Times New Roman" w:cs="Times New Roman"/>
          <w:szCs w:val="20"/>
          <w:u w:val="none"/>
          <w:lang w:eastAsia="en-GB"/>
        </w:rPr>
        <w:t xml:space="preserve"> basis of any payment, including personal remuneration, for external services</w:t>
      </w:r>
      <w:r w:rsidR="00DB3269" w:rsidRPr="00705394">
        <w:rPr>
          <w:rFonts w:eastAsia="Times New Roman" w:cs="Times New Roman"/>
          <w:szCs w:val="20"/>
          <w:u w:val="none"/>
          <w:lang w:eastAsia="en-GB"/>
        </w:rPr>
        <w:t>,</w:t>
      </w:r>
      <w:r w:rsidRPr="00705394">
        <w:rPr>
          <w:rFonts w:eastAsia="Times New Roman" w:cs="Times New Roman"/>
          <w:szCs w:val="20"/>
          <w:u w:val="none"/>
          <w:lang w:eastAsia="en-GB"/>
        </w:rPr>
        <w:t xml:space="preserve"> must be agreed in advance </w:t>
      </w:r>
      <w:r w:rsidR="00BB4C61" w:rsidRPr="00705394">
        <w:rPr>
          <w:rFonts w:eastAsia="Times New Roman" w:cs="Times New Roman"/>
          <w:szCs w:val="20"/>
          <w:u w:val="none"/>
          <w:lang w:eastAsia="en-GB"/>
        </w:rPr>
        <w:t xml:space="preserve">of any work being undertaken </w:t>
      </w:r>
      <w:r w:rsidRPr="00705394">
        <w:rPr>
          <w:rFonts w:eastAsia="Times New Roman" w:cs="Times New Roman"/>
          <w:szCs w:val="20"/>
          <w:u w:val="none"/>
          <w:lang w:eastAsia="en-GB"/>
        </w:rPr>
        <w:t>by the appropriate committee of the governing body</w:t>
      </w:r>
      <w:r w:rsidR="00DB3269" w:rsidRPr="00705394">
        <w:rPr>
          <w:rFonts w:eastAsia="Times New Roman" w:cs="Times New Roman"/>
          <w:szCs w:val="20"/>
          <w:u w:val="none"/>
          <w:lang w:eastAsia="en-GB"/>
        </w:rPr>
        <w:t>,</w:t>
      </w:r>
      <w:r w:rsidRPr="00705394">
        <w:rPr>
          <w:rFonts w:eastAsia="Times New Roman" w:cs="Times New Roman"/>
          <w:szCs w:val="20"/>
          <w:u w:val="none"/>
          <w:lang w:eastAsia="en-GB"/>
        </w:rPr>
        <w:t xml:space="preserve"> and set out in writing signed by the chair of governors and any members of staff involved. </w:t>
      </w:r>
    </w:p>
    <w:p w14:paraId="4E33A5CD" w14:textId="77777777" w:rsidR="00C91844" w:rsidRPr="00705394" w:rsidRDefault="00C91844" w:rsidP="0075272B">
      <w:pPr>
        <w:spacing w:after="0"/>
        <w:jc w:val="both"/>
        <w:rPr>
          <w:rFonts w:eastAsia="Times New Roman" w:cs="Times New Roman"/>
          <w:szCs w:val="20"/>
          <w:u w:val="none"/>
          <w:lang w:eastAsia="en-GB"/>
        </w:rPr>
      </w:pPr>
    </w:p>
    <w:p w14:paraId="2E6C7EBE" w14:textId="3023F0DB" w:rsidR="00C91844" w:rsidRPr="00705394" w:rsidRDefault="00C91844" w:rsidP="00C91844">
      <w:pPr>
        <w:spacing w:after="0"/>
        <w:jc w:val="both"/>
        <w:rPr>
          <w:rFonts w:eastAsia="Times New Roman" w:cs="Times New Roman"/>
          <w:szCs w:val="20"/>
          <w:lang w:eastAsia="en-GB"/>
        </w:rPr>
      </w:pPr>
      <w:r w:rsidRPr="00705394">
        <w:rPr>
          <w:rFonts w:eastAsia="Times New Roman" w:cs="Times New Roman"/>
          <w:szCs w:val="20"/>
          <w:lang w:eastAsia="en-GB"/>
        </w:rPr>
        <w:t>Paragraph 2</w:t>
      </w:r>
      <w:r w:rsidR="0034631F" w:rsidRPr="00705394">
        <w:rPr>
          <w:rFonts w:eastAsia="Times New Roman" w:cs="Times New Roman"/>
          <w:szCs w:val="20"/>
          <w:lang w:eastAsia="en-GB"/>
        </w:rPr>
        <w:t>4.1</w:t>
      </w:r>
      <w:r w:rsidRPr="00705394">
        <w:rPr>
          <w:rFonts w:eastAsia="Times New Roman" w:cs="Times New Roman"/>
          <w:szCs w:val="20"/>
          <w:lang w:eastAsia="en-GB"/>
        </w:rPr>
        <w:t xml:space="preserve"> – Work for Ofsted</w:t>
      </w:r>
    </w:p>
    <w:p w14:paraId="13470DA0" w14:textId="77777777" w:rsidR="00C91844" w:rsidRPr="00705394" w:rsidRDefault="00C91844" w:rsidP="00C91844">
      <w:pPr>
        <w:spacing w:after="0"/>
        <w:jc w:val="both"/>
        <w:rPr>
          <w:rFonts w:eastAsia="Times New Roman" w:cs="Times New Roman"/>
          <w:szCs w:val="20"/>
          <w:u w:val="none"/>
          <w:lang w:eastAsia="en-GB"/>
        </w:rPr>
      </w:pPr>
    </w:p>
    <w:p w14:paraId="322942CA" w14:textId="01CF9E11" w:rsidR="007F2BC1" w:rsidRPr="00705394" w:rsidRDefault="007F2BC1" w:rsidP="007F2BC1">
      <w:pPr>
        <w:spacing w:after="0"/>
        <w:jc w:val="both"/>
        <w:rPr>
          <w:u w:val="none"/>
        </w:rPr>
      </w:pPr>
      <w:r w:rsidRPr="00705394">
        <w:rPr>
          <w:u w:val="none"/>
        </w:rPr>
        <w:t xml:space="preserve">This </w:t>
      </w:r>
      <w:r w:rsidR="007E3039">
        <w:rPr>
          <w:u w:val="none"/>
        </w:rPr>
        <w:t>Guidance (</w:t>
      </w:r>
      <w:r w:rsidRPr="00705394">
        <w:rPr>
          <w:b/>
          <w:bCs/>
          <w:u w:val="none"/>
        </w:rPr>
        <w:t>Appendix 15 Pay Policy Toolkit – Guidance and Forms for Payments from External Income</w:t>
      </w:r>
      <w:r w:rsidRPr="00705394">
        <w:rPr>
          <w:u w:val="none"/>
        </w:rPr>
        <w:t xml:space="preserve"> </w:t>
      </w:r>
      <w:r w:rsidR="007E3039">
        <w:rPr>
          <w:u w:val="none"/>
        </w:rPr>
        <w:t xml:space="preserve">also provides </w:t>
      </w:r>
      <w:r w:rsidRPr="00705394">
        <w:rPr>
          <w:u w:val="none"/>
        </w:rPr>
        <w:t xml:space="preserve">support the governing body to decide how best to manage this work. It contains Guidance notes and a form for completion.  </w:t>
      </w:r>
    </w:p>
    <w:p w14:paraId="771D17DC" w14:textId="77777777" w:rsidR="007F2BC1" w:rsidRPr="00705394" w:rsidRDefault="007F2BC1" w:rsidP="00C91844">
      <w:pPr>
        <w:spacing w:after="0"/>
        <w:jc w:val="both"/>
        <w:rPr>
          <w:rFonts w:eastAsia="Times New Roman" w:cs="Times New Roman"/>
          <w:szCs w:val="20"/>
          <w:u w:val="none"/>
          <w:lang w:eastAsia="en-GB"/>
        </w:rPr>
      </w:pPr>
    </w:p>
    <w:p w14:paraId="27E27B5C" w14:textId="168B56CD" w:rsidR="00C91844" w:rsidRPr="00705394" w:rsidRDefault="00C91844" w:rsidP="00C91844">
      <w:pPr>
        <w:spacing w:after="0"/>
        <w:jc w:val="both"/>
        <w:rPr>
          <w:rFonts w:eastAsia="Times New Roman" w:cs="Times New Roman"/>
          <w:szCs w:val="20"/>
          <w:u w:val="none"/>
          <w:lang w:eastAsia="en-GB"/>
        </w:rPr>
      </w:pPr>
      <w:r w:rsidRPr="00705394">
        <w:rPr>
          <w:rFonts w:eastAsia="Times New Roman" w:cs="Times New Roman"/>
          <w:szCs w:val="20"/>
          <w:u w:val="none"/>
          <w:lang w:eastAsia="en-GB"/>
        </w:rPr>
        <w:t>Head</w:t>
      </w:r>
      <w:r w:rsidR="004152D7" w:rsidRPr="00705394">
        <w:rPr>
          <w:rFonts w:eastAsia="Times New Roman" w:cs="Times New Roman"/>
          <w:szCs w:val="20"/>
          <w:u w:val="none"/>
          <w:lang w:eastAsia="en-GB"/>
        </w:rPr>
        <w:t>t</w:t>
      </w:r>
      <w:r w:rsidRPr="00705394">
        <w:rPr>
          <w:rFonts w:eastAsia="Times New Roman" w:cs="Times New Roman"/>
          <w:szCs w:val="20"/>
          <w:u w:val="none"/>
          <w:lang w:eastAsia="en-GB"/>
        </w:rPr>
        <w:t>eachers who work for Ofsted do so out of their own choice</w:t>
      </w:r>
      <w:r w:rsidR="007F2BC1" w:rsidRPr="00705394">
        <w:rPr>
          <w:rFonts w:eastAsia="Times New Roman" w:cs="Times New Roman"/>
          <w:szCs w:val="20"/>
          <w:u w:val="none"/>
          <w:lang w:eastAsia="en-GB"/>
        </w:rPr>
        <w:t xml:space="preserve"> but must be approved in advance by the governing body who will need to consider </w:t>
      </w:r>
      <w:r w:rsidR="009E590E" w:rsidRPr="00705394">
        <w:rPr>
          <w:rFonts w:eastAsia="Times New Roman" w:cs="Times New Roman"/>
          <w:szCs w:val="20"/>
          <w:u w:val="none"/>
          <w:lang w:eastAsia="en-GB"/>
        </w:rPr>
        <w:t>several</w:t>
      </w:r>
      <w:r w:rsidR="007F2BC1" w:rsidRPr="00705394">
        <w:rPr>
          <w:rFonts w:eastAsia="Times New Roman" w:cs="Times New Roman"/>
          <w:szCs w:val="20"/>
          <w:u w:val="none"/>
          <w:lang w:eastAsia="en-GB"/>
        </w:rPr>
        <w:t xml:space="preserve"> important points</w:t>
      </w:r>
      <w:r w:rsidRPr="00705394">
        <w:rPr>
          <w:rFonts w:eastAsia="Times New Roman" w:cs="Times New Roman"/>
          <w:szCs w:val="20"/>
          <w:u w:val="none"/>
          <w:lang w:eastAsia="en-GB"/>
        </w:rPr>
        <w:t xml:space="preserve">.  The additional income generated through work for Ofsted will accrue to the school’s budget and be used </w:t>
      </w:r>
      <w:r w:rsidR="007F2BC1" w:rsidRPr="00705394">
        <w:rPr>
          <w:rFonts w:eastAsia="Times New Roman" w:cs="Times New Roman"/>
          <w:szCs w:val="20"/>
          <w:u w:val="none"/>
          <w:lang w:eastAsia="en-GB"/>
        </w:rPr>
        <w:t xml:space="preserve">as income and </w:t>
      </w:r>
      <w:r w:rsidRPr="00705394">
        <w:rPr>
          <w:rFonts w:eastAsia="Times New Roman" w:cs="Times New Roman"/>
          <w:szCs w:val="20"/>
          <w:u w:val="none"/>
          <w:lang w:eastAsia="en-GB"/>
        </w:rPr>
        <w:t xml:space="preserve">by the school and where necessary to fund replacement cover costs and reasonable travel costs where this is not otherwise paid.  </w:t>
      </w:r>
    </w:p>
    <w:p w14:paraId="36A32FCB" w14:textId="77777777" w:rsidR="00C91844" w:rsidRPr="00705394" w:rsidRDefault="00C91844" w:rsidP="00C91844">
      <w:pPr>
        <w:spacing w:after="0"/>
        <w:jc w:val="both"/>
        <w:rPr>
          <w:rFonts w:eastAsia="Times New Roman" w:cs="Times New Roman"/>
          <w:szCs w:val="20"/>
          <w:u w:val="none"/>
          <w:lang w:eastAsia="en-GB"/>
        </w:rPr>
      </w:pPr>
    </w:p>
    <w:p w14:paraId="2D6D6181" w14:textId="1B034E3B" w:rsidR="00C91844" w:rsidRPr="00705394" w:rsidRDefault="00C91844" w:rsidP="00C91844">
      <w:pPr>
        <w:spacing w:after="0"/>
        <w:jc w:val="both"/>
        <w:rPr>
          <w:rFonts w:eastAsia="Times New Roman" w:cs="Times New Roman"/>
          <w:szCs w:val="20"/>
          <w:u w:val="none"/>
          <w:lang w:eastAsia="en-GB"/>
        </w:rPr>
      </w:pPr>
      <w:r w:rsidRPr="00705394">
        <w:rPr>
          <w:rFonts w:eastAsia="Times New Roman" w:cs="Times New Roman"/>
          <w:szCs w:val="20"/>
          <w:u w:val="none"/>
          <w:lang w:eastAsia="en-GB"/>
        </w:rPr>
        <w:t xml:space="preserve">The School Appraisal arrangements provide a framework for the assessment of the headteachers’ performance in the context of their job description and their role within the school in the context of the National Standards.  Ofsted work should not therefore form the basis of agreed appraisal objectives. </w:t>
      </w:r>
    </w:p>
    <w:p w14:paraId="584254C6" w14:textId="77777777" w:rsidR="00C91844" w:rsidRPr="00705394" w:rsidRDefault="00C91844" w:rsidP="0075272B">
      <w:pPr>
        <w:spacing w:after="0"/>
        <w:jc w:val="both"/>
        <w:rPr>
          <w:rFonts w:eastAsia="Times New Roman" w:cs="Times New Roman"/>
          <w:szCs w:val="20"/>
          <w:u w:val="none"/>
          <w:lang w:eastAsia="en-GB"/>
        </w:rPr>
      </w:pPr>
    </w:p>
    <w:p w14:paraId="03BB11A4" w14:textId="2523B93F" w:rsidR="002D1FDD" w:rsidRPr="00705394" w:rsidRDefault="009521A5" w:rsidP="00106166">
      <w:pPr>
        <w:spacing w:after="0"/>
        <w:jc w:val="both"/>
        <w:rPr>
          <w:b/>
          <w:bCs/>
          <w:u w:val="none"/>
        </w:rPr>
      </w:pPr>
      <w:r w:rsidRPr="00705394">
        <w:rPr>
          <w:b/>
          <w:bCs/>
          <w:u w:val="none"/>
        </w:rPr>
        <w:t>Pay Policy Paragraph 2</w:t>
      </w:r>
      <w:r w:rsidR="0034631F" w:rsidRPr="00705394">
        <w:rPr>
          <w:b/>
          <w:bCs/>
          <w:u w:val="none"/>
        </w:rPr>
        <w:t>5</w:t>
      </w:r>
      <w:r w:rsidRPr="00705394">
        <w:rPr>
          <w:b/>
          <w:bCs/>
          <w:u w:val="none"/>
        </w:rPr>
        <w:t xml:space="preserve">.0 - </w:t>
      </w:r>
      <w:r w:rsidR="001C4663" w:rsidRPr="00705394">
        <w:rPr>
          <w:b/>
          <w:bCs/>
          <w:u w:val="none"/>
        </w:rPr>
        <w:t>Over/Under Payments</w:t>
      </w:r>
      <w:r w:rsidR="005D5077" w:rsidRPr="00705394">
        <w:rPr>
          <w:b/>
          <w:bCs/>
          <w:u w:val="none"/>
        </w:rPr>
        <w:t xml:space="preserve"> </w:t>
      </w:r>
    </w:p>
    <w:p w14:paraId="3AA06EA9" w14:textId="77777777" w:rsidR="009521A5" w:rsidRPr="00705394" w:rsidRDefault="009521A5" w:rsidP="00106166">
      <w:pPr>
        <w:spacing w:after="0"/>
        <w:jc w:val="both"/>
        <w:rPr>
          <w:b/>
          <w:bCs/>
          <w:u w:val="none"/>
        </w:rPr>
      </w:pPr>
    </w:p>
    <w:p w14:paraId="37C21812" w14:textId="77777777" w:rsidR="001C4663" w:rsidRPr="00705394" w:rsidRDefault="001C4663" w:rsidP="00106166">
      <w:pPr>
        <w:spacing w:after="0"/>
        <w:jc w:val="both"/>
        <w:rPr>
          <w:bCs/>
        </w:rPr>
      </w:pPr>
      <w:r w:rsidRPr="00705394">
        <w:rPr>
          <w:bCs/>
        </w:rPr>
        <w:t>Overpayments</w:t>
      </w:r>
    </w:p>
    <w:p w14:paraId="2C2239BD" w14:textId="77777777" w:rsidR="002D1FDD" w:rsidRPr="00705394" w:rsidRDefault="002D1FDD" w:rsidP="00106166">
      <w:pPr>
        <w:spacing w:after="0"/>
        <w:jc w:val="both"/>
        <w:rPr>
          <w:bCs/>
        </w:rPr>
      </w:pPr>
    </w:p>
    <w:p w14:paraId="380DE146" w14:textId="4C1AEDAF" w:rsidR="001C4663" w:rsidRPr="00705394" w:rsidRDefault="002D1FDD" w:rsidP="00106166">
      <w:pPr>
        <w:spacing w:after="0"/>
        <w:jc w:val="both"/>
        <w:rPr>
          <w:bCs/>
          <w:u w:val="none"/>
        </w:rPr>
      </w:pPr>
      <w:r w:rsidRPr="00705394">
        <w:rPr>
          <w:bCs/>
          <w:u w:val="none"/>
        </w:rPr>
        <w:t>Where an overpayment is identified</w:t>
      </w:r>
      <w:r w:rsidR="001C4663" w:rsidRPr="00705394">
        <w:rPr>
          <w:bCs/>
          <w:u w:val="none"/>
        </w:rPr>
        <w:t xml:space="preserve"> the timescale for recovery should be informed by the amount owing and should be agreed </w:t>
      </w:r>
      <w:r w:rsidR="009521A5" w:rsidRPr="00705394">
        <w:rPr>
          <w:bCs/>
          <w:u w:val="none"/>
        </w:rPr>
        <w:t xml:space="preserve">with the employee </w:t>
      </w:r>
      <w:r w:rsidR="001C4663" w:rsidRPr="00705394">
        <w:rPr>
          <w:bCs/>
          <w:u w:val="none"/>
        </w:rPr>
        <w:t>where possible. The absence of an agreed repayment plan should not prevent ov</w:t>
      </w:r>
      <w:r w:rsidR="00A931B0" w:rsidRPr="00705394">
        <w:rPr>
          <w:bCs/>
          <w:u w:val="none"/>
        </w:rPr>
        <w:t xml:space="preserve">erpayments from being reclaimed but account should be taken in cases of hardship. </w:t>
      </w:r>
    </w:p>
    <w:p w14:paraId="07881D90" w14:textId="77777777" w:rsidR="005D5077" w:rsidRPr="00705394" w:rsidRDefault="005D5077" w:rsidP="00106166">
      <w:pPr>
        <w:spacing w:after="0"/>
        <w:jc w:val="both"/>
        <w:rPr>
          <w:bCs/>
        </w:rPr>
      </w:pPr>
    </w:p>
    <w:p w14:paraId="0BE2DCB5" w14:textId="77777777" w:rsidR="001C4663" w:rsidRPr="00705394" w:rsidRDefault="001C4663" w:rsidP="00106166">
      <w:pPr>
        <w:spacing w:after="0"/>
        <w:jc w:val="both"/>
        <w:rPr>
          <w:bCs/>
        </w:rPr>
      </w:pPr>
      <w:r w:rsidRPr="00705394">
        <w:rPr>
          <w:bCs/>
        </w:rPr>
        <w:t>Underpayments</w:t>
      </w:r>
    </w:p>
    <w:p w14:paraId="1939B27F" w14:textId="77777777" w:rsidR="002D1FDD" w:rsidRPr="00705394" w:rsidRDefault="002D1FDD" w:rsidP="00106166">
      <w:pPr>
        <w:spacing w:after="0"/>
        <w:jc w:val="both"/>
        <w:rPr>
          <w:bCs/>
          <w:u w:val="none"/>
        </w:rPr>
      </w:pPr>
    </w:p>
    <w:p w14:paraId="55816217" w14:textId="77777777" w:rsidR="001C4663" w:rsidRPr="00705394" w:rsidRDefault="001C4663" w:rsidP="00106166">
      <w:pPr>
        <w:spacing w:after="0"/>
        <w:jc w:val="both"/>
        <w:rPr>
          <w:bCs/>
          <w:u w:val="none"/>
        </w:rPr>
      </w:pPr>
      <w:r w:rsidRPr="00705394">
        <w:rPr>
          <w:bCs/>
          <w:u w:val="none"/>
        </w:rPr>
        <w:t>Where an underpayment is identified the school should make the required payroll changes normally immediately and no longer than two months from being made aware of the underpayment.</w:t>
      </w:r>
    </w:p>
    <w:p w14:paraId="5F9CEFC9" w14:textId="77777777" w:rsidR="00971084" w:rsidRPr="00705394" w:rsidRDefault="00971084" w:rsidP="00106166">
      <w:pPr>
        <w:spacing w:after="0"/>
        <w:jc w:val="both"/>
        <w:rPr>
          <w:bCs/>
          <w:u w:val="none"/>
        </w:rPr>
      </w:pPr>
    </w:p>
    <w:p w14:paraId="22A7CD49" w14:textId="50325C00" w:rsidR="00B969CA" w:rsidRPr="00705394" w:rsidRDefault="0030509F" w:rsidP="00106166">
      <w:pPr>
        <w:spacing w:after="0"/>
        <w:jc w:val="both"/>
        <w:rPr>
          <w:b/>
          <w:bCs/>
          <w:u w:val="none"/>
        </w:rPr>
      </w:pPr>
      <w:r w:rsidRPr="00705394">
        <w:rPr>
          <w:b/>
          <w:bCs/>
          <w:u w:val="none"/>
        </w:rPr>
        <w:t>Pay Policy Paragraph 2</w:t>
      </w:r>
      <w:r w:rsidR="0034631F" w:rsidRPr="00705394">
        <w:rPr>
          <w:b/>
          <w:bCs/>
          <w:u w:val="none"/>
        </w:rPr>
        <w:t>6</w:t>
      </w:r>
      <w:r w:rsidRPr="00705394">
        <w:rPr>
          <w:b/>
          <w:bCs/>
          <w:u w:val="none"/>
        </w:rPr>
        <w:t xml:space="preserve">.0 - </w:t>
      </w:r>
      <w:r w:rsidR="00185902" w:rsidRPr="00705394">
        <w:rPr>
          <w:b/>
          <w:bCs/>
          <w:u w:val="none"/>
        </w:rPr>
        <w:t>Salary Safeguarding</w:t>
      </w:r>
      <w:r w:rsidR="005D5077" w:rsidRPr="00705394">
        <w:rPr>
          <w:b/>
          <w:bCs/>
          <w:u w:val="none"/>
        </w:rPr>
        <w:t xml:space="preserve"> </w:t>
      </w:r>
    </w:p>
    <w:p w14:paraId="1A7B2624" w14:textId="77777777" w:rsidR="002D1FDD" w:rsidRPr="00705394" w:rsidRDefault="002D1FDD" w:rsidP="00106166">
      <w:pPr>
        <w:spacing w:after="0"/>
        <w:jc w:val="both"/>
        <w:rPr>
          <w:b/>
          <w:bCs/>
          <w:u w:val="none"/>
        </w:rPr>
      </w:pPr>
    </w:p>
    <w:p w14:paraId="0172E489" w14:textId="011F691C" w:rsidR="00185902" w:rsidRPr="00705394" w:rsidRDefault="0030509F" w:rsidP="00106166">
      <w:pPr>
        <w:spacing w:after="0"/>
        <w:jc w:val="both"/>
      </w:pPr>
      <w:r w:rsidRPr="00705394">
        <w:t>Paragraph 2</w:t>
      </w:r>
      <w:r w:rsidR="004152D7" w:rsidRPr="00705394">
        <w:t>6</w:t>
      </w:r>
      <w:r w:rsidRPr="00705394">
        <w:t xml:space="preserve">.0 </w:t>
      </w:r>
      <w:r w:rsidR="00185902" w:rsidRPr="00705394">
        <w:t xml:space="preserve">Teachers </w:t>
      </w:r>
    </w:p>
    <w:p w14:paraId="2FB60AC0" w14:textId="77777777" w:rsidR="002D1FDD" w:rsidRPr="00705394" w:rsidRDefault="002D1FDD" w:rsidP="00106166">
      <w:pPr>
        <w:spacing w:after="0"/>
        <w:jc w:val="both"/>
      </w:pPr>
    </w:p>
    <w:p w14:paraId="77884266" w14:textId="584AB872" w:rsidR="00185902" w:rsidRPr="00705394" w:rsidRDefault="00185902" w:rsidP="00106166">
      <w:pPr>
        <w:spacing w:after="0"/>
        <w:jc w:val="both"/>
        <w:rPr>
          <w:u w:val="none"/>
        </w:rPr>
      </w:pPr>
      <w:r w:rsidRPr="00705394">
        <w:rPr>
          <w:u w:val="none"/>
        </w:rPr>
        <w:lastRenderedPageBreak/>
        <w:t>The arrangements contained within the STPCD for teacher salary safeguarding can be complex and it is always advisable to seek specialist HR advice.</w:t>
      </w:r>
      <w:r w:rsidR="004152D7" w:rsidRPr="00705394">
        <w:rPr>
          <w:u w:val="none"/>
        </w:rPr>
        <w:t xml:space="preserve"> </w:t>
      </w:r>
      <w:r w:rsidRPr="00705394">
        <w:rPr>
          <w:u w:val="none"/>
        </w:rPr>
        <w:t>Salary safeguarding for teachers applies</w:t>
      </w:r>
      <w:r w:rsidR="002D1FDD" w:rsidRPr="00705394">
        <w:rPr>
          <w:u w:val="none"/>
        </w:rPr>
        <w:t xml:space="preserve"> in the following circumstances</w:t>
      </w:r>
      <w:r w:rsidR="00396A14" w:rsidRPr="00705394">
        <w:rPr>
          <w:u w:val="none"/>
        </w:rPr>
        <w:t>:</w:t>
      </w:r>
    </w:p>
    <w:p w14:paraId="41682FED" w14:textId="2B94B4B9" w:rsidR="00BB505B" w:rsidRPr="00705394" w:rsidRDefault="00185902" w:rsidP="006851CD">
      <w:pPr>
        <w:pStyle w:val="Default"/>
        <w:numPr>
          <w:ilvl w:val="0"/>
          <w:numId w:val="16"/>
        </w:numPr>
        <w:spacing w:line="276" w:lineRule="auto"/>
        <w:ind w:left="567" w:hanging="283"/>
        <w:jc w:val="both"/>
        <w:rPr>
          <w:b/>
          <w:color w:val="auto"/>
        </w:rPr>
      </w:pPr>
      <w:r w:rsidRPr="00705394">
        <w:rPr>
          <w:color w:val="auto"/>
        </w:rPr>
        <w:t xml:space="preserve">The teacher loses a post </w:t>
      </w:r>
      <w:r w:rsidR="009E590E" w:rsidRPr="00705394">
        <w:rPr>
          <w:color w:val="auto"/>
        </w:rPr>
        <w:t>because of</w:t>
      </w:r>
      <w:r w:rsidRPr="00705394">
        <w:rPr>
          <w:color w:val="auto"/>
        </w:rPr>
        <w:t xml:space="preserve"> the discontinuance of, a prescribed alteration to, or a reorganisation of, a school</w:t>
      </w:r>
    </w:p>
    <w:p w14:paraId="55036E17" w14:textId="46F38AB1" w:rsidR="00185902" w:rsidRPr="00705394" w:rsidRDefault="00185902" w:rsidP="00C55A1C">
      <w:pPr>
        <w:pStyle w:val="Default"/>
        <w:numPr>
          <w:ilvl w:val="0"/>
          <w:numId w:val="16"/>
        </w:numPr>
        <w:spacing w:line="276" w:lineRule="auto"/>
        <w:ind w:left="567" w:hanging="283"/>
        <w:jc w:val="both"/>
        <w:rPr>
          <w:color w:val="auto"/>
        </w:rPr>
      </w:pPr>
      <w:r w:rsidRPr="00705394">
        <w:rPr>
          <w:color w:val="auto"/>
        </w:rPr>
        <w:t xml:space="preserve">Where, </w:t>
      </w:r>
      <w:r w:rsidR="009E590E" w:rsidRPr="00705394">
        <w:rPr>
          <w:color w:val="auto"/>
        </w:rPr>
        <w:t>because of</w:t>
      </w:r>
      <w:r w:rsidRPr="00705394">
        <w:rPr>
          <w:color w:val="auto"/>
        </w:rPr>
        <w:t xml:space="preserve"> an agreed change to the school staffing structure, a teacher in receipt of a TLR1, TLR2, SEN or an unqualified teacher’s allowance has it reduced or removed.</w:t>
      </w:r>
      <w:bookmarkStart w:id="6" w:name="_Hlk51147545"/>
      <w:r w:rsidR="00E73633" w:rsidRPr="00705394">
        <w:rPr>
          <w:color w:val="auto"/>
        </w:rPr>
        <w:t xml:space="preserve"> </w:t>
      </w:r>
      <w:r w:rsidR="00A40702" w:rsidRPr="00705394">
        <w:rPr>
          <w:color w:val="auto"/>
        </w:rPr>
        <w:t xml:space="preserve">If a teacher is required to undertake duties at an additional level </w:t>
      </w:r>
      <w:proofErr w:type="spellStart"/>
      <w:r w:rsidR="00A40702" w:rsidRPr="00705394">
        <w:rPr>
          <w:color w:val="auto"/>
        </w:rPr>
        <w:t>eg</w:t>
      </w:r>
      <w:proofErr w:type="spellEnd"/>
      <w:r w:rsidR="00A40702" w:rsidRPr="00705394">
        <w:rPr>
          <w:color w:val="auto"/>
        </w:rPr>
        <w:t xml:space="preserve"> TLR during any salary safeguarding period</w:t>
      </w:r>
      <w:r w:rsidR="00A40702" w:rsidRPr="00705394">
        <w:rPr>
          <w:b/>
          <w:color w:val="auto"/>
        </w:rPr>
        <w:t xml:space="preserve">, </w:t>
      </w:r>
      <w:r w:rsidR="00A40702" w:rsidRPr="00705394">
        <w:rPr>
          <w:color w:val="auto"/>
        </w:rPr>
        <w:t>then the management time associated with the post should be protected for the duration of the safeguarding period.</w:t>
      </w:r>
    </w:p>
    <w:bookmarkEnd w:id="6"/>
    <w:p w14:paraId="7FA33DC5" w14:textId="63C893D7" w:rsidR="00185902" w:rsidRPr="00705394" w:rsidRDefault="00185902" w:rsidP="00B42818">
      <w:pPr>
        <w:pStyle w:val="Default"/>
        <w:numPr>
          <w:ilvl w:val="0"/>
          <w:numId w:val="16"/>
        </w:numPr>
        <w:spacing w:line="276" w:lineRule="auto"/>
        <w:ind w:left="567" w:hanging="283"/>
        <w:jc w:val="both"/>
        <w:rPr>
          <w:color w:val="auto"/>
        </w:rPr>
      </w:pPr>
      <w:r w:rsidRPr="00705394">
        <w:rPr>
          <w:color w:val="auto"/>
        </w:rPr>
        <w:t xml:space="preserve">Where the governing body determines, following the school’s agreed restructure </w:t>
      </w:r>
      <w:r w:rsidR="00467F7E" w:rsidRPr="00705394">
        <w:rPr>
          <w:color w:val="auto"/>
        </w:rPr>
        <w:t>process.</w:t>
      </w:r>
    </w:p>
    <w:p w14:paraId="3485B178" w14:textId="77777777" w:rsidR="00185902" w:rsidRPr="00705394" w:rsidRDefault="00185902" w:rsidP="00B42818">
      <w:pPr>
        <w:pStyle w:val="ListParagraph"/>
        <w:numPr>
          <w:ilvl w:val="1"/>
          <w:numId w:val="16"/>
        </w:numPr>
        <w:spacing w:after="0"/>
        <w:ind w:left="1276" w:hanging="283"/>
        <w:jc w:val="both"/>
        <w:rPr>
          <w:u w:val="none"/>
        </w:rPr>
      </w:pPr>
      <w:r w:rsidRPr="00705394">
        <w:rPr>
          <w:u w:val="none"/>
        </w:rPr>
        <w:t>To reduce the number of members of the leadership group or teachers paid on the pay range for lead practitioners; or</w:t>
      </w:r>
    </w:p>
    <w:p w14:paraId="07F608A9" w14:textId="77777777" w:rsidR="00185902" w:rsidRPr="00705394" w:rsidRDefault="00185902" w:rsidP="00B42818">
      <w:pPr>
        <w:pStyle w:val="ListParagraph"/>
        <w:numPr>
          <w:ilvl w:val="1"/>
          <w:numId w:val="16"/>
        </w:numPr>
        <w:spacing w:after="0"/>
        <w:ind w:left="1276" w:hanging="283"/>
        <w:jc w:val="both"/>
        <w:rPr>
          <w:u w:val="none"/>
        </w:rPr>
      </w:pPr>
      <w:r w:rsidRPr="00705394">
        <w:rPr>
          <w:u w:val="none"/>
        </w:rPr>
        <w:t>To lower the pay range applicable to a member of the leadership group or a teacher paid on the pay range for lead practitioners.</w:t>
      </w:r>
    </w:p>
    <w:p w14:paraId="04B6FA7D" w14:textId="77777777" w:rsidR="002D1FDD" w:rsidRPr="00705394" w:rsidRDefault="002D1FDD" w:rsidP="00106166">
      <w:pPr>
        <w:spacing w:after="0"/>
        <w:ind w:left="1276" w:hanging="283"/>
        <w:jc w:val="both"/>
        <w:rPr>
          <w:u w:val="none"/>
        </w:rPr>
      </w:pPr>
    </w:p>
    <w:p w14:paraId="2D5FAD63" w14:textId="19A8FF64" w:rsidR="00185902" w:rsidRPr="00705394" w:rsidRDefault="00185902" w:rsidP="00106166">
      <w:pPr>
        <w:spacing w:after="0"/>
        <w:jc w:val="both"/>
        <w:rPr>
          <w:u w:val="none"/>
        </w:rPr>
      </w:pPr>
      <w:r w:rsidRPr="00705394">
        <w:rPr>
          <w:u w:val="none"/>
        </w:rPr>
        <w:t xml:space="preserve">TLR3’s </w:t>
      </w:r>
      <w:r w:rsidR="00B969CA" w:rsidRPr="00705394">
        <w:rPr>
          <w:u w:val="none"/>
        </w:rPr>
        <w:t xml:space="preserve">must </w:t>
      </w:r>
      <w:r w:rsidRPr="00705394">
        <w:rPr>
          <w:u w:val="none"/>
        </w:rPr>
        <w:t xml:space="preserve">not </w:t>
      </w:r>
      <w:r w:rsidR="00344CC2" w:rsidRPr="00705394">
        <w:rPr>
          <w:u w:val="none"/>
        </w:rPr>
        <w:t xml:space="preserve">be </w:t>
      </w:r>
      <w:r w:rsidRPr="00705394">
        <w:rPr>
          <w:u w:val="none"/>
        </w:rPr>
        <w:t xml:space="preserve">subject to safeguarding </w:t>
      </w:r>
      <w:r w:rsidR="00B969CA" w:rsidRPr="00705394">
        <w:rPr>
          <w:u w:val="none"/>
        </w:rPr>
        <w:t xml:space="preserve">after the fixed period expires </w:t>
      </w:r>
      <w:r w:rsidRPr="00705394">
        <w:rPr>
          <w:u w:val="none"/>
        </w:rPr>
        <w:t xml:space="preserve">nor are TLR1/2 or SEN payments awarded to a teacher under a fixed term contract for any reason, for example to cover the </w:t>
      </w:r>
      <w:r w:rsidR="0030509F" w:rsidRPr="00705394">
        <w:rPr>
          <w:u w:val="none"/>
        </w:rPr>
        <w:t xml:space="preserve">temporary </w:t>
      </w:r>
      <w:r w:rsidRPr="00705394">
        <w:rPr>
          <w:u w:val="none"/>
        </w:rPr>
        <w:t>absence of the substantive post holder.</w:t>
      </w:r>
      <w:r w:rsidR="006059B7" w:rsidRPr="00705394">
        <w:rPr>
          <w:u w:val="none"/>
        </w:rPr>
        <w:t xml:space="preserve"> </w:t>
      </w:r>
      <w:r w:rsidRPr="00705394">
        <w:rPr>
          <w:u w:val="none"/>
        </w:rPr>
        <w:t>In all the above circumstances a teacher should be paid, as a safeguarded sum, the amount by which their old salary exceeds the newly determined salary.</w:t>
      </w:r>
    </w:p>
    <w:p w14:paraId="4A8B7206" w14:textId="77777777" w:rsidR="005F3671" w:rsidRPr="00705394" w:rsidRDefault="005F3671" w:rsidP="00106166">
      <w:pPr>
        <w:spacing w:after="0"/>
        <w:jc w:val="both"/>
        <w:rPr>
          <w:u w:val="none"/>
        </w:rPr>
      </w:pPr>
    </w:p>
    <w:p w14:paraId="62A23FD2" w14:textId="4D541417" w:rsidR="00185902" w:rsidRPr="00705394" w:rsidRDefault="00185902" w:rsidP="00106166">
      <w:pPr>
        <w:spacing w:after="0"/>
        <w:jc w:val="both"/>
        <w:rPr>
          <w:u w:val="none"/>
        </w:rPr>
      </w:pPr>
      <w:r w:rsidRPr="00705394">
        <w:rPr>
          <w:u w:val="none"/>
        </w:rPr>
        <w:t>In normal circumstances salary safeguarding will be for a period of three years from the date the teacher commenced their new role.  There are circumstances by which safeguarding will end prior to the third anniversary, these are detailed in paragraph 31.1 of the STPCD and include</w:t>
      </w:r>
      <w:r w:rsidR="000D04F0" w:rsidRPr="00705394">
        <w:rPr>
          <w:u w:val="none"/>
        </w:rPr>
        <w:t>:</w:t>
      </w:r>
    </w:p>
    <w:p w14:paraId="05774DDC" w14:textId="77777777" w:rsidR="00185902" w:rsidRPr="00705394" w:rsidRDefault="00185902" w:rsidP="00B42818">
      <w:pPr>
        <w:pStyle w:val="ListParagraph"/>
        <w:numPr>
          <w:ilvl w:val="0"/>
          <w:numId w:val="17"/>
        </w:numPr>
        <w:spacing w:after="0"/>
        <w:ind w:left="567" w:hanging="283"/>
        <w:jc w:val="both"/>
        <w:rPr>
          <w:u w:val="none"/>
        </w:rPr>
      </w:pPr>
      <w:r w:rsidRPr="00705394">
        <w:rPr>
          <w:u w:val="none"/>
        </w:rPr>
        <w:t>The teacher securing a post on a different pay range in the school, for example any promoted post (this does not apply to teachers moving to the UPR from the MPR</w:t>
      </w:r>
      <w:proofErr w:type="gramStart"/>
      <w:r w:rsidRPr="00705394">
        <w:rPr>
          <w:u w:val="none"/>
        </w:rPr>
        <w:t>);</w:t>
      </w:r>
      <w:proofErr w:type="gramEnd"/>
    </w:p>
    <w:p w14:paraId="4CF299FB" w14:textId="388A9A49" w:rsidR="00185902" w:rsidRPr="00705394" w:rsidRDefault="00185902" w:rsidP="00B42818">
      <w:pPr>
        <w:pStyle w:val="ListParagraph"/>
        <w:numPr>
          <w:ilvl w:val="0"/>
          <w:numId w:val="17"/>
        </w:numPr>
        <w:spacing w:after="0"/>
        <w:ind w:left="567" w:hanging="283"/>
        <w:jc w:val="both"/>
        <w:rPr>
          <w:u w:val="none"/>
        </w:rPr>
      </w:pPr>
      <w:r w:rsidRPr="00705394">
        <w:rPr>
          <w:u w:val="none"/>
        </w:rPr>
        <w:t>The teacher, following a pay assessment or further restructure, is awarded a salary which equals or exceeds the teacher’s pre-safeguarding salary</w:t>
      </w:r>
    </w:p>
    <w:p w14:paraId="120A20B5" w14:textId="1596D142" w:rsidR="00185902" w:rsidRPr="00705394" w:rsidRDefault="00185902" w:rsidP="00B42818">
      <w:pPr>
        <w:pStyle w:val="ListParagraph"/>
        <w:numPr>
          <w:ilvl w:val="0"/>
          <w:numId w:val="17"/>
        </w:numPr>
        <w:spacing w:after="0"/>
        <w:ind w:left="567" w:hanging="283"/>
        <w:jc w:val="both"/>
        <w:rPr>
          <w:u w:val="none"/>
        </w:rPr>
      </w:pPr>
      <w:r w:rsidRPr="00705394">
        <w:rPr>
          <w:u w:val="none"/>
        </w:rPr>
        <w:t xml:space="preserve">The teacher is awarded an increased salary which exceeds the combined value of the pre-safeguarded salary and </w:t>
      </w:r>
      <w:r w:rsidR="000D04F0" w:rsidRPr="00705394">
        <w:rPr>
          <w:u w:val="none"/>
        </w:rPr>
        <w:t>anyone</w:t>
      </w:r>
      <w:r w:rsidRPr="00705394">
        <w:rPr>
          <w:u w:val="none"/>
        </w:rPr>
        <w:t xml:space="preserve"> (or more) of the safeguarded sums (see example’s below).</w:t>
      </w:r>
    </w:p>
    <w:p w14:paraId="29957029" w14:textId="77777777" w:rsidR="002D1FDD" w:rsidRPr="00705394" w:rsidRDefault="002D1FDD" w:rsidP="00396DA7">
      <w:pPr>
        <w:spacing w:after="0"/>
        <w:ind w:left="284"/>
        <w:jc w:val="both"/>
        <w:rPr>
          <w:u w:val="none"/>
        </w:rPr>
      </w:pPr>
    </w:p>
    <w:p w14:paraId="64FC9568" w14:textId="077FA74D" w:rsidR="00185902" w:rsidRPr="00705394" w:rsidRDefault="00185902" w:rsidP="002E4798">
      <w:pPr>
        <w:spacing w:after="0"/>
        <w:jc w:val="both"/>
        <w:rPr>
          <w:u w:val="none"/>
        </w:rPr>
      </w:pPr>
      <w:r w:rsidRPr="00705394">
        <w:rPr>
          <w:u w:val="none"/>
        </w:rPr>
        <w:t xml:space="preserve">Where a pay determination leads or may lead to the start of a period of salary safeguarding the STPCD requires that the decision must be confirmed in writing, within one month of it </w:t>
      </w:r>
      <w:r w:rsidR="000D04F0" w:rsidRPr="00705394">
        <w:rPr>
          <w:u w:val="none"/>
        </w:rPr>
        <w:t>being made</w:t>
      </w:r>
      <w:r w:rsidRPr="00705394">
        <w:rPr>
          <w:u w:val="none"/>
        </w:rPr>
        <w:t xml:space="preserve"> to the teacher and the payroll provider.  Dates for the period of safeguarding are set out in the STPCD paragraph 35.1. </w:t>
      </w:r>
      <w:r w:rsidR="002D1FDD" w:rsidRPr="00705394">
        <w:rPr>
          <w:u w:val="none"/>
        </w:rPr>
        <w:t xml:space="preserve"> </w:t>
      </w:r>
      <w:r w:rsidRPr="007E3039">
        <w:rPr>
          <w:b/>
          <w:bCs/>
          <w:u w:val="none"/>
        </w:rPr>
        <w:t>Appendix 6</w:t>
      </w:r>
      <w:r w:rsidR="00965CA6" w:rsidRPr="007E3039">
        <w:rPr>
          <w:b/>
          <w:bCs/>
          <w:u w:val="none"/>
        </w:rPr>
        <w:t>a and 6b</w:t>
      </w:r>
      <w:r w:rsidR="002D1FDD" w:rsidRPr="007E3039">
        <w:rPr>
          <w:b/>
          <w:bCs/>
          <w:u w:val="none"/>
        </w:rPr>
        <w:t xml:space="preserve"> in the Pay Policy</w:t>
      </w:r>
      <w:r w:rsidRPr="007E3039">
        <w:rPr>
          <w:b/>
          <w:bCs/>
          <w:u w:val="none"/>
        </w:rPr>
        <w:t xml:space="preserve"> </w:t>
      </w:r>
      <w:r w:rsidR="0030509F" w:rsidRPr="007E3039">
        <w:rPr>
          <w:b/>
          <w:bCs/>
          <w:u w:val="none"/>
        </w:rPr>
        <w:t>Toolkit</w:t>
      </w:r>
      <w:r w:rsidR="0030509F" w:rsidRPr="00705394">
        <w:rPr>
          <w:u w:val="none"/>
        </w:rPr>
        <w:t xml:space="preserve"> </w:t>
      </w:r>
      <w:r w:rsidRPr="00705394">
        <w:rPr>
          <w:u w:val="none"/>
        </w:rPr>
        <w:t xml:space="preserve">provide templates. </w:t>
      </w:r>
    </w:p>
    <w:p w14:paraId="48FC9FAE" w14:textId="77777777" w:rsidR="002D1FDD" w:rsidRPr="00705394" w:rsidRDefault="002D1FDD" w:rsidP="002E4798">
      <w:pPr>
        <w:spacing w:after="0"/>
        <w:jc w:val="both"/>
        <w:rPr>
          <w:u w:val="none"/>
        </w:rPr>
      </w:pPr>
    </w:p>
    <w:p w14:paraId="1E86BB71" w14:textId="29370353" w:rsidR="00185902" w:rsidRPr="00705394" w:rsidRDefault="00185902" w:rsidP="002E4798">
      <w:pPr>
        <w:spacing w:after="0"/>
        <w:jc w:val="both"/>
        <w:rPr>
          <w:u w:val="none"/>
        </w:rPr>
      </w:pPr>
      <w:r w:rsidRPr="00705394">
        <w:rPr>
          <w:u w:val="none"/>
        </w:rPr>
        <w:t xml:space="preserve">Where a teacher is in receipt of a safeguarded sum which exceeds £500 in total, the governing body must review the teachers’ duties and responsibilities and allocate additional duties commensurate with the safeguarded sum for as long as it continues to be paid.  If the teacher refuses to carry out the additional duties the safeguarding may be terminated in writing by the governing body on provision of at least one month’s notice.  Where additional </w:t>
      </w:r>
      <w:r w:rsidRPr="00705394">
        <w:rPr>
          <w:u w:val="none"/>
        </w:rPr>
        <w:lastRenderedPageBreak/>
        <w:t xml:space="preserve">duties are </w:t>
      </w:r>
      <w:r w:rsidR="00CF1534" w:rsidRPr="00705394">
        <w:rPr>
          <w:u w:val="none"/>
        </w:rPr>
        <w:t>allocated,</w:t>
      </w:r>
      <w:r w:rsidRPr="00705394">
        <w:rPr>
          <w:u w:val="none"/>
        </w:rPr>
        <w:t xml:space="preserve"> they should be kept under review and payroll action taken when the period of safeguarding ends. </w:t>
      </w:r>
    </w:p>
    <w:p w14:paraId="31D1A0BD" w14:textId="77777777" w:rsidR="002E4798" w:rsidRPr="00705394" w:rsidRDefault="002E4798" w:rsidP="002E4798">
      <w:pPr>
        <w:spacing w:after="0"/>
        <w:jc w:val="both"/>
        <w:rPr>
          <w:u w:val="none"/>
        </w:rPr>
      </w:pPr>
    </w:p>
    <w:p w14:paraId="52103F76" w14:textId="4A1837FA" w:rsidR="005A1B14" w:rsidRPr="00705394" w:rsidRDefault="00185902" w:rsidP="002E4798">
      <w:pPr>
        <w:spacing w:after="0"/>
        <w:jc w:val="both"/>
        <w:rPr>
          <w:u w:val="none"/>
        </w:rPr>
      </w:pPr>
      <w:r w:rsidRPr="00705394">
        <w:rPr>
          <w:u w:val="none"/>
        </w:rPr>
        <w:t xml:space="preserve">Where teachers on a protected salary meet the person specification for new promoted posts within </w:t>
      </w:r>
      <w:r w:rsidR="00034A0F" w:rsidRPr="00705394">
        <w:rPr>
          <w:u w:val="none"/>
        </w:rPr>
        <w:t>school,</w:t>
      </w:r>
      <w:r w:rsidRPr="00705394">
        <w:rPr>
          <w:u w:val="none"/>
        </w:rPr>
        <w:t xml:space="preserve"> they will be expected to apply </w:t>
      </w:r>
      <w:r w:rsidR="009E590E" w:rsidRPr="00705394">
        <w:rPr>
          <w:u w:val="none"/>
        </w:rPr>
        <w:t>to</w:t>
      </w:r>
      <w:r w:rsidRPr="00705394">
        <w:rPr>
          <w:u w:val="none"/>
        </w:rPr>
        <w:t xml:space="preserve"> minimise any element of their salary which is safeguarded (for example a teacher on protected salary and previously paid as an AST).</w:t>
      </w:r>
      <w:r w:rsidR="00145398" w:rsidRPr="00705394">
        <w:rPr>
          <w:u w:val="none"/>
        </w:rPr>
        <w:t xml:space="preserve"> </w:t>
      </w:r>
      <w:r w:rsidRPr="00705394">
        <w:rPr>
          <w:u w:val="none"/>
        </w:rPr>
        <w:t>Teachers form</w:t>
      </w:r>
      <w:r w:rsidR="002D1FDD" w:rsidRPr="00705394">
        <w:rPr>
          <w:u w:val="none"/>
        </w:rPr>
        <w:t>er</w:t>
      </w:r>
      <w:r w:rsidRPr="00705394">
        <w:rPr>
          <w:u w:val="none"/>
        </w:rPr>
        <w:t>ly paid as</w:t>
      </w:r>
      <w:r w:rsidR="002D1FDD" w:rsidRPr="00705394">
        <w:rPr>
          <w:u w:val="none"/>
        </w:rPr>
        <w:t xml:space="preserve"> an</w:t>
      </w:r>
      <w:r w:rsidRPr="00705394">
        <w:rPr>
          <w:u w:val="none"/>
        </w:rPr>
        <w:t xml:space="preserve"> AST or ET will have </w:t>
      </w:r>
      <w:r w:rsidR="00996A8C" w:rsidRPr="00705394">
        <w:rPr>
          <w:u w:val="none"/>
        </w:rPr>
        <w:t xml:space="preserve">had </w:t>
      </w:r>
      <w:r w:rsidRPr="00705394">
        <w:rPr>
          <w:u w:val="none"/>
        </w:rPr>
        <w:t xml:space="preserve">their salary safeguarded in line with the 2012 STPCD. </w:t>
      </w:r>
      <w:r w:rsidR="00996A8C" w:rsidRPr="00705394">
        <w:rPr>
          <w:u w:val="none"/>
        </w:rPr>
        <w:t xml:space="preserve">These specific protections should now have ended. </w:t>
      </w:r>
    </w:p>
    <w:p w14:paraId="545F72AC" w14:textId="77777777" w:rsidR="005A1B14" w:rsidRPr="00705394" w:rsidRDefault="005A1B14" w:rsidP="002E4798">
      <w:pPr>
        <w:spacing w:after="0"/>
        <w:jc w:val="both"/>
      </w:pPr>
    </w:p>
    <w:p w14:paraId="6CBF2465" w14:textId="77777777" w:rsidR="0030509F" w:rsidRPr="00705394" w:rsidRDefault="0030509F" w:rsidP="002E4798">
      <w:pPr>
        <w:spacing w:after="0"/>
        <w:jc w:val="both"/>
      </w:pPr>
      <w:r w:rsidRPr="00705394">
        <w:t>Acting up or other temporary payment/allowance</w:t>
      </w:r>
      <w:r w:rsidR="00C91844" w:rsidRPr="00705394">
        <w:t>s</w:t>
      </w:r>
    </w:p>
    <w:p w14:paraId="7BE436D1" w14:textId="77777777" w:rsidR="0030509F" w:rsidRPr="00705394" w:rsidRDefault="0030509F" w:rsidP="002E4798">
      <w:pPr>
        <w:spacing w:after="0"/>
        <w:jc w:val="both"/>
        <w:rPr>
          <w:u w:val="none"/>
        </w:rPr>
      </w:pPr>
    </w:p>
    <w:p w14:paraId="7D17E124" w14:textId="77777777" w:rsidR="00302455" w:rsidRPr="00705394" w:rsidRDefault="00302455" w:rsidP="002E4798">
      <w:pPr>
        <w:spacing w:after="0"/>
        <w:jc w:val="both"/>
        <w:rPr>
          <w:u w:val="none"/>
        </w:rPr>
      </w:pPr>
      <w:r w:rsidRPr="00705394">
        <w:rPr>
          <w:u w:val="none"/>
        </w:rPr>
        <w:t>Salary safeguarding arrangements do not apply to temporary payments in any circumstances</w:t>
      </w:r>
      <w:r w:rsidR="00C91844" w:rsidRPr="00705394">
        <w:rPr>
          <w:u w:val="none"/>
        </w:rPr>
        <w:t>.</w:t>
      </w:r>
    </w:p>
    <w:p w14:paraId="18250D9A" w14:textId="77777777" w:rsidR="005B662D" w:rsidRPr="00705394" w:rsidRDefault="005B662D" w:rsidP="00396DA7">
      <w:pPr>
        <w:spacing w:after="0"/>
        <w:ind w:left="284"/>
        <w:jc w:val="both"/>
      </w:pPr>
    </w:p>
    <w:p w14:paraId="60879998" w14:textId="38E4BFB3" w:rsidR="00185902" w:rsidRPr="00705394" w:rsidRDefault="0030509F" w:rsidP="002E4798">
      <w:pPr>
        <w:spacing w:after="0"/>
        <w:jc w:val="both"/>
      </w:pPr>
      <w:r w:rsidRPr="00705394">
        <w:t>Paragraph 2</w:t>
      </w:r>
      <w:r w:rsidR="00C06C7A" w:rsidRPr="00705394">
        <w:t>6</w:t>
      </w:r>
      <w:r w:rsidRPr="00705394">
        <w:t xml:space="preserve">.1 </w:t>
      </w:r>
      <w:r w:rsidR="00185902" w:rsidRPr="00705394">
        <w:t xml:space="preserve">Support Staff </w:t>
      </w:r>
    </w:p>
    <w:p w14:paraId="4D1C5574" w14:textId="77777777" w:rsidR="002D1FDD" w:rsidRPr="00705394" w:rsidRDefault="002D1FDD" w:rsidP="002E4798">
      <w:pPr>
        <w:spacing w:after="0"/>
        <w:jc w:val="both"/>
        <w:rPr>
          <w:b/>
          <w:bCs/>
        </w:rPr>
      </w:pPr>
    </w:p>
    <w:p w14:paraId="530718EF" w14:textId="67F4A0B9" w:rsidR="00C91844" w:rsidRPr="00705394" w:rsidRDefault="00185902" w:rsidP="00C91844">
      <w:pPr>
        <w:spacing w:after="0"/>
        <w:jc w:val="both"/>
        <w:rPr>
          <w:u w:val="none"/>
        </w:rPr>
      </w:pPr>
      <w:r w:rsidRPr="00705394">
        <w:rPr>
          <w:u w:val="none"/>
        </w:rPr>
        <w:t>Pay protection for support staff will be in line with the County Council’s Pay Protection Policy</w:t>
      </w:r>
      <w:r w:rsidR="00C06C7A" w:rsidRPr="00705394">
        <w:rPr>
          <w:u w:val="none"/>
        </w:rPr>
        <w:t xml:space="preserve"> and will </w:t>
      </w:r>
      <w:r w:rsidRPr="00705394">
        <w:rPr>
          <w:u w:val="none"/>
        </w:rPr>
        <w:t>apply where</w:t>
      </w:r>
      <w:r w:rsidR="00CF1534" w:rsidRPr="00705394">
        <w:rPr>
          <w:u w:val="none"/>
        </w:rPr>
        <w:t>:</w:t>
      </w:r>
    </w:p>
    <w:p w14:paraId="525461D7" w14:textId="2EC6C854" w:rsidR="00185902" w:rsidRPr="00705394" w:rsidRDefault="00185902" w:rsidP="00C91844">
      <w:pPr>
        <w:numPr>
          <w:ilvl w:val="0"/>
          <w:numId w:val="15"/>
        </w:numPr>
        <w:spacing w:after="0"/>
        <w:ind w:left="709" w:hanging="425"/>
        <w:jc w:val="both"/>
        <w:rPr>
          <w:u w:val="none"/>
        </w:rPr>
      </w:pPr>
      <w:r w:rsidRPr="00705394">
        <w:rPr>
          <w:u w:val="none"/>
        </w:rPr>
        <w:t xml:space="preserve">The grade for a post has been re-evaluated </w:t>
      </w:r>
      <w:r w:rsidR="0030509F" w:rsidRPr="00705394">
        <w:rPr>
          <w:u w:val="none"/>
        </w:rPr>
        <w:t xml:space="preserve">following a change in duties or responsibilities </w:t>
      </w:r>
      <w:r w:rsidRPr="00705394">
        <w:rPr>
          <w:u w:val="none"/>
        </w:rPr>
        <w:t>at a lower level and has a current incumbent</w:t>
      </w:r>
    </w:p>
    <w:p w14:paraId="0A3A46DB" w14:textId="77777777" w:rsidR="00185902" w:rsidRPr="00705394" w:rsidRDefault="00185902" w:rsidP="00C91844">
      <w:pPr>
        <w:numPr>
          <w:ilvl w:val="0"/>
          <w:numId w:val="15"/>
        </w:numPr>
        <w:spacing w:after="0"/>
        <w:ind w:left="709" w:hanging="425"/>
        <w:jc w:val="both"/>
        <w:rPr>
          <w:u w:val="none"/>
        </w:rPr>
      </w:pPr>
      <w:r w:rsidRPr="00705394">
        <w:rPr>
          <w:u w:val="none"/>
        </w:rPr>
        <w:t>A restructure leads to an employee being e</w:t>
      </w:r>
      <w:r w:rsidR="002D1FDD" w:rsidRPr="00705394">
        <w:rPr>
          <w:u w:val="none"/>
        </w:rPr>
        <w:t>nabled into a lower graded post.</w:t>
      </w:r>
    </w:p>
    <w:p w14:paraId="78BCF98D" w14:textId="7E5078CB" w:rsidR="002D1FDD" w:rsidRPr="00705394" w:rsidRDefault="00185902" w:rsidP="00C91844">
      <w:pPr>
        <w:pStyle w:val="NormalWeb"/>
        <w:spacing w:after="0" w:afterAutospacing="0" w:line="276" w:lineRule="auto"/>
        <w:jc w:val="both"/>
        <w:rPr>
          <w:rFonts w:ascii="Arial" w:hAnsi="Arial" w:cs="Arial"/>
          <w:u w:val="none"/>
        </w:rPr>
      </w:pPr>
      <w:r w:rsidRPr="00705394">
        <w:rPr>
          <w:rFonts w:ascii="Arial" w:hAnsi="Arial" w:cs="Arial"/>
          <w:u w:val="none"/>
        </w:rPr>
        <w:t>The employee will receive salary protection</w:t>
      </w:r>
      <w:r w:rsidR="006059B7" w:rsidRPr="00705394">
        <w:rPr>
          <w:rFonts w:ascii="Arial" w:hAnsi="Arial" w:cs="Arial"/>
          <w:u w:val="none"/>
        </w:rPr>
        <w:t xml:space="preserve">, for maintained schools in line with the Nottinghamshire County Council Scheme, currently </w:t>
      </w:r>
      <w:r w:rsidRPr="00705394">
        <w:rPr>
          <w:rFonts w:ascii="Arial" w:hAnsi="Arial" w:cs="Arial"/>
          <w:u w:val="none"/>
        </w:rPr>
        <w:t xml:space="preserve">for a period of </w:t>
      </w:r>
      <w:r w:rsidR="00344CC2" w:rsidRPr="00705394">
        <w:rPr>
          <w:rFonts w:ascii="Arial" w:hAnsi="Arial" w:cs="Arial"/>
          <w:u w:val="none"/>
        </w:rPr>
        <w:t>one</w:t>
      </w:r>
      <w:r w:rsidRPr="00705394">
        <w:rPr>
          <w:rFonts w:ascii="Arial" w:hAnsi="Arial" w:cs="Arial"/>
          <w:u w:val="none"/>
        </w:rPr>
        <w:t xml:space="preserve"> year, but with salary being frozen at the point at which pay protection starts, i.e., employees will not receive any subsequent incremental increases or annual cost of living pay awards.  At the end of the protection period the employee will revert to the maximum spinal column point of the substantive grade of their post.</w:t>
      </w:r>
      <w:r w:rsidR="00240013" w:rsidRPr="00705394">
        <w:rPr>
          <w:rFonts w:ascii="Arial" w:hAnsi="Arial" w:cs="Arial"/>
          <w:u w:val="none"/>
        </w:rPr>
        <w:t xml:space="preserve"> </w:t>
      </w:r>
    </w:p>
    <w:p w14:paraId="04BE86B2" w14:textId="77777777" w:rsidR="00185902" w:rsidRPr="00705394" w:rsidRDefault="00C91844" w:rsidP="002E4798">
      <w:pPr>
        <w:spacing w:after="0"/>
        <w:jc w:val="both"/>
      </w:pPr>
      <w:r w:rsidRPr="00705394">
        <w:br/>
      </w:r>
      <w:r w:rsidR="00034A0F" w:rsidRPr="00705394">
        <w:t>E</w:t>
      </w:r>
      <w:r w:rsidR="00185902" w:rsidRPr="00705394">
        <w:t xml:space="preserve">xamples of Salary Safeguarding </w:t>
      </w:r>
      <w:r w:rsidR="00965CA6" w:rsidRPr="00705394">
        <w:t>– T</w:t>
      </w:r>
      <w:r w:rsidR="00185902" w:rsidRPr="00705394">
        <w:t xml:space="preserve">eachers </w:t>
      </w:r>
    </w:p>
    <w:p w14:paraId="1C420081" w14:textId="77777777" w:rsidR="00185902" w:rsidRPr="00705394" w:rsidRDefault="00185902" w:rsidP="002E4798">
      <w:pPr>
        <w:spacing w:after="0"/>
        <w:jc w:val="both"/>
        <w:rPr>
          <w:u w:val="none"/>
        </w:rPr>
      </w:pPr>
      <w:r w:rsidRPr="00705394">
        <w:rPr>
          <w:u w:val="none"/>
        </w:rPr>
        <w:t>The key point is that a teacher is entitled to receive the full safeguarded sum until such time as their new salary equals or exceeds the original salary and safeguarded sum combined.  This combined amount is referred t</w:t>
      </w:r>
      <w:r w:rsidR="005D5077" w:rsidRPr="00705394">
        <w:rPr>
          <w:u w:val="none"/>
        </w:rPr>
        <w:t xml:space="preserve">o as the ‘salary of reference’.  </w:t>
      </w:r>
      <w:proofErr w:type="gramStart"/>
      <w:r w:rsidRPr="00705394">
        <w:rPr>
          <w:u w:val="none"/>
        </w:rPr>
        <w:t>All of</w:t>
      </w:r>
      <w:proofErr w:type="gramEnd"/>
      <w:r w:rsidRPr="00705394">
        <w:rPr>
          <w:u w:val="none"/>
        </w:rPr>
        <w:t xml:space="preserve"> the examples assume a 1% pay award each year.</w:t>
      </w:r>
    </w:p>
    <w:p w14:paraId="2B1A244A" w14:textId="77777777" w:rsidR="005D5077" w:rsidRPr="00705394" w:rsidRDefault="005D5077" w:rsidP="002E4798">
      <w:pPr>
        <w:spacing w:after="0"/>
        <w:jc w:val="both"/>
        <w:rPr>
          <w:u w:val="none"/>
        </w:rPr>
      </w:pPr>
    </w:p>
    <w:p w14:paraId="24EEF30A" w14:textId="77777777" w:rsidR="00185902" w:rsidRPr="00705394" w:rsidRDefault="00185902" w:rsidP="002E4798">
      <w:pPr>
        <w:tabs>
          <w:tab w:val="left" w:pos="0"/>
        </w:tabs>
        <w:ind w:left="284" w:hanging="284"/>
        <w:jc w:val="both"/>
        <w:rPr>
          <w:b/>
          <w:u w:val="none"/>
        </w:rPr>
      </w:pPr>
      <w:r w:rsidRPr="00705394">
        <w:rPr>
          <w:b/>
          <w:u w:val="none"/>
        </w:rPr>
        <w:t>Example 1</w:t>
      </w:r>
    </w:p>
    <w:tbl>
      <w:tblPr>
        <w:tblW w:w="9149" w:type="dxa"/>
        <w:tblInd w:w="-5" w:type="dxa"/>
        <w:tblLayout w:type="fixed"/>
        <w:tblLook w:val="00A0" w:firstRow="1" w:lastRow="0" w:firstColumn="1" w:lastColumn="0" w:noHBand="0" w:noVBand="0"/>
      </w:tblPr>
      <w:tblGrid>
        <w:gridCol w:w="1134"/>
        <w:gridCol w:w="15"/>
        <w:gridCol w:w="1403"/>
        <w:gridCol w:w="850"/>
        <w:gridCol w:w="1843"/>
        <w:gridCol w:w="1276"/>
        <w:gridCol w:w="2628"/>
      </w:tblGrid>
      <w:tr w:rsidR="00705394" w:rsidRPr="00705394" w14:paraId="461938EE" w14:textId="77777777" w:rsidTr="008E3211">
        <w:trPr>
          <w:trHeight w:val="315"/>
        </w:trPr>
        <w:tc>
          <w:tcPr>
            <w:tcW w:w="9149" w:type="dxa"/>
            <w:gridSpan w:val="7"/>
            <w:tcBorders>
              <w:top w:val="single" w:sz="4" w:space="0" w:color="auto"/>
              <w:left w:val="single" w:sz="4" w:space="0" w:color="auto"/>
              <w:bottom w:val="single" w:sz="4" w:space="0" w:color="auto"/>
              <w:right w:val="single" w:sz="4" w:space="0" w:color="auto"/>
            </w:tcBorders>
            <w:noWrap/>
            <w:vAlign w:val="bottom"/>
          </w:tcPr>
          <w:p w14:paraId="7DEE9D65"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MPR 3 Teacher loses TLR and receives normal annual pay progression</w:t>
            </w:r>
          </w:p>
        </w:tc>
      </w:tr>
      <w:tr w:rsidR="00705394" w:rsidRPr="00705394" w14:paraId="5A558EE5" w14:textId="77777777" w:rsidTr="00E35080">
        <w:trPr>
          <w:trHeight w:val="600"/>
        </w:trPr>
        <w:tc>
          <w:tcPr>
            <w:tcW w:w="1134" w:type="dxa"/>
            <w:tcBorders>
              <w:top w:val="nil"/>
              <w:left w:val="single" w:sz="4" w:space="0" w:color="auto"/>
              <w:bottom w:val="single" w:sz="4" w:space="0" w:color="auto"/>
              <w:right w:val="single" w:sz="4" w:space="0" w:color="auto"/>
            </w:tcBorders>
            <w:vAlign w:val="bottom"/>
          </w:tcPr>
          <w:p w14:paraId="50A9EB6F"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Date</w:t>
            </w:r>
          </w:p>
        </w:tc>
        <w:tc>
          <w:tcPr>
            <w:tcW w:w="1418" w:type="dxa"/>
            <w:gridSpan w:val="2"/>
            <w:tcBorders>
              <w:top w:val="nil"/>
              <w:left w:val="nil"/>
              <w:bottom w:val="single" w:sz="4" w:space="0" w:color="auto"/>
              <w:right w:val="single" w:sz="4" w:space="0" w:color="auto"/>
            </w:tcBorders>
            <w:vAlign w:val="bottom"/>
          </w:tcPr>
          <w:p w14:paraId="21B9ED86"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Pay Point</w:t>
            </w:r>
          </w:p>
        </w:tc>
        <w:tc>
          <w:tcPr>
            <w:tcW w:w="850" w:type="dxa"/>
            <w:tcBorders>
              <w:top w:val="nil"/>
              <w:left w:val="nil"/>
              <w:bottom w:val="single" w:sz="4" w:space="0" w:color="auto"/>
              <w:right w:val="single" w:sz="4" w:space="0" w:color="auto"/>
            </w:tcBorders>
            <w:vAlign w:val="bottom"/>
          </w:tcPr>
          <w:p w14:paraId="74D9EC3E"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Salary</w:t>
            </w:r>
          </w:p>
        </w:tc>
        <w:tc>
          <w:tcPr>
            <w:tcW w:w="1843" w:type="dxa"/>
            <w:tcBorders>
              <w:top w:val="nil"/>
              <w:left w:val="nil"/>
              <w:bottom w:val="single" w:sz="4" w:space="0" w:color="auto"/>
              <w:right w:val="single" w:sz="4" w:space="0" w:color="auto"/>
            </w:tcBorders>
            <w:vAlign w:val="bottom"/>
          </w:tcPr>
          <w:p w14:paraId="6748FA10"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Value of TLR</w:t>
            </w:r>
          </w:p>
        </w:tc>
        <w:tc>
          <w:tcPr>
            <w:tcW w:w="1276" w:type="dxa"/>
            <w:tcBorders>
              <w:top w:val="nil"/>
              <w:left w:val="nil"/>
              <w:bottom w:val="single" w:sz="4" w:space="0" w:color="auto"/>
              <w:right w:val="single" w:sz="4" w:space="0" w:color="auto"/>
            </w:tcBorders>
            <w:vAlign w:val="bottom"/>
          </w:tcPr>
          <w:p w14:paraId="75AE153F"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Total Salary</w:t>
            </w:r>
          </w:p>
        </w:tc>
        <w:tc>
          <w:tcPr>
            <w:tcW w:w="2628" w:type="dxa"/>
            <w:tcBorders>
              <w:top w:val="nil"/>
              <w:left w:val="nil"/>
              <w:bottom w:val="single" w:sz="4" w:space="0" w:color="auto"/>
              <w:right w:val="single" w:sz="4" w:space="0" w:color="auto"/>
            </w:tcBorders>
            <w:vAlign w:val="bottom"/>
          </w:tcPr>
          <w:p w14:paraId="3271FF22"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Comment</w:t>
            </w:r>
          </w:p>
        </w:tc>
      </w:tr>
      <w:tr w:rsidR="00705394" w:rsidRPr="00705394" w14:paraId="7C608BB3" w14:textId="77777777" w:rsidTr="00E35080">
        <w:trPr>
          <w:trHeight w:val="300"/>
        </w:trPr>
        <w:tc>
          <w:tcPr>
            <w:tcW w:w="1134" w:type="dxa"/>
            <w:tcBorders>
              <w:top w:val="nil"/>
              <w:left w:val="single" w:sz="4" w:space="0" w:color="auto"/>
              <w:bottom w:val="single" w:sz="4" w:space="0" w:color="auto"/>
              <w:right w:val="single" w:sz="4" w:space="0" w:color="auto"/>
            </w:tcBorders>
            <w:noWrap/>
            <w:vAlign w:val="bottom"/>
          </w:tcPr>
          <w:p w14:paraId="1F57D557"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31.08.14</w:t>
            </w:r>
          </w:p>
        </w:tc>
        <w:tc>
          <w:tcPr>
            <w:tcW w:w="1418" w:type="dxa"/>
            <w:gridSpan w:val="2"/>
            <w:tcBorders>
              <w:top w:val="nil"/>
              <w:left w:val="nil"/>
              <w:bottom w:val="single" w:sz="4" w:space="0" w:color="auto"/>
              <w:right w:val="single" w:sz="4" w:space="0" w:color="auto"/>
            </w:tcBorders>
            <w:noWrap/>
            <w:vAlign w:val="bottom"/>
          </w:tcPr>
          <w:p w14:paraId="07A01E89"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M3</w:t>
            </w:r>
          </w:p>
        </w:tc>
        <w:tc>
          <w:tcPr>
            <w:tcW w:w="850" w:type="dxa"/>
            <w:tcBorders>
              <w:top w:val="nil"/>
              <w:left w:val="nil"/>
              <w:bottom w:val="single" w:sz="4" w:space="0" w:color="auto"/>
              <w:right w:val="single" w:sz="4" w:space="0" w:color="auto"/>
            </w:tcBorders>
            <w:noWrap/>
            <w:vAlign w:val="bottom"/>
          </w:tcPr>
          <w:p w14:paraId="24C01C87"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25,420</w:t>
            </w:r>
          </w:p>
        </w:tc>
        <w:tc>
          <w:tcPr>
            <w:tcW w:w="1843" w:type="dxa"/>
            <w:tcBorders>
              <w:top w:val="nil"/>
              <w:left w:val="nil"/>
              <w:bottom w:val="single" w:sz="4" w:space="0" w:color="auto"/>
              <w:right w:val="single" w:sz="4" w:space="0" w:color="auto"/>
            </w:tcBorders>
            <w:noWrap/>
            <w:vAlign w:val="bottom"/>
          </w:tcPr>
          <w:p w14:paraId="791327B4"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2,535</w:t>
            </w:r>
          </w:p>
        </w:tc>
        <w:tc>
          <w:tcPr>
            <w:tcW w:w="1276" w:type="dxa"/>
            <w:tcBorders>
              <w:top w:val="nil"/>
              <w:left w:val="nil"/>
              <w:bottom w:val="single" w:sz="4" w:space="0" w:color="auto"/>
              <w:right w:val="single" w:sz="4" w:space="0" w:color="auto"/>
            </w:tcBorders>
            <w:noWrap/>
            <w:vAlign w:val="bottom"/>
          </w:tcPr>
          <w:p w14:paraId="6EE71B39"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27,955</w:t>
            </w:r>
          </w:p>
        </w:tc>
        <w:tc>
          <w:tcPr>
            <w:tcW w:w="2628" w:type="dxa"/>
            <w:tcBorders>
              <w:top w:val="nil"/>
              <w:left w:val="nil"/>
              <w:bottom w:val="single" w:sz="4" w:space="0" w:color="auto"/>
              <w:right w:val="single" w:sz="4" w:space="0" w:color="auto"/>
            </w:tcBorders>
            <w:noWrap/>
            <w:vAlign w:val="bottom"/>
          </w:tcPr>
          <w:p w14:paraId="330C5D35"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27,955 = salary of reference (</w:t>
            </w:r>
            <w:proofErr w:type="spellStart"/>
            <w:r w:rsidRPr="00705394">
              <w:rPr>
                <w:sz w:val="20"/>
                <w:szCs w:val="20"/>
                <w:u w:val="none"/>
                <w:lang w:eastAsia="en-GB"/>
              </w:rPr>
              <w:t>SoR</w:t>
            </w:r>
            <w:proofErr w:type="spellEnd"/>
            <w:r w:rsidRPr="00705394">
              <w:rPr>
                <w:sz w:val="20"/>
                <w:szCs w:val="20"/>
                <w:u w:val="none"/>
                <w:lang w:eastAsia="en-GB"/>
              </w:rPr>
              <w:t>)</w:t>
            </w:r>
          </w:p>
        </w:tc>
      </w:tr>
      <w:tr w:rsidR="00705394" w:rsidRPr="00705394" w14:paraId="4BF178BF" w14:textId="77777777" w:rsidTr="00E35080">
        <w:trPr>
          <w:trHeight w:val="600"/>
        </w:trPr>
        <w:tc>
          <w:tcPr>
            <w:tcW w:w="3402" w:type="dxa"/>
            <w:gridSpan w:val="4"/>
            <w:tcBorders>
              <w:top w:val="single" w:sz="4" w:space="0" w:color="auto"/>
              <w:left w:val="single" w:sz="4" w:space="0" w:color="auto"/>
              <w:bottom w:val="single" w:sz="4" w:space="0" w:color="auto"/>
              <w:right w:val="single" w:sz="4" w:space="0" w:color="000000"/>
            </w:tcBorders>
            <w:vAlign w:val="bottom"/>
          </w:tcPr>
          <w:p w14:paraId="1EDC3CE1"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 </w:t>
            </w:r>
          </w:p>
        </w:tc>
        <w:tc>
          <w:tcPr>
            <w:tcW w:w="1843" w:type="dxa"/>
            <w:tcBorders>
              <w:top w:val="nil"/>
              <w:left w:val="nil"/>
              <w:bottom w:val="single" w:sz="4" w:space="0" w:color="auto"/>
              <w:right w:val="single" w:sz="4" w:space="0" w:color="auto"/>
            </w:tcBorders>
            <w:vAlign w:val="bottom"/>
          </w:tcPr>
          <w:p w14:paraId="0218381E"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Safeguarded Sum</w:t>
            </w:r>
          </w:p>
        </w:tc>
        <w:tc>
          <w:tcPr>
            <w:tcW w:w="3904" w:type="dxa"/>
            <w:gridSpan w:val="2"/>
            <w:tcBorders>
              <w:top w:val="single" w:sz="4" w:space="0" w:color="auto"/>
              <w:left w:val="nil"/>
              <w:bottom w:val="single" w:sz="4" w:space="0" w:color="auto"/>
              <w:right w:val="single" w:sz="4" w:space="0" w:color="000000"/>
            </w:tcBorders>
            <w:vAlign w:val="bottom"/>
          </w:tcPr>
          <w:p w14:paraId="762D8919"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 </w:t>
            </w:r>
          </w:p>
        </w:tc>
      </w:tr>
      <w:tr w:rsidR="00705394" w:rsidRPr="00705394" w14:paraId="6486F7A7" w14:textId="77777777" w:rsidTr="00E35080">
        <w:trPr>
          <w:trHeight w:val="300"/>
        </w:trPr>
        <w:tc>
          <w:tcPr>
            <w:tcW w:w="1149" w:type="dxa"/>
            <w:gridSpan w:val="2"/>
            <w:tcBorders>
              <w:top w:val="nil"/>
              <w:left w:val="single" w:sz="4" w:space="0" w:color="auto"/>
              <w:bottom w:val="single" w:sz="4" w:space="0" w:color="auto"/>
              <w:right w:val="single" w:sz="4" w:space="0" w:color="auto"/>
            </w:tcBorders>
            <w:noWrap/>
            <w:vAlign w:val="bottom"/>
          </w:tcPr>
          <w:p w14:paraId="09B2211D"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01.09.14</w:t>
            </w:r>
          </w:p>
        </w:tc>
        <w:tc>
          <w:tcPr>
            <w:tcW w:w="1403" w:type="dxa"/>
            <w:tcBorders>
              <w:top w:val="nil"/>
              <w:left w:val="nil"/>
              <w:bottom w:val="single" w:sz="4" w:space="0" w:color="auto"/>
              <w:right w:val="single" w:sz="4" w:space="0" w:color="auto"/>
            </w:tcBorders>
            <w:noWrap/>
            <w:vAlign w:val="bottom"/>
          </w:tcPr>
          <w:p w14:paraId="11AD1454"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M4</w:t>
            </w:r>
          </w:p>
        </w:tc>
        <w:tc>
          <w:tcPr>
            <w:tcW w:w="850" w:type="dxa"/>
            <w:tcBorders>
              <w:top w:val="nil"/>
              <w:left w:val="nil"/>
              <w:bottom w:val="single" w:sz="4" w:space="0" w:color="auto"/>
              <w:right w:val="single" w:sz="4" w:space="0" w:color="auto"/>
            </w:tcBorders>
            <w:noWrap/>
            <w:vAlign w:val="bottom"/>
          </w:tcPr>
          <w:p w14:paraId="37F1963C"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27,650</w:t>
            </w:r>
          </w:p>
        </w:tc>
        <w:tc>
          <w:tcPr>
            <w:tcW w:w="1843" w:type="dxa"/>
            <w:tcBorders>
              <w:top w:val="nil"/>
              <w:left w:val="nil"/>
              <w:bottom w:val="single" w:sz="4" w:space="0" w:color="auto"/>
              <w:right w:val="single" w:sz="4" w:space="0" w:color="auto"/>
            </w:tcBorders>
            <w:noWrap/>
            <w:vAlign w:val="bottom"/>
          </w:tcPr>
          <w:p w14:paraId="4A1D4CB8"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2,535</w:t>
            </w:r>
          </w:p>
        </w:tc>
        <w:tc>
          <w:tcPr>
            <w:tcW w:w="1276" w:type="dxa"/>
            <w:tcBorders>
              <w:top w:val="nil"/>
              <w:left w:val="nil"/>
              <w:bottom w:val="single" w:sz="4" w:space="0" w:color="auto"/>
              <w:right w:val="single" w:sz="4" w:space="0" w:color="auto"/>
            </w:tcBorders>
            <w:noWrap/>
            <w:vAlign w:val="bottom"/>
          </w:tcPr>
          <w:p w14:paraId="61150F46"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30,185</w:t>
            </w:r>
          </w:p>
        </w:tc>
        <w:tc>
          <w:tcPr>
            <w:tcW w:w="2628" w:type="dxa"/>
            <w:tcBorders>
              <w:top w:val="nil"/>
              <w:left w:val="nil"/>
              <w:bottom w:val="single" w:sz="4" w:space="0" w:color="auto"/>
              <w:right w:val="single" w:sz="4" w:space="0" w:color="auto"/>
            </w:tcBorders>
            <w:noWrap/>
            <w:vAlign w:val="bottom"/>
          </w:tcPr>
          <w:p w14:paraId="7FF7E7DD"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 xml:space="preserve">M4 salary does not exceed </w:t>
            </w:r>
            <w:proofErr w:type="spellStart"/>
            <w:r w:rsidRPr="00705394">
              <w:rPr>
                <w:sz w:val="20"/>
                <w:szCs w:val="20"/>
                <w:u w:val="none"/>
                <w:lang w:eastAsia="en-GB"/>
              </w:rPr>
              <w:t>SoR</w:t>
            </w:r>
            <w:proofErr w:type="spellEnd"/>
          </w:p>
        </w:tc>
      </w:tr>
      <w:tr w:rsidR="00705394" w:rsidRPr="00705394" w14:paraId="3E3FD452" w14:textId="77777777" w:rsidTr="00E35080">
        <w:trPr>
          <w:trHeight w:val="300"/>
        </w:trPr>
        <w:tc>
          <w:tcPr>
            <w:tcW w:w="1149" w:type="dxa"/>
            <w:gridSpan w:val="2"/>
            <w:tcBorders>
              <w:top w:val="nil"/>
              <w:left w:val="single" w:sz="4" w:space="0" w:color="auto"/>
              <w:bottom w:val="single" w:sz="4" w:space="0" w:color="auto"/>
              <w:right w:val="single" w:sz="4" w:space="0" w:color="auto"/>
            </w:tcBorders>
            <w:noWrap/>
            <w:vAlign w:val="bottom"/>
          </w:tcPr>
          <w:p w14:paraId="28D7B0F0"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01.09.15</w:t>
            </w:r>
          </w:p>
        </w:tc>
        <w:tc>
          <w:tcPr>
            <w:tcW w:w="1403" w:type="dxa"/>
            <w:tcBorders>
              <w:top w:val="nil"/>
              <w:left w:val="nil"/>
              <w:bottom w:val="single" w:sz="4" w:space="0" w:color="auto"/>
              <w:right w:val="single" w:sz="4" w:space="0" w:color="auto"/>
            </w:tcBorders>
            <w:noWrap/>
            <w:vAlign w:val="bottom"/>
          </w:tcPr>
          <w:p w14:paraId="75ABB6E9"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M5</w:t>
            </w:r>
          </w:p>
        </w:tc>
        <w:tc>
          <w:tcPr>
            <w:tcW w:w="850" w:type="dxa"/>
            <w:tcBorders>
              <w:top w:val="nil"/>
              <w:left w:val="nil"/>
              <w:bottom w:val="single" w:sz="4" w:space="0" w:color="auto"/>
              <w:right w:val="single" w:sz="4" w:space="0" w:color="auto"/>
            </w:tcBorders>
            <w:noWrap/>
            <w:vAlign w:val="bottom"/>
          </w:tcPr>
          <w:p w14:paraId="5794ECAC"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30,127</w:t>
            </w:r>
          </w:p>
        </w:tc>
        <w:tc>
          <w:tcPr>
            <w:tcW w:w="1843" w:type="dxa"/>
            <w:tcBorders>
              <w:top w:val="nil"/>
              <w:left w:val="nil"/>
              <w:bottom w:val="single" w:sz="4" w:space="0" w:color="auto"/>
              <w:right w:val="single" w:sz="4" w:space="0" w:color="auto"/>
            </w:tcBorders>
            <w:noWrap/>
            <w:vAlign w:val="bottom"/>
          </w:tcPr>
          <w:p w14:paraId="07486F36"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 </w:t>
            </w:r>
          </w:p>
        </w:tc>
        <w:tc>
          <w:tcPr>
            <w:tcW w:w="1276" w:type="dxa"/>
            <w:tcBorders>
              <w:top w:val="nil"/>
              <w:left w:val="nil"/>
              <w:bottom w:val="single" w:sz="4" w:space="0" w:color="auto"/>
              <w:right w:val="single" w:sz="4" w:space="0" w:color="auto"/>
            </w:tcBorders>
            <w:noWrap/>
            <w:vAlign w:val="bottom"/>
          </w:tcPr>
          <w:p w14:paraId="00DF0D3D"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30,127</w:t>
            </w:r>
          </w:p>
        </w:tc>
        <w:tc>
          <w:tcPr>
            <w:tcW w:w="2628" w:type="dxa"/>
            <w:tcBorders>
              <w:top w:val="nil"/>
              <w:left w:val="nil"/>
              <w:bottom w:val="single" w:sz="4" w:space="0" w:color="auto"/>
              <w:right w:val="single" w:sz="4" w:space="0" w:color="auto"/>
            </w:tcBorders>
            <w:noWrap/>
            <w:vAlign w:val="bottom"/>
          </w:tcPr>
          <w:p w14:paraId="080B8D7E"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 xml:space="preserve">M5 salary exceeds </w:t>
            </w:r>
            <w:proofErr w:type="spellStart"/>
            <w:r w:rsidRPr="00705394">
              <w:rPr>
                <w:sz w:val="20"/>
                <w:szCs w:val="20"/>
                <w:u w:val="none"/>
                <w:lang w:eastAsia="en-GB"/>
              </w:rPr>
              <w:t>SoR</w:t>
            </w:r>
            <w:proofErr w:type="spellEnd"/>
            <w:r w:rsidRPr="00705394">
              <w:rPr>
                <w:sz w:val="20"/>
                <w:szCs w:val="20"/>
                <w:u w:val="none"/>
                <w:lang w:eastAsia="en-GB"/>
              </w:rPr>
              <w:t>, safeguarding ceases</w:t>
            </w:r>
          </w:p>
        </w:tc>
      </w:tr>
    </w:tbl>
    <w:p w14:paraId="31C11FF3" w14:textId="77777777" w:rsidR="00774D3A" w:rsidRPr="00705394" w:rsidRDefault="00185902" w:rsidP="002E4798">
      <w:pPr>
        <w:jc w:val="both"/>
        <w:rPr>
          <w:u w:val="none"/>
        </w:rPr>
      </w:pPr>
      <w:r w:rsidRPr="00705394">
        <w:rPr>
          <w:sz w:val="20"/>
          <w:szCs w:val="20"/>
          <w:u w:val="none"/>
        </w:rPr>
        <w:lastRenderedPageBreak/>
        <w:br/>
      </w:r>
      <w:r w:rsidRPr="00705394">
        <w:rPr>
          <w:u w:val="none"/>
        </w:rPr>
        <w:t xml:space="preserve">In this example the new salary does not exceed the salary of reference until 1 September 2015, at which point the </w:t>
      </w:r>
      <w:r w:rsidR="00E35080" w:rsidRPr="00705394">
        <w:rPr>
          <w:u w:val="none"/>
        </w:rPr>
        <w:t>salary safeguarding will cease.</w:t>
      </w:r>
    </w:p>
    <w:p w14:paraId="0FAD916E" w14:textId="77777777" w:rsidR="00185902" w:rsidRPr="00705394" w:rsidRDefault="00634CE5" w:rsidP="002E4798">
      <w:pPr>
        <w:jc w:val="both"/>
        <w:rPr>
          <w:b/>
          <w:u w:val="none"/>
        </w:rPr>
      </w:pPr>
      <w:r w:rsidRPr="00705394">
        <w:rPr>
          <w:b/>
          <w:u w:val="none"/>
        </w:rPr>
        <w:t>E</w:t>
      </w:r>
      <w:r w:rsidR="00185902" w:rsidRPr="00705394">
        <w:rPr>
          <w:b/>
          <w:u w:val="none"/>
        </w:rPr>
        <w:t>xample 2</w:t>
      </w:r>
    </w:p>
    <w:tbl>
      <w:tblPr>
        <w:tblW w:w="9639" w:type="dxa"/>
        <w:tblInd w:w="-5" w:type="dxa"/>
        <w:tblLook w:val="00A0" w:firstRow="1" w:lastRow="0" w:firstColumn="1" w:lastColumn="0" w:noHBand="0" w:noVBand="0"/>
      </w:tblPr>
      <w:tblGrid>
        <w:gridCol w:w="1279"/>
        <w:gridCol w:w="1000"/>
        <w:gridCol w:w="1112"/>
        <w:gridCol w:w="1712"/>
        <w:gridCol w:w="1112"/>
        <w:gridCol w:w="3424"/>
      </w:tblGrid>
      <w:tr w:rsidR="00705394" w:rsidRPr="00705394" w14:paraId="6CD75CEB" w14:textId="77777777" w:rsidTr="00774D3A">
        <w:trPr>
          <w:trHeight w:val="315"/>
        </w:trPr>
        <w:tc>
          <w:tcPr>
            <w:tcW w:w="9639" w:type="dxa"/>
            <w:gridSpan w:val="6"/>
            <w:tcBorders>
              <w:top w:val="single" w:sz="4" w:space="0" w:color="auto"/>
              <w:left w:val="single" w:sz="4" w:space="0" w:color="auto"/>
              <w:bottom w:val="single" w:sz="4" w:space="0" w:color="auto"/>
              <w:right w:val="single" w:sz="4" w:space="0" w:color="auto"/>
            </w:tcBorders>
            <w:noWrap/>
            <w:vAlign w:val="bottom"/>
          </w:tcPr>
          <w:p w14:paraId="10B0E1E9"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MPR 6 Teacher loses TLR following restructure but does not progress to UPR</w:t>
            </w:r>
          </w:p>
        </w:tc>
      </w:tr>
      <w:tr w:rsidR="00705394" w:rsidRPr="00705394" w14:paraId="5D7DF3EA" w14:textId="77777777" w:rsidTr="00774D3A">
        <w:trPr>
          <w:trHeight w:val="600"/>
        </w:trPr>
        <w:tc>
          <w:tcPr>
            <w:tcW w:w="1279" w:type="dxa"/>
            <w:tcBorders>
              <w:top w:val="nil"/>
              <w:left w:val="single" w:sz="4" w:space="0" w:color="auto"/>
              <w:bottom w:val="single" w:sz="4" w:space="0" w:color="auto"/>
              <w:right w:val="single" w:sz="4" w:space="0" w:color="auto"/>
            </w:tcBorders>
            <w:vAlign w:val="bottom"/>
          </w:tcPr>
          <w:p w14:paraId="1D1482D5"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Date</w:t>
            </w:r>
          </w:p>
        </w:tc>
        <w:tc>
          <w:tcPr>
            <w:tcW w:w="1000" w:type="dxa"/>
            <w:tcBorders>
              <w:top w:val="nil"/>
              <w:left w:val="nil"/>
              <w:bottom w:val="single" w:sz="4" w:space="0" w:color="auto"/>
              <w:right w:val="single" w:sz="4" w:space="0" w:color="auto"/>
            </w:tcBorders>
            <w:vAlign w:val="bottom"/>
          </w:tcPr>
          <w:p w14:paraId="36EBE8BE"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Pay Point</w:t>
            </w:r>
          </w:p>
        </w:tc>
        <w:tc>
          <w:tcPr>
            <w:tcW w:w="1112" w:type="dxa"/>
            <w:tcBorders>
              <w:top w:val="nil"/>
              <w:left w:val="nil"/>
              <w:bottom w:val="single" w:sz="4" w:space="0" w:color="auto"/>
              <w:right w:val="single" w:sz="4" w:space="0" w:color="auto"/>
            </w:tcBorders>
            <w:vAlign w:val="bottom"/>
          </w:tcPr>
          <w:p w14:paraId="134C7FD1"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Salary</w:t>
            </w:r>
          </w:p>
        </w:tc>
        <w:tc>
          <w:tcPr>
            <w:tcW w:w="1712" w:type="dxa"/>
            <w:tcBorders>
              <w:top w:val="nil"/>
              <w:left w:val="nil"/>
              <w:bottom w:val="single" w:sz="4" w:space="0" w:color="auto"/>
              <w:right w:val="single" w:sz="4" w:space="0" w:color="auto"/>
            </w:tcBorders>
            <w:vAlign w:val="bottom"/>
          </w:tcPr>
          <w:p w14:paraId="78D030A4"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Value of TLR</w:t>
            </w:r>
          </w:p>
        </w:tc>
        <w:tc>
          <w:tcPr>
            <w:tcW w:w="1112" w:type="dxa"/>
            <w:tcBorders>
              <w:top w:val="nil"/>
              <w:left w:val="nil"/>
              <w:bottom w:val="single" w:sz="4" w:space="0" w:color="auto"/>
              <w:right w:val="single" w:sz="4" w:space="0" w:color="auto"/>
            </w:tcBorders>
            <w:vAlign w:val="bottom"/>
          </w:tcPr>
          <w:p w14:paraId="65E6FADD"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Total Salary</w:t>
            </w:r>
          </w:p>
        </w:tc>
        <w:tc>
          <w:tcPr>
            <w:tcW w:w="3424" w:type="dxa"/>
            <w:tcBorders>
              <w:top w:val="nil"/>
              <w:left w:val="nil"/>
              <w:bottom w:val="single" w:sz="4" w:space="0" w:color="auto"/>
              <w:right w:val="single" w:sz="4" w:space="0" w:color="auto"/>
            </w:tcBorders>
            <w:vAlign w:val="bottom"/>
          </w:tcPr>
          <w:p w14:paraId="6932D0B7"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Comment</w:t>
            </w:r>
          </w:p>
        </w:tc>
      </w:tr>
      <w:tr w:rsidR="00705394" w:rsidRPr="00705394" w14:paraId="7698C0A0" w14:textId="77777777" w:rsidTr="00774D3A">
        <w:trPr>
          <w:trHeight w:val="300"/>
        </w:trPr>
        <w:tc>
          <w:tcPr>
            <w:tcW w:w="1279" w:type="dxa"/>
            <w:tcBorders>
              <w:top w:val="nil"/>
              <w:left w:val="single" w:sz="4" w:space="0" w:color="auto"/>
              <w:bottom w:val="single" w:sz="4" w:space="0" w:color="auto"/>
              <w:right w:val="single" w:sz="4" w:space="0" w:color="auto"/>
            </w:tcBorders>
            <w:noWrap/>
            <w:vAlign w:val="bottom"/>
          </w:tcPr>
          <w:p w14:paraId="44034661"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31.08.14</w:t>
            </w:r>
          </w:p>
        </w:tc>
        <w:tc>
          <w:tcPr>
            <w:tcW w:w="1000" w:type="dxa"/>
            <w:tcBorders>
              <w:top w:val="nil"/>
              <w:left w:val="nil"/>
              <w:bottom w:val="single" w:sz="4" w:space="0" w:color="auto"/>
              <w:right w:val="single" w:sz="4" w:space="0" w:color="auto"/>
            </w:tcBorders>
            <w:noWrap/>
            <w:vAlign w:val="bottom"/>
          </w:tcPr>
          <w:p w14:paraId="4CAFC011"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M6</w:t>
            </w:r>
          </w:p>
        </w:tc>
        <w:tc>
          <w:tcPr>
            <w:tcW w:w="1112" w:type="dxa"/>
            <w:tcBorders>
              <w:top w:val="nil"/>
              <w:left w:val="nil"/>
              <w:bottom w:val="single" w:sz="4" w:space="0" w:color="auto"/>
              <w:right w:val="single" w:sz="4" w:space="0" w:color="auto"/>
            </w:tcBorders>
            <w:noWrap/>
            <w:vAlign w:val="bottom"/>
          </w:tcPr>
          <w:p w14:paraId="0D683B4C"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31,868</w:t>
            </w:r>
          </w:p>
        </w:tc>
        <w:tc>
          <w:tcPr>
            <w:tcW w:w="1712" w:type="dxa"/>
            <w:tcBorders>
              <w:top w:val="nil"/>
              <w:left w:val="nil"/>
              <w:bottom w:val="single" w:sz="4" w:space="0" w:color="auto"/>
              <w:right w:val="single" w:sz="4" w:space="0" w:color="auto"/>
            </w:tcBorders>
            <w:noWrap/>
            <w:vAlign w:val="bottom"/>
          </w:tcPr>
          <w:p w14:paraId="72B79465"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2,535</w:t>
            </w:r>
          </w:p>
        </w:tc>
        <w:tc>
          <w:tcPr>
            <w:tcW w:w="1112" w:type="dxa"/>
            <w:tcBorders>
              <w:top w:val="nil"/>
              <w:left w:val="nil"/>
              <w:bottom w:val="single" w:sz="4" w:space="0" w:color="auto"/>
              <w:right w:val="single" w:sz="4" w:space="0" w:color="auto"/>
            </w:tcBorders>
            <w:noWrap/>
            <w:vAlign w:val="bottom"/>
          </w:tcPr>
          <w:p w14:paraId="07C4D2F7"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34,403</w:t>
            </w:r>
          </w:p>
        </w:tc>
        <w:tc>
          <w:tcPr>
            <w:tcW w:w="3424" w:type="dxa"/>
            <w:tcBorders>
              <w:top w:val="nil"/>
              <w:left w:val="nil"/>
              <w:bottom w:val="single" w:sz="4" w:space="0" w:color="auto"/>
              <w:right w:val="single" w:sz="4" w:space="0" w:color="auto"/>
            </w:tcBorders>
            <w:noWrap/>
            <w:vAlign w:val="bottom"/>
          </w:tcPr>
          <w:p w14:paraId="24DE1357"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34,403 = salary of reference (</w:t>
            </w:r>
            <w:proofErr w:type="spellStart"/>
            <w:r w:rsidRPr="00705394">
              <w:rPr>
                <w:sz w:val="20"/>
                <w:szCs w:val="20"/>
                <w:u w:val="none"/>
                <w:lang w:eastAsia="en-GB"/>
              </w:rPr>
              <w:t>SoR</w:t>
            </w:r>
            <w:proofErr w:type="spellEnd"/>
            <w:r w:rsidRPr="00705394">
              <w:rPr>
                <w:sz w:val="20"/>
                <w:szCs w:val="20"/>
                <w:u w:val="none"/>
                <w:lang w:eastAsia="en-GB"/>
              </w:rPr>
              <w:t>)</w:t>
            </w:r>
          </w:p>
        </w:tc>
      </w:tr>
      <w:tr w:rsidR="00705394" w:rsidRPr="00705394" w14:paraId="2DBDA852" w14:textId="77777777" w:rsidTr="00774D3A">
        <w:trPr>
          <w:trHeight w:val="600"/>
        </w:trPr>
        <w:tc>
          <w:tcPr>
            <w:tcW w:w="3391" w:type="dxa"/>
            <w:gridSpan w:val="3"/>
            <w:tcBorders>
              <w:top w:val="single" w:sz="4" w:space="0" w:color="auto"/>
              <w:left w:val="single" w:sz="4" w:space="0" w:color="auto"/>
              <w:bottom w:val="single" w:sz="4" w:space="0" w:color="auto"/>
              <w:right w:val="single" w:sz="4" w:space="0" w:color="000000"/>
            </w:tcBorders>
            <w:noWrap/>
            <w:vAlign w:val="bottom"/>
          </w:tcPr>
          <w:p w14:paraId="5D22BA07"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 </w:t>
            </w:r>
          </w:p>
        </w:tc>
        <w:tc>
          <w:tcPr>
            <w:tcW w:w="1712" w:type="dxa"/>
            <w:tcBorders>
              <w:top w:val="nil"/>
              <w:left w:val="nil"/>
              <w:bottom w:val="single" w:sz="4" w:space="0" w:color="auto"/>
              <w:right w:val="single" w:sz="4" w:space="0" w:color="auto"/>
            </w:tcBorders>
            <w:vAlign w:val="bottom"/>
          </w:tcPr>
          <w:p w14:paraId="18477AC8" w14:textId="77777777" w:rsidR="00185902" w:rsidRPr="00705394" w:rsidRDefault="00185902" w:rsidP="00396DA7">
            <w:pPr>
              <w:spacing w:after="0"/>
              <w:ind w:left="284"/>
              <w:jc w:val="both"/>
              <w:rPr>
                <w:b/>
                <w:bCs/>
                <w:sz w:val="20"/>
                <w:szCs w:val="20"/>
                <w:u w:val="none"/>
                <w:lang w:eastAsia="en-GB"/>
              </w:rPr>
            </w:pPr>
            <w:r w:rsidRPr="00705394">
              <w:rPr>
                <w:b/>
                <w:bCs/>
                <w:sz w:val="20"/>
                <w:szCs w:val="20"/>
                <w:u w:val="none"/>
                <w:lang w:eastAsia="en-GB"/>
              </w:rPr>
              <w:t>Safeguarded Sum</w:t>
            </w:r>
          </w:p>
        </w:tc>
        <w:tc>
          <w:tcPr>
            <w:tcW w:w="4536" w:type="dxa"/>
            <w:gridSpan w:val="2"/>
            <w:tcBorders>
              <w:top w:val="single" w:sz="4" w:space="0" w:color="auto"/>
              <w:left w:val="nil"/>
              <w:bottom w:val="single" w:sz="4" w:space="0" w:color="auto"/>
              <w:right w:val="single" w:sz="4" w:space="0" w:color="000000"/>
            </w:tcBorders>
            <w:noWrap/>
            <w:vAlign w:val="bottom"/>
          </w:tcPr>
          <w:p w14:paraId="093E1523"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 </w:t>
            </w:r>
          </w:p>
        </w:tc>
      </w:tr>
      <w:tr w:rsidR="00705394" w:rsidRPr="00705394" w14:paraId="42467C25" w14:textId="77777777" w:rsidTr="00774D3A">
        <w:trPr>
          <w:trHeight w:val="300"/>
        </w:trPr>
        <w:tc>
          <w:tcPr>
            <w:tcW w:w="1279" w:type="dxa"/>
            <w:tcBorders>
              <w:top w:val="nil"/>
              <w:left w:val="single" w:sz="4" w:space="0" w:color="auto"/>
              <w:bottom w:val="single" w:sz="4" w:space="0" w:color="auto"/>
              <w:right w:val="single" w:sz="4" w:space="0" w:color="auto"/>
            </w:tcBorders>
            <w:noWrap/>
            <w:vAlign w:val="bottom"/>
          </w:tcPr>
          <w:p w14:paraId="5FEF2C00"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01.09.14</w:t>
            </w:r>
          </w:p>
        </w:tc>
        <w:tc>
          <w:tcPr>
            <w:tcW w:w="1000" w:type="dxa"/>
            <w:tcBorders>
              <w:top w:val="nil"/>
              <w:left w:val="nil"/>
              <w:bottom w:val="single" w:sz="4" w:space="0" w:color="auto"/>
              <w:right w:val="single" w:sz="4" w:space="0" w:color="auto"/>
            </w:tcBorders>
            <w:noWrap/>
            <w:vAlign w:val="bottom"/>
          </w:tcPr>
          <w:p w14:paraId="7577F083"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M6</w:t>
            </w:r>
          </w:p>
        </w:tc>
        <w:tc>
          <w:tcPr>
            <w:tcW w:w="1112" w:type="dxa"/>
            <w:tcBorders>
              <w:top w:val="nil"/>
              <w:left w:val="nil"/>
              <w:bottom w:val="single" w:sz="4" w:space="0" w:color="auto"/>
              <w:right w:val="single" w:sz="4" w:space="0" w:color="auto"/>
            </w:tcBorders>
            <w:noWrap/>
            <w:vAlign w:val="bottom"/>
          </w:tcPr>
          <w:p w14:paraId="1552BCBE"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32,187</w:t>
            </w:r>
          </w:p>
        </w:tc>
        <w:tc>
          <w:tcPr>
            <w:tcW w:w="1712" w:type="dxa"/>
            <w:tcBorders>
              <w:top w:val="nil"/>
              <w:left w:val="nil"/>
              <w:bottom w:val="single" w:sz="4" w:space="0" w:color="auto"/>
              <w:right w:val="single" w:sz="4" w:space="0" w:color="auto"/>
            </w:tcBorders>
            <w:noWrap/>
            <w:vAlign w:val="bottom"/>
          </w:tcPr>
          <w:p w14:paraId="221F6EE9"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2,535</w:t>
            </w:r>
          </w:p>
        </w:tc>
        <w:tc>
          <w:tcPr>
            <w:tcW w:w="1112" w:type="dxa"/>
            <w:tcBorders>
              <w:top w:val="nil"/>
              <w:left w:val="nil"/>
              <w:bottom w:val="single" w:sz="4" w:space="0" w:color="auto"/>
              <w:right w:val="single" w:sz="4" w:space="0" w:color="auto"/>
            </w:tcBorders>
            <w:noWrap/>
            <w:vAlign w:val="bottom"/>
          </w:tcPr>
          <w:p w14:paraId="2AEEA8BA"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34,722</w:t>
            </w:r>
          </w:p>
        </w:tc>
        <w:tc>
          <w:tcPr>
            <w:tcW w:w="3424" w:type="dxa"/>
            <w:tcBorders>
              <w:top w:val="nil"/>
              <w:left w:val="nil"/>
              <w:bottom w:val="single" w:sz="4" w:space="0" w:color="auto"/>
              <w:right w:val="single" w:sz="4" w:space="0" w:color="auto"/>
            </w:tcBorders>
            <w:noWrap/>
            <w:vAlign w:val="bottom"/>
          </w:tcPr>
          <w:p w14:paraId="20CBB75F"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 xml:space="preserve">M6 salary does not exceed </w:t>
            </w:r>
            <w:proofErr w:type="spellStart"/>
            <w:r w:rsidRPr="00705394">
              <w:rPr>
                <w:sz w:val="20"/>
                <w:szCs w:val="20"/>
                <w:u w:val="none"/>
                <w:lang w:eastAsia="en-GB"/>
              </w:rPr>
              <w:t>SoR</w:t>
            </w:r>
            <w:proofErr w:type="spellEnd"/>
          </w:p>
        </w:tc>
      </w:tr>
      <w:tr w:rsidR="00705394" w:rsidRPr="00705394" w14:paraId="2D40B68D" w14:textId="77777777" w:rsidTr="00774D3A">
        <w:trPr>
          <w:trHeight w:val="300"/>
        </w:trPr>
        <w:tc>
          <w:tcPr>
            <w:tcW w:w="1279" w:type="dxa"/>
            <w:tcBorders>
              <w:top w:val="nil"/>
              <w:left w:val="single" w:sz="4" w:space="0" w:color="auto"/>
              <w:bottom w:val="single" w:sz="4" w:space="0" w:color="auto"/>
              <w:right w:val="single" w:sz="4" w:space="0" w:color="auto"/>
            </w:tcBorders>
            <w:noWrap/>
            <w:vAlign w:val="bottom"/>
          </w:tcPr>
          <w:p w14:paraId="25157FF8"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01.09.15</w:t>
            </w:r>
          </w:p>
        </w:tc>
        <w:tc>
          <w:tcPr>
            <w:tcW w:w="1000" w:type="dxa"/>
            <w:tcBorders>
              <w:top w:val="nil"/>
              <w:left w:val="nil"/>
              <w:bottom w:val="single" w:sz="4" w:space="0" w:color="auto"/>
              <w:right w:val="single" w:sz="4" w:space="0" w:color="auto"/>
            </w:tcBorders>
            <w:noWrap/>
            <w:vAlign w:val="bottom"/>
          </w:tcPr>
          <w:p w14:paraId="44DB0F7B"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M6</w:t>
            </w:r>
          </w:p>
        </w:tc>
        <w:tc>
          <w:tcPr>
            <w:tcW w:w="1112" w:type="dxa"/>
            <w:tcBorders>
              <w:top w:val="nil"/>
              <w:left w:val="nil"/>
              <w:bottom w:val="single" w:sz="4" w:space="0" w:color="auto"/>
              <w:right w:val="single" w:sz="4" w:space="0" w:color="auto"/>
            </w:tcBorders>
            <w:noWrap/>
            <w:vAlign w:val="bottom"/>
          </w:tcPr>
          <w:p w14:paraId="22EDB8FA"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32,509</w:t>
            </w:r>
          </w:p>
        </w:tc>
        <w:tc>
          <w:tcPr>
            <w:tcW w:w="1712" w:type="dxa"/>
            <w:tcBorders>
              <w:top w:val="nil"/>
              <w:left w:val="nil"/>
              <w:bottom w:val="single" w:sz="4" w:space="0" w:color="auto"/>
              <w:right w:val="single" w:sz="4" w:space="0" w:color="auto"/>
            </w:tcBorders>
            <w:noWrap/>
            <w:vAlign w:val="bottom"/>
          </w:tcPr>
          <w:p w14:paraId="14DE19C0"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2,535</w:t>
            </w:r>
          </w:p>
        </w:tc>
        <w:tc>
          <w:tcPr>
            <w:tcW w:w="1112" w:type="dxa"/>
            <w:tcBorders>
              <w:top w:val="nil"/>
              <w:left w:val="nil"/>
              <w:bottom w:val="single" w:sz="4" w:space="0" w:color="auto"/>
              <w:right w:val="single" w:sz="4" w:space="0" w:color="auto"/>
            </w:tcBorders>
            <w:noWrap/>
            <w:vAlign w:val="bottom"/>
          </w:tcPr>
          <w:p w14:paraId="278EA6CE"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35,044</w:t>
            </w:r>
          </w:p>
        </w:tc>
        <w:tc>
          <w:tcPr>
            <w:tcW w:w="3424" w:type="dxa"/>
            <w:tcBorders>
              <w:top w:val="nil"/>
              <w:left w:val="nil"/>
              <w:bottom w:val="single" w:sz="4" w:space="0" w:color="auto"/>
              <w:right w:val="single" w:sz="4" w:space="0" w:color="auto"/>
            </w:tcBorders>
            <w:noWrap/>
            <w:vAlign w:val="bottom"/>
          </w:tcPr>
          <w:p w14:paraId="26A1EE53"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 xml:space="preserve">M6 salary does not exceed </w:t>
            </w:r>
            <w:proofErr w:type="spellStart"/>
            <w:r w:rsidRPr="00705394">
              <w:rPr>
                <w:sz w:val="20"/>
                <w:szCs w:val="20"/>
                <w:u w:val="none"/>
                <w:lang w:eastAsia="en-GB"/>
              </w:rPr>
              <w:t>SoR</w:t>
            </w:r>
            <w:proofErr w:type="spellEnd"/>
          </w:p>
        </w:tc>
      </w:tr>
      <w:tr w:rsidR="00705394" w:rsidRPr="00705394" w14:paraId="46C832EE" w14:textId="77777777" w:rsidTr="00774D3A">
        <w:trPr>
          <w:trHeight w:val="300"/>
        </w:trPr>
        <w:tc>
          <w:tcPr>
            <w:tcW w:w="1279" w:type="dxa"/>
            <w:tcBorders>
              <w:top w:val="nil"/>
              <w:left w:val="single" w:sz="4" w:space="0" w:color="auto"/>
              <w:bottom w:val="single" w:sz="4" w:space="0" w:color="auto"/>
              <w:right w:val="single" w:sz="4" w:space="0" w:color="auto"/>
            </w:tcBorders>
            <w:noWrap/>
            <w:vAlign w:val="bottom"/>
          </w:tcPr>
          <w:p w14:paraId="26A8153E"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01.09.16</w:t>
            </w:r>
          </w:p>
        </w:tc>
        <w:tc>
          <w:tcPr>
            <w:tcW w:w="1000" w:type="dxa"/>
            <w:tcBorders>
              <w:top w:val="nil"/>
              <w:left w:val="nil"/>
              <w:bottom w:val="single" w:sz="4" w:space="0" w:color="auto"/>
              <w:right w:val="single" w:sz="4" w:space="0" w:color="auto"/>
            </w:tcBorders>
            <w:noWrap/>
            <w:vAlign w:val="bottom"/>
          </w:tcPr>
          <w:p w14:paraId="1943B315"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M6</w:t>
            </w:r>
          </w:p>
        </w:tc>
        <w:tc>
          <w:tcPr>
            <w:tcW w:w="1112" w:type="dxa"/>
            <w:tcBorders>
              <w:top w:val="nil"/>
              <w:left w:val="nil"/>
              <w:bottom w:val="single" w:sz="4" w:space="0" w:color="auto"/>
              <w:right w:val="single" w:sz="4" w:space="0" w:color="auto"/>
            </w:tcBorders>
            <w:noWrap/>
            <w:vAlign w:val="bottom"/>
          </w:tcPr>
          <w:p w14:paraId="5539F203"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32,834</w:t>
            </w:r>
          </w:p>
        </w:tc>
        <w:tc>
          <w:tcPr>
            <w:tcW w:w="1712" w:type="dxa"/>
            <w:tcBorders>
              <w:top w:val="nil"/>
              <w:left w:val="nil"/>
              <w:bottom w:val="single" w:sz="4" w:space="0" w:color="auto"/>
              <w:right w:val="single" w:sz="4" w:space="0" w:color="auto"/>
            </w:tcBorders>
            <w:noWrap/>
            <w:vAlign w:val="bottom"/>
          </w:tcPr>
          <w:p w14:paraId="2B063E93"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2,535</w:t>
            </w:r>
          </w:p>
        </w:tc>
        <w:tc>
          <w:tcPr>
            <w:tcW w:w="1112" w:type="dxa"/>
            <w:tcBorders>
              <w:top w:val="nil"/>
              <w:left w:val="nil"/>
              <w:bottom w:val="single" w:sz="4" w:space="0" w:color="auto"/>
              <w:right w:val="single" w:sz="4" w:space="0" w:color="auto"/>
            </w:tcBorders>
            <w:noWrap/>
            <w:vAlign w:val="bottom"/>
          </w:tcPr>
          <w:p w14:paraId="299B4CF1"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35,369</w:t>
            </w:r>
          </w:p>
        </w:tc>
        <w:tc>
          <w:tcPr>
            <w:tcW w:w="3424" w:type="dxa"/>
            <w:tcBorders>
              <w:top w:val="nil"/>
              <w:left w:val="nil"/>
              <w:bottom w:val="single" w:sz="4" w:space="0" w:color="auto"/>
              <w:right w:val="single" w:sz="4" w:space="0" w:color="auto"/>
            </w:tcBorders>
            <w:noWrap/>
            <w:vAlign w:val="bottom"/>
          </w:tcPr>
          <w:p w14:paraId="45E39497"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 xml:space="preserve">M6 salary does not exceed </w:t>
            </w:r>
            <w:proofErr w:type="spellStart"/>
            <w:r w:rsidRPr="00705394">
              <w:rPr>
                <w:sz w:val="20"/>
                <w:szCs w:val="20"/>
                <w:u w:val="none"/>
                <w:lang w:eastAsia="en-GB"/>
              </w:rPr>
              <w:t>SoR</w:t>
            </w:r>
            <w:proofErr w:type="spellEnd"/>
          </w:p>
        </w:tc>
      </w:tr>
      <w:tr w:rsidR="00705394" w:rsidRPr="00705394" w14:paraId="46193315" w14:textId="77777777" w:rsidTr="00774D3A">
        <w:trPr>
          <w:trHeight w:val="300"/>
        </w:trPr>
        <w:tc>
          <w:tcPr>
            <w:tcW w:w="1279" w:type="dxa"/>
            <w:tcBorders>
              <w:top w:val="nil"/>
              <w:left w:val="single" w:sz="4" w:space="0" w:color="auto"/>
              <w:bottom w:val="single" w:sz="4" w:space="0" w:color="auto"/>
              <w:right w:val="single" w:sz="4" w:space="0" w:color="auto"/>
            </w:tcBorders>
            <w:noWrap/>
            <w:vAlign w:val="bottom"/>
          </w:tcPr>
          <w:p w14:paraId="0956B8A5"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01.09.17</w:t>
            </w:r>
          </w:p>
        </w:tc>
        <w:tc>
          <w:tcPr>
            <w:tcW w:w="1000" w:type="dxa"/>
            <w:tcBorders>
              <w:top w:val="nil"/>
              <w:left w:val="nil"/>
              <w:bottom w:val="single" w:sz="4" w:space="0" w:color="auto"/>
              <w:right w:val="single" w:sz="4" w:space="0" w:color="auto"/>
            </w:tcBorders>
            <w:noWrap/>
            <w:vAlign w:val="bottom"/>
          </w:tcPr>
          <w:p w14:paraId="5EF63FCC"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M6</w:t>
            </w:r>
          </w:p>
        </w:tc>
        <w:tc>
          <w:tcPr>
            <w:tcW w:w="1112" w:type="dxa"/>
            <w:tcBorders>
              <w:top w:val="nil"/>
              <w:left w:val="nil"/>
              <w:bottom w:val="single" w:sz="4" w:space="0" w:color="auto"/>
              <w:right w:val="single" w:sz="4" w:space="0" w:color="auto"/>
            </w:tcBorders>
            <w:noWrap/>
            <w:vAlign w:val="bottom"/>
          </w:tcPr>
          <w:p w14:paraId="27FA553F"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33,162</w:t>
            </w:r>
          </w:p>
        </w:tc>
        <w:tc>
          <w:tcPr>
            <w:tcW w:w="1712" w:type="dxa"/>
            <w:tcBorders>
              <w:top w:val="nil"/>
              <w:left w:val="nil"/>
              <w:bottom w:val="single" w:sz="4" w:space="0" w:color="auto"/>
              <w:right w:val="single" w:sz="4" w:space="0" w:color="auto"/>
            </w:tcBorders>
            <w:noWrap/>
            <w:vAlign w:val="bottom"/>
          </w:tcPr>
          <w:p w14:paraId="49A50716"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 </w:t>
            </w:r>
          </w:p>
        </w:tc>
        <w:tc>
          <w:tcPr>
            <w:tcW w:w="1112" w:type="dxa"/>
            <w:tcBorders>
              <w:top w:val="nil"/>
              <w:left w:val="nil"/>
              <w:bottom w:val="single" w:sz="4" w:space="0" w:color="auto"/>
              <w:right w:val="single" w:sz="4" w:space="0" w:color="auto"/>
            </w:tcBorders>
            <w:noWrap/>
            <w:vAlign w:val="bottom"/>
          </w:tcPr>
          <w:p w14:paraId="5B0DAF7B"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33,162</w:t>
            </w:r>
          </w:p>
        </w:tc>
        <w:tc>
          <w:tcPr>
            <w:tcW w:w="3424" w:type="dxa"/>
            <w:tcBorders>
              <w:top w:val="nil"/>
              <w:left w:val="nil"/>
              <w:bottom w:val="single" w:sz="4" w:space="0" w:color="auto"/>
              <w:right w:val="single" w:sz="4" w:space="0" w:color="auto"/>
            </w:tcBorders>
            <w:noWrap/>
            <w:vAlign w:val="bottom"/>
          </w:tcPr>
          <w:p w14:paraId="3711EF61" w14:textId="77777777" w:rsidR="00185902" w:rsidRPr="00705394" w:rsidRDefault="00185902" w:rsidP="00396DA7">
            <w:pPr>
              <w:spacing w:after="0"/>
              <w:ind w:left="284"/>
              <w:jc w:val="both"/>
              <w:rPr>
                <w:sz w:val="20"/>
                <w:szCs w:val="20"/>
                <w:u w:val="none"/>
                <w:lang w:eastAsia="en-GB"/>
              </w:rPr>
            </w:pPr>
            <w:r w:rsidRPr="00705394">
              <w:rPr>
                <w:sz w:val="20"/>
                <w:szCs w:val="20"/>
                <w:u w:val="none"/>
                <w:lang w:eastAsia="en-GB"/>
              </w:rPr>
              <w:t>Safeguarding ends after 3 years</w:t>
            </w:r>
          </w:p>
        </w:tc>
      </w:tr>
    </w:tbl>
    <w:p w14:paraId="4FC9741C" w14:textId="77777777" w:rsidR="00185902" w:rsidRPr="00705394" w:rsidRDefault="00185902" w:rsidP="002E4798">
      <w:pPr>
        <w:jc w:val="both"/>
        <w:rPr>
          <w:u w:val="none"/>
        </w:rPr>
      </w:pPr>
      <w:r w:rsidRPr="00705394">
        <w:rPr>
          <w:sz w:val="20"/>
          <w:szCs w:val="20"/>
          <w:u w:val="none"/>
        </w:rPr>
        <w:br/>
      </w:r>
      <w:r w:rsidRPr="00705394">
        <w:rPr>
          <w:u w:val="none"/>
        </w:rPr>
        <w:t>The salary from 1 September 2014 is M6 plus the “Safeguarded Sum” and this continues until the safeguarding period ends because at no point does the M6 salary exceed the salary of reference.  If the teacher does progress to the UPR the prin</w:t>
      </w:r>
      <w:r w:rsidR="00965CA6" w:rsidRPr="00705394">
        <w:rPr>
          <w:u w:val="none"/>
        </w:rPr>
        <w:t>ciples of example 1 will apply.</w:t>
      </w:r>
    </w:p>
    <w:p w14:paraId="07996C6D" w14:textId="359FFD50" w:rsidR="00663E8F" w:rsidRPr="00705394" w:rsidRDefault="00663E8F" w:rsidP="00663E8F">
      <w:pPr>
        <w:spacing w:after="0"/>
        <w:jc w:val="both"/>
        <w:rPr>
          <w:b/>
          <w:bCs/>
          <w:u w:val="none"/>
        </w:rPr>
      </w:pPr>
      <w:r w:rsidRPr="00705394">
        <w:rPr>
          <w:b/>
          <w:bCs/>
          <w:u w:val="none"/>
        </w:rPr>
        <w:t>Pay Policy Paragraph 2</w:t>
      </w:r>
      <w:r w:rsidR="00C06C7A" w:rsidRPr="00705394">
        <w:rPr>
          <w:b/>
          <w:bCs/>
          <w:u w:val="none"/>
        </w:rPr>
        <w:t>7</w:t>
      </w:r>
      <w:r w:rsidRPr="00705394">
        <w:rPr>
          <w:b/>
          <w:bCs/>
          <w:u w:val="none"/>
        </w:rPr>
        <w:t xml:space="preserve"> - Salary Sacrifice Schemes </w:t>
      </w:r>
    </w:p>
    <w:p w14:paraId="23E13843" w14:textId="77777777" w:rsidR="00663E8F" w:rsidRPr="00705394" w:rsidRDefault="00663E8F" w:rsidP="00663E8F">
      <w:pPr>
        <w:spacing w:after="0"/>
        <w:jc w:val="both"/>
        <w:rPr>
          <w:b/>
          <w:bCs/>
          <w:u w:val="none"/>
        </w:rPr>
      </w:pPr>
    </w:p>
    <w:p w14:paraId="123831B1" w14:textId="77777777" w:rsidR="00663E8F" w:rsidRPr="00705394" w:rsidRDefault="00663E8F" w:rsidP="00663E8F">
      <w:pPr>
        <w:spacing w:after="0"/>
        <w:jc w:val="both"/>
        <w:rPr>
          <w:u w:val="none"/>
        </w:rPr>
      </w:pPr>
      <w:r w:rsidRPr="00705394">
        <w:rPr>
          <w:u w:val="none"/>
        </w:rPr>
        <w:t xml:space="preserve">A salary sacrifice scheme is where an employee gives up the right to receive part of their salary in return for the school’s agreement to provide a benefit in kind, which is exempt from income tax. </w:t>
      </w:r>
    </w:p>
    <w:p w14:paraId="10D7147E" w14:textId="77777777" w:rsidR="00663E8F" w:rsidRPr="00705394" w:rsidRDefault="00663E8F" w:rsidP="00663E8F">
      <w:pPr>
        <w:spacing w:after="0"/>
        <w:jc w:val="both"/>
        <w:rPr>
          <w:u w:val="none"/>
        </w:rPr>
      </w:pPr>
    </w:p>
    <w:p w14:paraId="2639DA4D" w14:textId="4976408C" w:rsidR="00663E8F" w:rsidRPr="00705394" w:rsidRDefault="00663E8F" w:rsidP="00663E8F">
      <w:pPr>
        <w:spacing w:after="0"/>
        <w:jc w:val="both"/>
        <w:rPr>
          <w:u w:val="none"/>
        </w:rPr>
      </w:pPr>
      <w:r w:rsidRPr="00705394">
        <w:rPr>
          <w:u w:val="none"/>
        </w:rPr>
        <w:t xml:space="preserve">Nottinghamshire County Council makes available to all employees a number of </w:t>
      </w:r>
      <w:proofErr w:type="gramStart"/>
      <w:r w:rsidRPr="00705394">
        <w:rPr>
          <w:u w:val="none"/>
        </w:rPr>
        <w:t>salary</w:t>
      </w:r>
      <w:proofErr w:type="gramEnd"/>
      <w:r w:rsidRPr="00705394">
        <w:rPr>
          <w:u w:val="none"/>
        </w:rPr>
        <w:t xml:space="preserve"> sacrifice schemes. Schools should make sure that details are made available to existing and new members of staff at the school. In addition to those provided by the county council the school may offer school-based schemes and if so, these should be included in the list. </w:t>
      </w:r>
    </w:p>
    <w:p w14:paraId="57CC038B" w14:textId="48B0CFFA" w:rsidR="00A26A57" w:rsidRPr="00705394" w:rsidRDefault="00A26A57" w:rsidP="00663E8F">
      <w:pPr>
        <w:spacing w:after="0"/>
        <w:jc w:val="both"/>
        <w:rPr>
          <w:u w:val="none"/>
        </w:rPr>
      </w:pPr>
    </w:p>
    <w:p w14:paraId="3C6B19F2" w14:textId="10FB6CCB" w:rsidR="00A26A57" w:rsidRPr="00705394" w:rsidRDefault="00A26A57" w:rsidP="00A26A57">
      <w:pPr>
        <w:rPr>
          <w:rFonts w:ascii="Calibri" w:hAnsi="Calibri" w:cs="Calibri"/>
          <w:sz w:val="22"/>
          <w:szCs w:val="22"/>
          <w:u w:val="none"/>
          <w:lang w:eastAsia="en-GB"/>
        </w:rPr>
      </w:pPr>
      <w:r w:rsidRPr="00705394">
        <w:rPr>
          <w:u w:val="none"/>
        </w:rPr>
        <w:t>However, please note the L</w:t>
      </w:r>
      <w:r w:rsidR="006816FF" w:rsidRPr="00705394">
        <w:rPr>
          <w:u w:val="none"/>
        </w:rPr>
        <w:t xml:space="preserve">ocal </w:t>
      </w:r>
      <w:r w:rsidRPr="00705394">
        <w:rPr>
          <w:u w:val="none"/>
        </w:rPr>
        <w:t>G</w:t>
      </w:r>
      <w:r w:rsidR="006816FF" w:rsidRPr="00705394">
        <w:rPr>
          <w:u w:val="none"/>
        </w:rPr>
        <w:t xml:space="preserve">overnment </w:t>
      </w:r>
      <w:r w:rsidRPr="00705394">
        <w:rPr>
          <w:u w:val="none"/>
        </w:rPr>
        <w:t>A</w:t>
      </w:r>
      <w:r w:rsidR="006816FF" w:rsidRPr="00705394">
        <w:rPr>
          <w:u w:val="none"/>
        </w:rPr>
        <w:t xml:space="preserve">ssociation (LGA) </w:t>
      </w:r>
      <w:r w:rsidRPr="00705394">
        <w:rPr>
          <w:u w:val="none"/>
        </w:rPr>
        <w:t>has confirmed (14.12.21) that it is unlawful to extend the salary sacrifice scheme for teachers to anything not specified in the STPCD on the basis that this is the Document that sets out everything that a teacher can receive in the way of remuneration. This means that some salary sacrifice schemes may only be available to support staff.</w:t>
      </w:r>
    </w:p>
    <w:p w14:paraId="7E783AF2" w14:textId="23023E12" w:rsidR="00185902" w:rsidRPr="00705394" w:rsidRDefault="00AE39AA" w:rsidP="002E4798">
      <w:pPr>
        <w:pStyle w:val="NoSpacing"/>
        <w:spacing w:line="276" w:lineRule="auto"/>
        <w:jc w:val="both"/>
        <w:rPr>
          <w:rFonts w:ascii="Arial" w:hAnsi="Arial" w:cs="Arial"/>
          <w:b/>
          <w:bCs/>
          <w:sz w:val="24"/>
          <w:szCs w:val="24"/>
        </w:rPr>
      </w:pPr>
      <w:r w:rsidRPr="00705394">
        <w:rPr>
          <w:rFonts w:ascii="Arial" w:hAnsi="Arial" w:cs="Arial"/>
          <w:b/>
          <w:bCs/>
          <w:sz w:val="24"/>
          <w:szCs w:val="24"/>
        </w:rPr>
        <w:t>Pay Policy Paragraph 2</w:t>
      </w:r>
      <w:r w:rsidR="0034631F" w:rsidRPr="00705394">
        <w:rPr>
          <w:rFonts w:ascii="Arial" w:hAnsi="Arial" w:cs="Arial"/>
          <w:b/>
          <w:bCs/>
          <w:sz w:val="24"/>
          <w:szCs w:val="24"/>
        </w:rPr>
        <w:t>8</w:t>
      </w:r>
      <w:r w:rsidRPr="00705394">
        <w:rPr>
          <w:rFonts w:ascii="Arial" w:hAnsi="Arial" w:cs="Arial"/>
          <w:b/>
          <w:bCs/>
          <w:sz w:val="24"/>
          <w:szCs w:val="24"/>
        </w:rPr>
        <w:t xml:space="preserve">.0 - </w:t>
      </w:r>
      <w:r w:rsidR="00185902" w:rsidRPr="00705394">
        <w:rPr>
          <w:rFonts w:ascii="Arial" w:hAnsi="Arial" w:cs="Arial"/>
          <w:b/>
          <w:bCs/>
          <w:sz w:val="24"/>
          <w:szCs w:val="24"/>
        </w:rPr>
        <w:t xml:space="preserve">Pay Appeals Procedure </w:t>
      </w:r>
    </w:p>
    <w:p w14:paraId="657A61E1" w14:textId="77777777" w:rsidR="00185902" w:rsidRPr="00705394" w:rsidRDefault="00185902" w:rsidP="002E4798">
      <w:pPr>
        <w:pStyle w:val="NoSpacing"/>
        <w:spacing w:line="276" w:lineRule="auto"/>
        <w:jc w:val="both"/>
        <w:rPr>
          <w:rFonts w:ascii="Arial" w:hAnsi="Arial" w:cs="Arial"/>
          <w:sz w:val="24"/>
          <w:szCs w:val="24"/>
        </w:rPr>
      </w:pPr>
    </w:p>
    <w:p w14:paraId="2309DA45" w14:textId="19977D42" w:rsidR="00185902" w:rsidRPr="00705394" w:rsidRDefault="00185902" w:rsidP="002E4798">
      <w:pPr>
        <w:pStyle w:val="NoSpacing"/>
        <w:spacing w:line="276" w:lineRule="auto"/>
        <w:jc w:val="both"/>
        <w:rPr>
          <w:rFonts w:ascii="Arial" w:hAnsi="Arial" w:cs="Arial"/>
          <w:sz w:val="24"/>
          <w:szCs w:val="24"/>
        </w:rPr>
      </w:pPr>
      <w:r w:rsidRPr="00705394">
        <w:rPr>
          <w:rFonts w:ascii="Arial" w:hAnsi="Arial" w:cs="Arial"/>
          <w:sz w:val="24"/>
          <w:szCs w:val="24"/>
        </w:rPr>
        <w:t xml:space="preserve">All employees have an entitlement to request a review or appeal a decision made by the head teacher or governing body in relation to their pay. </w:t>
      </w:r>
      <w:r w:rsidR="00965CA6" w:rsidRPr="00705394">
        <w:rPr>
          <w:rFonts w:ascii="Arial" w:hAnsi="Arial" w:cs="Arial"/>
          <w:sz w:val="24"/>
          <w:szCs w:val="24"/>
        </w:rPr>
        <w:t xml:space="preserve"> </w:t>
      </w:r>
      <w:r w:rsidRPr="00705394">
        <w:rPr>
          <w:rFonts w:ascii="Arial" w:hAnsi="Arial" w:cs="Arial"/>
          <w:sz w:val="24"/>
          <w:szCs w:val="24"/>
        </w:rPr>
        <w:t xml:space="preserve">This is exercised through the pay </w:t>
      </w:r>
      <w:r w:rsidR="00B3092B" w:rsidRPr="00705394">
        <w:rPr>
          <w:rFonts w:ascii="Arial" w:hAnsi="Arial" w:cs="Arial"/>
          <w:sz w:val="24"/>
          <w:szCs w:val="24"/>
        </w:rPr>
        <w:t>appeals process,</w:t>
      </w:r>
      <w:r w:rsidRPr="00705394">
        <w:rPr>
          <w:rFonts w:ascii="Arial" w:hAnsi="Arial" w:cs="Arial"/>
          <w:sz w:val="24"/>
          <w:szCs w:val="24"/>
        </w:rPr>
        <w:t xml:space="preserve"> which is set out in </w:t>
      </w:r>
      <w:r w:rsidRPr="00705394">
        <w:rPr>
          <w:rFonts w:ascii="Arial" w:hAnsi="Arial" w:cs="Arial"/>
          <w:b/>
          <w:bCs/>
          <w:sz w:val="24"/>
          <w:szCs w:val="24"/>
        </w:rPr>
        <w:t xml:space="preserve">Appendices </w:t>
      </w:r>
      <w:r w:rsidR="00965CA6" w:rsidRPr="00705394">
        <w:rPr>
          <w:rFonts w:ascii="Arial" w:hAnsi="Arial" w:cs="Arial"/>
          <w:b/>
          <w:bCs/>
          <w:sz w:val="24"/>
          <w:szCs w:val="24"/>
        </w:rPr>
        <w:t>10(a), (b),</w:t>
      </w:r>
      <w:r w:rsidRPr="00705394">
        <w:rPr>
          <w:rFonts w:ascii="Arial" w:hAnsi="Arial" w:cs="Arial"/>
          <w:b/>
          <w:bCs/>
          <w:sz w:val="24"/>
          <w:szCs w:val="24"/>
        </w:rPr>
        <w:t xml:space="preserve"> (c)</w:t>
      </w:r>
      <w:r w:rsidR="00965CA6" w:rsidRPr="00705394">
        <w:rPr>
          <w:rFonts w:ascii="Arial" w:hAnsi="Arial" w:cs="Arial"/>
          <w:b/>
          <w:bCs/>
          <w:sz w:val="24"/>
          <w:szCs w:val="24"/>
        </w:rPr>
        <w:t xml:space="preserve"> and (d)</w:t>
      </w:r>
      <w:r w:rsidRPr="00705394">
        <w:rPr>
          <w:rFonts w:ascii="Arial" w:hAnsi="Arial" w:cs="Arial"/>
          <w:b/>
          <w:bCs/>
          <w:sz w:val="24"/>
          <w:szCs w:val="24"/>
        </w:rPr>
        <w:t>.</w:t>
      </w:r>
      <w:r w:rsidRPr="00705394">
        <w:rPr>
          <w:rFonts w:ascii="Arial" w:hAnsi="Arial" w:cs="Arial"/>
          <w:sz w:val="24"/>
          <w:szCs w:val="24"/>
        </w:rPr>
        <w:t xml:space="preserve"> </w:t>
      </w:r>
      <w:r w:rsidR="00965CA6" w:rsidRPr="00705394">
        <w:rPr>
          <w:rFonts w:ascii="Arial" w:hAnsi="Arial" w:cs="Arial"/>
          <w:sz w:val="24"/>
          <w:szCs w:val="24"/>
        </w:rPr>
        <w:t xml:space="preserve"> </w:t>
      </w:r>
      <w:r w:rsidRPr="00705394">
        <w:rPr>
          <w:rFonts w:ascii="Arial" w:hAnsi="Arial" w:cs="Arial"/>
          <w:sz w:val="24"/>
          <w:szCs w:val="24"/>
        </w:rPr>
        <w:t xml:space="preserve">The HR Service has produced template invitation and outcome letters to assist with the appeals process in Appendices </w:t>
      </w:r>
      <w:r w:rsidR="00965CA6" w:rsidRPr="00705394">
        <w:rPr>
          <w:rFonts w:ascii="Arial" w:hAnsi="Arial" w:cs="Arial"/>
          <w:sz w:val="24"/>
          <w:szCs w:val="24"/>
        </w:rPr>
        <w:t>10</w:t>
      </w:r>
      <w:r w:rsidRPr="00705394">
        <w:rPr>
          <w:rFonts w:ascii="Arial" w:hAnsi="Arial" w:cs="Arial"/>
          <w:sz w:val="24"/>
          <w:szCs w:val="24"/>
        </w:rPr>
        <w:t>(</w:t>
      </w:r>
      <w:r w:rsidR="00240013" w:rsidRPr="00705394">
        <w:rPr>
          <w:rFonts w:ascii="Arial" w:hAnsi="Arial" w:cs="Arial"/>
          <w:sz w:val="24"/>
          <w:szCs w:val="24"/>
        </w:rPr>
        <w:t>e</w:t>
      </w:r>
      <w:r w:rsidRPr="00705394">
        <w:rPr>
          <w:rFonts w:ascii="Arial" w:hAnsi="Arial" w:cs="Arial"/>
          <w:sz w:val="24"/>
          <w:szCs w:val="24"/>
        </w:rPr>
        <w:t>) and (</w:t>
      </w:r>
      <w:r w:rsidR="00240013" w:rsidRPr="00705394">
        <w:rPr>
          <w:rFonts w:ascii="Arial" w:hAnsi="Arial" w:cs="Arial"/>
          <w:sz w:val="24"/>
          <w:szCs w:val="24"/>
        </w:rPr>
        <w:t>f</w:t>
      </w:r>
      <w:r w:rsidRPr="00705394">
        <w:rPr>
          <w:rFonts w:ascii="Arial" w:hAnsi="Arial" w:cs="Arial"/>
          <w:sz w:val="24"/>
          <w:szCs w:val="24"/>
        </w:rPr>
        <w:t xml:space="preserve">).  </w:t>
      </w:r>
      <w:r w:rsidR="002D1FDD" w:rsidRPr="00705394">
        <w:rPr>
          <w:rFonts w:ascii="Arial" w:hAnsi="Arial" w:cs="Arial"/>
          <w:sz w:val="24"/>
          <w:szCs w:val="24"/>
        </w:rPr>
        <w:t>O</w:t>
      </w:r>
      <w:r w:rsidR="00196EE8" w:rsidRPr="00705394">
        <w:rPr>
          <w:rFonts w:ascii="Arial" w:hAnsi="Arial" w:cs="Arial"/>
          <w:sz w:val="24"/>
          <w:szCs w:val="24"/>
        </w:rPr>
        <w:t xml:space="preserve">nce considered, pay appeals may not be reopened under the school general grievance procedure. </w:t>
      </w:r>
    </w:p>
    <w:p w14:paraId="4C074143" w14:textId="77777777" w:rsidR="00185902" w:rsidRPr="00705394" w:rsidRDefault="00185902" w:rsidP="00396DA7">
      <w:pPr>
        <w:pStyle w:val="NoSpacing"/>
        <w:spacing w:line="276" w:lineRule="auto"/>
        <w:ind w:left="284"/>
        <w:jc w:val="both"/>
        <w:rPr>
          <w:rFonts w:ascii="Arial" w:hAnsi="Arial" w:cs="Arial"/>
          <w:sz w:val="24"/>
          <w:szCs w:val="24"/>
        </w:rPr>
      </w:pPr>
    </w:p>
    <w:p w14:paraId="4D5F8A05" w14:textId="08E31B7A" w:rsidR="00185902" w:rsidRPr="00705394" w:rsidRDefault="0059161D" w:rsidP="002E4798">
      <w:pPr>
        <w:pStyle w:val="NoSpacing"/>
        <w:spacing w:line="276" w:lineRule="auto"/>
        <w:jc w:val="both"/>
        <w:rPr>
          <w:rFonts w:ascii="Arial" w:hAnsi="Arial" w:cs="Arial"/>
          <w:sz w:val="24"/>
          <w:szCs w:val="24"/>
        </w:rPr>
      </w:pPr>
      <w:r w:rsidRPr="00705394">
        <w:rPr>
          <w:rFonts w:ascii="Arial" w:hAnsi="Arial" w:cs="Arial"/>
          <w:sz w:val="24"/>
          <w:szCs w:val="24"/>
        </w:rPr>
        <w:lastRenderedPageBreak/>
        <w:t xml:space="preserve">Where teachers submit an appeal against a pay decision, the headteacher should immediately report this to the Chair of Governors, for information purposes so that the number of pay appeals submitted can be independently monitored. Where </w:t>
      </w:r>
      <w:r w:rsidR="00AE39AA" w:rsidRPr="00705394">
        <w:rPr>
          <w:rFonts w:ascii="Arial" w:hAnsi="Arial" w:cs="Arial"/>
          <w:sz w:val="24"/>
          <w:szCs w:val="24"/>
        </w:rPr>
        <w:t xml:space="preserve">a </w:t>
      </w:r>
      <w:r w:rsidRPr="00705394">
        <w:rPr>
          <w:rFonts w:ascii="Arial" w:hAnsi="Arial" w:cs="Arial"/>
          <w:sz w:val="24"/>
          <w:szCs w:val="24"/>
        </w:rPr>
        <w:t xml:space="preserve">pay appeal </w:t>
      </w:r>
      <w:r w:rsidR="00AE39AA" w:rsidRPr="00705394">
        <w:rPr>
          <w:rFonts w:ascii="Arial" w:hAnsi="Arial" w:cs="Arial"/>
          <w:sz w:val="24"/>
          <w:szCs w:val="24"/>
        </w:rPr>
        <w:t>is</w:t>
      </w:r>
      <w:r w:rsidRPr="00705394">
        <w:rPr>
          <w:rFonts w:ascii="Arial" w:hAnsi="Arial" w:cs="Arial"/>
          <w:sz w:val="24"/>
          <w:szCs w:val="24"/>
        </w:rPr>
        <w:t xml:space="preserve"> submitted</w:t>
      </w:r>
      <w:r w:rsidR="004152D7" w:rsidRPr="00705394">
        <w:rPr>
          <w:rFonts w:ascii="Arial" w:hAnsi="Arial" w:cs="Arial"/>
          <w:sz w:val="24"/>
          <w:szCs w:val="24"/>
        </w:rPr>
        <w:t>, the h</w:t>
      </w:r>
      <w:r w:rsidR="00185902" w:rsidRPr="00705394">
        <w:rPr>
          <w:rFonts w:ascii="Arial" w:hAnsi="Arial" w:cs="Arial"/>
          <w:sz w:val="24"/>
          <w:szCs w:val="24"/>
        </w:rPr>
        <w:t>eadteachers and governing bod</w:t>
      </w:r>
      <w:r w:rsidR="004152D7" w:rsidRPr="00705394">
        <w:rPr>
          <w:rFonts w:ascii="Arial" w:hAnsi="Arial" w:cs="Arial"/>
          <w:sz w:val="24"/>
          <w:szCs w:val="24"/>
        </w:rPr>
        <w:t>y</w:t>
      </w:r>
      <w:r w:rsidR="00185902" w:rsidRPr="00705394">
        <w:rPr>
          <w:rFonts w:ascii="Arial" w:hAnsi="Arial" w:cs="Arial"/>
          <w:sz w:val="24"/>
          <w:szCs w:val="24"/>
        </w:rPr>
        <w:t xml:space="preserve"> are strongly advised to seek support and guidance from their HR Business Partner in exercising their responsibilities within the appeals process. This process reinforces the requirement for </w:t>
      </w:r>
      <w:r w:rsidR="009E590E" w:rsidRPr="00705394">
        <w:rPr>
          <w:rFonts w:ascii="Arial" w:hAnsi="Arial" w:cs="Arial"/>
          <w:sz w:val="24"/>
          <w:szCs w:val="24"/>
        </w:rPr>
        <w:t>minutes</w:t>
      </w:r>
      <w:r w:rsidR="00185902" w:rsidRPr="00705394">
        <w:rPr>
          <w:rFonts w:ascii="Arial" w:hAnsi="Arial" w:cs="Arial"/>
          <w:sz w:val="24"/>
          <w:szCs w:val="24"/>
        </w:rPr>
        <w:t>, audited decisions supported by evidence gained throughout the appraisal and pay decision processes.</w:t>
      </w:r>
    </w:p>
    <w:p w14:paraId="1C2DABD0" w14:textId="77777777" w:rsidR="004152D7" w:rsidRPr="00705394" w:rsidRDefault="004152D7" w:rsidP="002E4798">
      <w:pPr>
        <w:pStyle w:val="NoSpacing"/>
        <w:spacing w:line="276" w:lineRule="auto"/>
        <w:jc w:val="both"/>
        <w:rPr>
          <w:rFonts w:ascii="Arial" w:hAnsi="Arial" w:cs="Arial"/>
          <w:sz w:val="24"/>
          <w:szCs w:val="24"/>
        </w:rPr>
      </w:pPr>
    </w:p>
    <w:p w14:paraId="4E23E6F5" w14:textId="77777777" w:rsidR="004152D7" w:rsidRPr="00705394" w:rsidRDefault="004152D7" w:rsidP="004152D7">
      <w:pPr>
        <w:jc w:val="both"/>
        <w:rPr>
          <w:b/>
          <w:u w:val="none"/>
        </w:rPr>
      </w:pPr>
      <w:r w:rsidRPr="00705394">
        <w:rPr>
          <w:b/>
          <w:u w:val="none"/>
        </w:rPr>
        <w:t>Additional Guidance on STPCD Changes para 29.0</w:t>
      </w:r>
    </w:p>
    <w:p w14:paraId="52603672" w14:textId="77777777" w:rsidR="004152D7" w:rsidRPr="00705394" w:rsidRDefault="004152D7" w:rsidP="004152D7">
      <w:pPr>
        <w:jc w:val="both"/>
        <w:rPr>
          <w:u w:val="none"/>
        </w:rPr>
      </w:pPr>
      <w:r w:rsidRPr="00705394">
        <w:rPr>
          <w:u w:val="none"/>
        </w:rPr>
        <w:t>In 2014 the School Teachers Review Body recommended that the illustrative list of 21 tasks which teachers should not routinely be expected to carry out be removed from the STPCD.  This recognises that schools should still not expect teachers to undertake these duties and now form part of the statutory principles underlying the non-pay conditions. It is expected that schools will comply and will make sensible decisions how teachers best meet the needs of their pupils.</w:t>
      </w:r>
    </w:p>
    <w:p w14:paraId="50158D67" w14:textId="77777777" w:rsidR="004152D7" w:rsidRPr="00705394" w:rsidRDefault="004152D7" w:rsidP="004152D7">
      <w:pPr>
        <w:jc w:val="both"/>
        <w:rPr>
          <w:u w:val="none"/>
        </w:rPr>
      </w:pPr>
      <w:r w:rsidRPr="00705394">
        <w:rPr>
          <w:u w:val="none"/>
        </w:rPr>
        <w:t>It is important for schools to be aware that the core provisions on the principles of working time, planning, preparation and assessment (PPA) time, “rarely cover” and not routinely being required to undertake administrative and clerical tasks remain unchanged.  Governing bodies are responsible for ensuring full compliance with all statutory provisions.</w:t>
      </w:r>
    </w:p>
    <w:p w14:paraId="653EC41F" w14:textId="65DE8806" w:rsidR="00AE39AA" w:rsidRPr="00705394" w:rsidRDefault="00AE39AA" w:rsidP="002E4798">
      <w:pPr>
        <w:jc w:val="both"/>
        <w:rPr>
          <w:b/>
          <w:bCs/>
          <w:sz w:val="32"/>
          <w:szCs w:val="32"/>
          <w:u w:val="none"/>
        </w:rPr>
      </w:pPr>
      <w:r w:rsidRPr="00705394">
        <w:rPr>
          <w:b/>
          <w:bCs/>
          <w:u w:val="none"/>
        </w:rPr>
        <w:t xml:space="preserve">Pay Policy Paragraph </w:t>
      </w:r>
      <w:r w:rsidR="0034631F" w:rsidRPr="00705394">
        <w:rPr>
          <w:b/>
          <w:bCs/>
          <w:u w:val="none"/>
        </w:rPr>
        <w:t>30.</w:t>
      </w:r>
      <w:r w:rsidRPr="00705394">
        <w:rPr>
          <w:b/>
          <w:bCs/>
          <w:u w:val="none"/>
        </w:rPr>
        <w:t xml:space="preserve">0 - </w:t>
      </w:r>
      <w:r w:rsidR="00185902" w:rsidRPr="00705394">
        <w:rPr>
          <w:b/>
          <w:bCs/>
          <w:u w:val="none"/>
        </w:rPr>
        <w:t>Mon</w:t>
      </w:r>
      <w:r w:rsidR="003376D3" w:rsidRPr="00705394">
        <w:rPr>
          <w:b/>
          <w:bCs/>
          <w:u w:val="none"/>
        </w:rPr>
        <w:t>itoring and Review</w:t>
      </w:r>
      <w:r w:rsidR="00185902" w:rsidRPr="00705394">
        <w:rPr>
          <w:b/>
          <w:bCs/>
          <w:u w:val="none"/>
        </w:rPr>
        <w:t xml:space="preserve"> </w:t>
      </w:r>
    </w:p>
    <w:p w14:paraId="33F6BF17" w14:textId="77777777" w:rsidR="00185902" w:rsidRPr="00705394" w:rsidRDefault="00185902" w:rsidP="002E4798">
      <w:pPr>
        <w:jc w:val="both"/>
        <w:rPr>
          <w:u w:val="none"/>
        </w:rPr>
      </w:pPr>
      <w:r w:rsidRPr="00705394">
        <w:rPr>
          <w:u w:val="none"/>
        </w:rPr>
        <w:t>Paragraph 2</w:t>
      </w:r>
      <w:r w:rsidR="00240013" w:rsidRPr="00705394">
        <w:rPr>
          <w:u w:val="none"/>
        </w:rPr>
        <w:t>.0</w:t>
      </w:r>
      <w:r w:rsidRPr="00705394">
        <w:rPr>
          <w:u w:val="none"/>
        </w:rPr>
        <w:t xml:space="preserve"> of this guidance sets out the general pay responsibilities of the governing body under the Equalities Act 2010. </w:t>
      </w:r>
    </w:p>
    <w:p w14:paraId="1C0DA96D" w14:textId="6201687B" w:rsidR="00185902" w:rsidRPr="00705394" w:rsidRDefault="00185902" w:rsidP="002E4798">
      <w:pPr>
        <w:jc w:val="both"/>
        <w:rPr>
          <w:u w:val="none"/>
        </w:rPr>
      </w:pPr>
      <w:r w:rsidRPr="00705394">
        <w:t xml:space="preserve">Paragraph </w:t>
      </w:r>
      <w:r w:rsidR="0034631F" w:rsidRPr="00705394">
        <w:t>30.0</w:t>
      </w:r>
      <w:r w:rsidRPr="00705394">
        <w:t xml:space="preserve"> – Proposed Changes to the Pay Policy </w:t>
      </w:r>
    </w:p>
    <w:p w14:paraId="53298CCB" w14:textId="77777777" w:rsidR="00185902" w:rsidRPr="00705394" w:rsidRDefault="00185902" w:rsidP="002E4798">
      <w:pPr>
        <w:jc w:val="both"/>
        <w:rPr>
          <w:u w:val="none"/>
        </w:rPr>
      </w:pPr>
      <w:r w:rsidRPr="00705394">
        <w:rPr>
          <w:u w:val="none"/>
        </w:rPr>
        <w:t xml:space="preserve">Governing bodies as public sector employers should undertake Equality Impact Assessments (EQIA) where changes to any policies are proposed, including changes to the pay policy. The purpose of this assessment is to assess the risks and to put measures in place to avoid discrimination against employees on the grounds of their protected characteristics, as defined in the Equality Act 2010. It will also ensure that part time employees and those employed on fixed term contracts are not treated less favourably by the </w:t>
      </w:r>
      <w:r w:rsidR="003D4622" w:rsidRPr="00705394">
        <w:rPr>
          <w:u w:val="none"/>
        </w:rPr>
        <w:t xml:space="preserve">school. Guidance on completion of an EQIA is available on </w:t>
      </w:r>
      <w:hyperlink r:id="rId30" w:history="1">
        <w:r w:rsidR="003D4622" w:rsidRPr="00705394">
          <w:rPr>
            <w:rStyle w:val="Hyperlink"/>
            <w:color w:val="auto"/>
          </w:rPr>
          <w:t>Schools Portal.</w:t>
        </w:r>
      </w:hyperlink>
    </w:p>
    <w:p w14:paraId="7C0B2B8C" w14:textId="3A8A1E65" w:rsidR="00185902" w:rsidRPr="00705394" w:rsidRDefault="00185902" w:rsidP="002E4798">
      <w:pPr>
        <w:jc w:val="both"/>
      </w:pPr>
      <w:r w:rsidRPr="00705394">
        <w:t xml:space="preserve">Paragraph </w:t>
      </w:r>
      <w:r w:rsidR="0034631F" w:rsidRPr="00705394">
        <w:t>30.1</w:t>
      </w:r>
      <w:r w:rsidRPr="00705394">
        <w:t xml:space="preserve"> – Annual Monitoring </w:t>
      </w:r>
      <w:r w:rsidR="003376D3" w:rsidRPr="00705394">
        <w:t>and Ofsted</w:t>
      </w:r>
      <w:r w:rsidR="00D0503E" w:rsidRPr="00705394">
        <w:t xml:space="preserve"> </w:t>
      </w:r>
    </w:p>
    <w:p w14:paraId="539297F6" w14:textId="50C7224D" w:rsidR="005B662D" w:rsidRPr="00705394" w:rsidRDefault="00AF73A9" w:rsidP="005B662D">
      <w:pPr>
        <w:jc w:val="both"/>
        <w:rPr>
          <w:u w:val="none"/>
        </w:rPr>
      </w:pPr>
      <w:r>
        <w:rPr>
          <w:u w:val="none"/>
        </w:rPr>
        <w:t>Despite the move away from performance related pay, t</w:t>
      </w:r>
      <w:r w:rsidR="009A2B44" w:rsidRPr="00705394">
        <w:rPr>
          <w:u w:val="none"/>
        </w:rPr>
        <w:t xml:space="preserve">he </w:t>
      </w:r>
      <w:r>
        <w:rPr>
          <w:u w:val="none"/>
        </w:rPr>
        <w:t xml:space="preserve">Appraisal Regulations 2012 continue to require there to be a decision on incremental pay progression. The </w:t>
      </w:r>
      <w:r w:rsidR="009A2B44" w:rsidRPr="00705394">
        <w:rPr>
          <w:u w:val="none"/>
        </w:rPr>
        <w:t>head teacher</w:t>
      </w:r>
      <w:r w:rsidR="005B662D" w:rsidRPr="00705394">
        <w:rPr>
          <w:u w:val="none"/>
        </w:rPr>
        <w:t>’</w:t>
      </w:r>
      <w:r w:rsidR="009A2B44" w:rsidRPr="00705394">
        <w:rPr>
          <w:u w:val="none"/>
        </w:rPr>
        <w:t>s Annual Pay Progression Summary Report should be presented to governors</w:t>
      </w:r>
      <w:r w:rsidR="00240013" w:rsidRPr="00705394">
        <w:rPr>
          <w:u w:val="none"/>
        </w:rPr>
        <w:t xml:space="preserve"> as per the </w:t>
      </w:r>
      <w:r w:rsidR="00DB3269" w:rsidRPr="00705394">
        <w:rPr>
          <w:u w:val="none"/>
        </w:rPr>
        <w:t>schools’</w:t>
      </w:r>
      <w:r w:rsidR="00240013" w:rsidRPr="00705394">
        <w:rPr>
          <w:u w:val="none"/>
        </w:rPr>
        <w:t xml:space="preserve"> decision planner. </w:t>
      </w:r>
      <w:r w:rsidR="005B662D" w:rsidRPr="00705394">
        <w:rPr>
          <w:u w:val="none"/>
        </w:rPr>
        <w:t xml:space="preserve"> </w:t>
      </w:r>
      <w:r w:rsidR="00240013" w:rsidRPr="00705394">
        <w:rPr>
          <w:u w:val="none"/>
        </w:rPr>
        <w:t xml:space="preserve">The report </w:t>
      </w:r>
      <w:r w:rsidR="009A2B44" w:rsidRPr="00705394">
        <w:rPr>
          <w:u w:val="none"/>
        </w:rPr>
        <w:t>enable</w:t>
      </w:r>
      <w:r w:rsidR="00240013" w:rsidRPr="00705394">
        <w:rPr>
          <w:u w:val="none"/>
        </w:rPr>
        <w:t>s</w:t>
      </w:r>
      <w:r w:rsidR="009A2B44" w:rsidRPr="00705394">
        <w:rPr>
          <w:u w:val="none"/>
        </w:rPr>
        <w:t xml:space="preserve"> them to receive </w:t>
      </w:r>
      <w:r>
        <w:rPr>
          <w:u w:val="none"/>
        </w:rPr>
        <w:t xml:space="preserve">pay </w:t>
      </w:r>
      <w:r w:rsidR="00D10DC8">
        <w:rPr>
          <w:u w:val="none"/>
        </w:rPr>
        <w:t xml:space="preserve">recommendations </w:t>
      </w:r>
      <w:r w:rsidR="00D10DC8" w:rsidRPr="00705394">
        <w:rPr>
          <w:u w:val="none"/>
        </w:rPr>
        <w:t>and</w:t>
      </w:r>
      <w:r w:rsidR="009A2B44" w:rsidRPr="00705394">
        <w:rPr>
          <w:u w:val="none"/>
        </w:rPr>
        <w:t xml:space="preserve"> provide an opportunity to challenge pay recommendation, where evidence is lacking. </w:t>
      </w:r>
      <w:r w:rsidR="005B662D" w:rsidRPr="00705394">
        <w:rPr>
          <w:u w:val="none"/>
        </w:rPr>
        <w:t xml:space="preserve"> </w:t>
      </w:r>
      <w:r w:rsidR="009A2B44" w:rsidRPr="00705394">
        <w:rPr>
          <w:u w:val="none"/>
        </w:rPr>
        <w:t xml:space="preserve">It is the responsibility of the governing body to make sure that pay recommendations are </w:t>
      </w:r>
      <w:r w:rsidR="00634F51" w:rsidRPr="00705394">
        <w:rPr>
          <w:u w:val="none"/>
        </w:rPr>
        <w:t>equitable</w:t>
      </w:r>
      <w:r w:rsidR="00EB61D3" w:rsidRPr="00705394">
        <w:rPr>
          <w:u w:val="none"/>
        </w:rPr>
        <w:t xml:space="preserve"> (</w:t>
      </w:r>
      <w:r w:rsidR="005B662D" w:rsidRPr="00705394">
        <w:rPr>
          <w:b/>
          <w:bCs/>
          <w:u w:val="none"/>
        </w:rPr>
        <w:t xml:space="preserve">Toolkit </w:t>
      </w:r>
      <w:r w:rsidR="00EB61D3" w:rsidRPr="00705394">
        <w:rPr>
          <w:b/>
          <w:bCs/>
          <w:u w:val="none"/>
        </w:rPr>
        <w:t>Appendix 8</w:t>
      </w:r>
      <w:r w:rsidR="00EB61D3" w:rsidRPr="00705394">
        <w:rPr>
          <w:u w:val="none"/>
        </w:rPr>
        <w:t xml:space="preserve">). </w:t>
      </w:r>
      <w:r w:rsidR="002D1FDD" w:rsidRPr="00705394">
        <w:rPr>
          <w:u w:val="none"/>
        </w:rPr>
        <w:t xml:space="preserve"> </w:t>
      </w:r>
    </w:p>
    <w:p w14:paraId="39DCAD2E" w14:textId="48E37753" w:rsidR="00C62DEC" w:rsidRPr="00705394" w:rsidRDefault="009A2B44" w:rsidP="005B662D">
      <w:pPr>
        <w:jc w:val="both"/>
        <w:rPr>
          <w:u w:val="none"/>
        </w:rPr>
      </w:pPr>
      <w:r w:rsidRPr="00705394">
        <w:rPr>
          <w:u w:val="none"/>
        </w:rPr>
        <w:t xml:space="preserve">The governing body should also receive pay related equalities information from the head teacher on an annual </w:t>
      </w:r>
      <w:r w:rsidR="00467F7E" w:rsidRPr="00705394">
        <w:rPr>
          <w:u w:val="none"/>
        </w:rPr>
        <w:t>basis;</w:t>
      </w:r>
      <w:r w:rsidR="005B662D" w:rsidRPr="00705394">
        <w:rPr>
          <w:u w:val="none"/>
        </w:rPr>
        <w:t xml:space="preserve"> an example is included in </w:t>
      </w:r>
      <w:r w:rsidR="005B662D" w:rsidRPr="00705394">
        <w:rPr>
          <w:b/>
          <w:bCs/>
          <w:u w:val="none"/>
        </w:rPr>
        <w:t>Toolkit as</w:t>
      </w:r>
      <w:r w:rsidRPr="00705394">
        <w:rPr>
          <w:b/>
          <w:bCs/>
          <w:u w:val="none"/>
        </w:rPr>
        <w:t xml:space="preserve"> </w:t>
      </w:r>
      <w:r w:rsidR="00EB61D3" w:rsidRPr="00705394">
        <w:rPr>
          <w:b/>
          <w:bCs/>
          <w:u w:val="none"/>
        </w:rPr>
        <w:t>Appendix 9 – Sample Report: Pay Progression and equalities analysis</w:t>
      </w:r>
      <w:r w:rsidR="00EB61D3" w:rsidRPr="00705394">
        <w:rPr>
          <w:u w:val="none"/>
        </w:rPr>
        <w:t xml:space="preserve">. This </w:t>
      </w:r>
      <w:r w:rsidRPr="00705394">
        <w:rPr>
          <w:u w:val="none"/>
        </w:rPr>
        <w:t>report</w:t>
      </w:r>
      <w:r w:rsidR="00EB61D3" w:rsidRPr="00705394">
        <w:rPr>
          <w:u w:val="none"/>
        </w:rPr>
        <w:t xml:space="preserve"> enables the governing body </w:t>
      </w:r>
      <w:r w:rsidR="00185902" w:rsidRPr="00705394">
        <w:rPr>
          <w:u w:val="none"/>
        </w:rPr>
        <w:lastRenderedPageBreak/>
        <w:t>to monitor and identify any equality concerns to ensure that the outcomes of all pay decisions are fair</w:t>
      </w:r>
      <w:r w:rsidR="00973B0C" w:rsidRPr="00705394">
        <w:rPr>
          <w:u w:val="none"/>
        </w:rPr>
        <w:t xml:space="preserve"> and non-discriminatory</w:t>
      </w:r>
      <w:r w:rsidR="00185902" w:rsidRPr="00705394">
        <w:rPr>
          <w:u w:val="none"/>
        </w:rPr>
        <w:t xml:space="preserve">. The information presented should assess the impact of the pay policy and highlight trends in progression (and non-progression) to ensure compliance with equalities legislation. Through this annual process, the governing body </w:t>
      </w:r>
      <w:r w:rsidR="00C942E7" w:rsidRPr="00705394">
        <w:rPr>
          <w:u w:val="none"/>
        </w:rPr>
        <w:t>will be</w:t>
      </w:r>
      <w:r w:rsidR="00185902" w:rsidRPr="00705394">
        <w:rPr>
          <w:u w:val="none"/>
        </w:rPr>
        <w:t xml:space="preserve"> able to ensure that its pay arrangements:</w:t>
      </w:r>
    </w:p>
    <w:p w14:paraId="61EC9E5E" w14:textId="77777777" w:rsidR="00185902" w:rsidRPr="00705394" w:rsidRDefault="00185902" w:rsidP="00B42818">
      <w:pPr>
        <w:pStyle w:val="ListParagraph"/>
        <w:numPr>
          <w:ilvl w:val="0"/>
          <w:numId w:val="26"/>
        </w:numPr>
        <w:rPr>
          <w:u w:val="none"/>
        </w:rPr>
      </w:pPr>
      <w:r w:rsidRPr="00705394">
        <w:rPr>
          <w:u w:val="none"/>
        </w:rPr>
        <w:t>Do n</w:t>
      </w:r>
      <w:r w:rsidR="00C62DEC" w:rsidRPr="00705394">
        <w:rPr>
          <w:u w:val="none"/>
        </w:rPr>
        <w:t>ot discriminate unlawfully;</w:t>
      </w:r>
      <w:r w:rsidR="00E35080" w:rsidRPr="00705394">
        <w:rPr>
          <w:u w:val="none"/>
        </w:rPr>
        <w:br/>
      </w:r>
      <w:r w:rsidRPr="00705394">
        <w:rPr>
          <w:u w:val="none"/>
        </w:rPr>
        <w:t>A</w:t>
      </w:r>
      <w:r w:rsidR="00C62DEC" w:rsidRPr="00705394">
        <w:rPr>
          <w:u w:val="none"/>
        </w:rPr>
        <w:t>dvance equal op</w:t>
      </w:r>
      <w:r w:rsidR="00E35080" w:rsidRPr="00705394">
        <w:rPr>
          <w:u w:val="none"/>
        </w:rPr>
        <w:t>portunities; and</w:t>
      </w:r>
      <w:r w:rsidR="00E35080" w:rsidRPr="00705394">
        <w:rPr>
          <w:u w:val="none"/>
        </w:rPr>
        <w:br/>
      </w:r>
      <w:r w:rsidRPr="00705394">
        <w:rPr>
          <w:u w:val="none"/>
        </w:rPr>
        <w:t>Promote good rel</w:t>
      </w:r>
      <w:r w:rsidR="002D1FDD" w:rsidRPr="00705394">
        <w:rPr>
          <w:u w:val="none"/>
        </w:rPr>
        <w:t>ations between different groups.</w:t>
      </w:r>
    </w:p>
    <w:p w14:paraId="6AB547A1" w14:textId="77777777" w:rsidR="00185902" w:rsidRPr="00705394" w:rsidRDefault="00B62919" w:rsidP="00973B0C">
      <w:pPr>
        <w:jc w:val="both"/>
        <w:rPr>
          <w:u w:val="none"/>
        </w:rPr>
      </w:pPr>
      <w:r w:rsidRPr="00705394">
        <w:rPr>
          <w:u w:val="none"/>
        </w:rPr>
        <w:t xml:space="preserve">Schools will already produce summary </w:t>
      </w:r>
      <w:r w:rsidR="00DB3269" w:rsidRPr="00705394">
        <w:rPr>
          <w:u w:val="none"/>
        </w:rPr>
        <w:t>employment-based</w:t>
      </w:r>
      <w:r w:rsidRPr="00705394">
        <w:rPr>
          <w:u w:val="none"/>
        </w:rPr>
        <w:t xml:space="preserve"> information for the governing body </w:t>
      </w:r>
      <w:r w:rsidR="00D37F8C" w:rsidRPr="00705394">
        <w:rPr>
          <w:u w:val="none"/>
        </w:rPr>
        <w:t>and where this is the case should simply review the information which is already provided.</w:t>
      </w:r>
      <w:r w:rsidRPr="00705394">
        <w:rPr>
          <w:u w:val="none"/>
        </w:rPr>
        <w:t xml:space="preserve"> </w:t>
      </w:r>
      <w:r w:rsidR="00965CA6" w:rsidRPr="00705394">
        <w:rPr>
          <w:u w:val="none"/>
        </w:rPr>
        <w:t xml:space="preserve"> </w:t>
      </w:r>
      <w:r w:rsidR="00D37F8C" w:rsidRPr="00705394">
        <w:rPr>
          <w:u w:val="none"/>
        </w:rPr>
        <w:t xml:space="preserve">A combination of an </w:t>
      </w:r>
      <w:r w:rsidR="00185902" w:rsidRPr="00705394">
        <w:rPr>
          <w:u w:val="none"/>
        </w:rPr>
        <w:t>evaluat</w:t>
      </w:r>
      <w:r w:rsidR="00D37F8C" w:rsidRPr="00705394">
        <w:rPr>
          <w:u w:val="none"/>
        </w:rPr>
        <w:t xml:space="preserve">ion of </w:t>
      </w:r>
      <w:r w:rsidR="00185902" w:rsidRPr="00705394">
        <w:rPr>
          <w:u w:val="none"/>
        </w:rPr>
        <w:t xml:space="preserve">the operation of the pay policy </w:t>
      </w:r>
      <w:r w:rsidR="00D37F8C" w:rsidRPr="00705394">
        <w:rPr>
          <w:u w:val="none"/>
        </w:rPr>
        <w:t xml:space="preserve">and analysis of data will </w:t>
      </w:r>
      <w:r w:rsidR="00185902" w:rsidRPr="00705394">
        <w:rPr>
          <w:u w:val="none"/>
        </w:rPr>
        <w:t>ensure:</w:t>
      </w:r>
    </w:p>
    <w:p w14:paraId="4789DBCE" w14:textId="636980FD" w:rsidR="00185902" w:rsidRPr="00F406FB" w:rsidRDefault="00185902" w:rsidP="00B42818">
      <w:pPr>
        <w:pStyle w:val="ListParagraph"/>
        <w:numPr>
          <w:ilvl w:val="0"/>
          <w:numId w:val="2"/>
        </w:numPr>
        <w:tabs>
          <w:tab w:val="left" w:pos="426"/>
        </w:tabs>
        <w:ind w:left="426" w:hanging="426"/>
        <w:jc w:val="both"/>
        <w:rPr>
          <w:u w:val="none"/>
        </w:rPr>
      </w:pPr>
      <w:r w:rsidRPr="00705394">
        <w:rPr>
          <w:u w:val="none"/>
        </w:rPr>
        <w:t xml:space="preserve">There is no actual, or potential for, discrimination or disadvantage in terms of access to/eligibility for pay progression opportunities on each of the pay ranges. This process should highlight whether there are any groups of teachers who </w:t>
      </w:r>
      <w:r w:rsidR="00634F51" w:rsidRPr="00705394">
        <w:rPr>
          <w:u w:val="none"/>
        </w:rPr>
        <w:t xml:space="preserve">achieve </w:t>
      </w:r>
      <w:r w:rsidRPr="00705394">
        <w:rPr>
          <w:u w:val="none"/>
        </w:rPr>
        <w:t xml:space="preserve">pay progression, for example, because of their working pattern and the governing body should be aware whether any </w:t>
      </w:r>
      <w:r w:rsidR="009E590E" w:rsidRPr="00705394">
        <w:rPr>
          <w:u w:val="none"/>
        </w:rPr>
        <w:t>groups</w:t>
      </w:r>
      <w:r w:rsidRPr="00705394">
        <w:rPr>
          <w:u w:val="none"/>
        </w:rPr>
        <w:t xml:space="preserve"> of employees have </w:t>
      </w:r>
      <w:r w:rsidR="00D10DC8" w:rsidRPr="00705394">
        <w:rPr>
          <w:u w:val="none"/>
        </w:rPr>
        <w:t>protected</w:t>
      </w:r>
      <w:r w:rsidRPr="00705394">
        <w:rPr>
          <w:u w:val="none"/>
        </w:rPr>
        <w:t xml:space="preserve"> characteristics. If t</w:t>
      </w:r>
      <w:r w:rsidRPr="00F406FB">
        <w:rPr>
          <w:u w:val="none"/>
        </w:rPr>
        <w:t>his is the case, the governing body may want to consider how a</w:t>
      </w:r>
      <w:r w:rsidR="007409E6" w:rsidRPr="00F406FB">
        <w:rPr>
          <w:u w:val="none"/>
        </w:rPr>
        <w:t>djustment</w:t>
      </w:r>
      <w:r w:rsidRPr="00F406FB">
        <w:rPr>
          <w:u w:val="none"/>
        </w:rPr>
        <w:t xml:space="preserve"> may be made for circumstances in other contexts, for example absence due to disability or pregnancy and when asses</w:t>
      </w:r>
      <w:r w:rsidR="00984962" w:rsidRPr="00F406FB">
        <w:rPr>
          <w:u w:val="none"/>
        </w:rPr>
        <w:t>sing applications for the UPR</w:t>
      </w:r>
    </w:p>
    <w:p w14:paraId="0EC25265" w14:textId="05CACE66" w:rsidR="00185902" w:rsidRPr="00F406FB" w:rsidRDefault="00185902" w:rsidP="00B42818">
      <w:pPr>
        <w:pStyle w:val="ListParagraph"/>
        <w:numPr>
          <w:ilvl w:val="0"/>
          <w:numId w:val="2"/>
        </w:numPr>
        <w:ind w:left="426" w:hanging="426"/>
        <w:jc w:val="both"/>
        <w:rPr>
          <w:u w:val="none"/>
        </w:rPr>
      </w:pPr>
      <w:r w:rsidRPr="00F406FB">
        <w:rPr>
          <w:u w:val="none"/>
        </w:rPr>
        <w:t xml:space="preserve">Decisions made in respect of the use of additional payments and allowances do not discriminate against </w:t>
      </w:r>
      <w:r w:rsidR="009E590E" w:rsidRPr="00F406FB">
        <w:rPr>
          <w:u w:val="none"/>
        </w:rPr>
        <w:t>groups</w:t>
      </w:r>
    </w:p>
    <w:p w14:paraId="4FDF9706" w14:textId="77777777" w:rsidR="00185902" w:rsidRPr="00F406FB" w:rsidRDefault="00185902" w:rsidP="00B42818">
      <w:pPr>
        <w:pStyle w:val="ListParagraph"/>
        <w:numPr>
          <w:ilvl w:val="0"/>
          <w:numId w:val="2"/>
        </w:numPr>
        <w:ind w:left="426" w:hanging="426"/>
        <w:jc w:val="both"/>
        <w:rPr>
          <w:u w:val="none"/>
        </w:rPr>
      </w:pPr>
      <w:r w:rsidRPr="00F406FB">
        <w:rPr>
          <w:u w:val="none"/>
        </w:rPr>
        <w:t>The outcome of all pay decisions is fair and equitable;</w:t>
      </w:r>
      <w:r w:rsidR="00984962" w:rsidRPr="00F406FB">
        <w:rPr>
          <w:u w:val="none"/>
        </w:rPr>
        <w:t xml:space="preserve"> and</w:t>
      </w:r>
    </w:p>
    <w:p w14:paraId="4FB1B312" w14:textId="704B784D" w:rsidR="00185902" w:rsidRPr="00F406FB" w:rsidRDefault="00185902" w:rsidP="00B42818">
      <w:pPr>
        <w:pStyle w:val="ListParagraph"/>
        <w:numPr>
          <w:ilvl w:val="0"/>
          <w:numId w:val="2"/>
        </w:numPr>
        <w:ind w:left="426" w:hanging="426"/>
        <w:jc w:val="both"/>
        <w:rPr>
          <w:u w:val="none"/>
        </w:rPr>
      </w:pPr>
      <w:r w:rsidRPr="00F406FB">
        <w:rPr>
          <w:u w:val="none"/>
        </w:rPr>
        <w:t xml:space="preserve">The reasons for anomalies or other disparities are examined, explained and remedial action is taken.  For </w:t>
      </w:r>
      <w:r w:rsidR="00634F51" w:rsidRPr="00F406FB">
        <w:rPr>
          <w:u w:val="none"/>
        </w:rPr>
        <w:t>example,</w:t>
      </w:r>
      <w:r w:rsidRPr="00F406FB">
        <w:rPr>
          <w:u w:val="none"/>
        </w:rPr>
        <w:t xml:space="preserve"> by monitoring trends, it may show that over time part-time teachers do not progress on the relevant pay scale as quickly as full-time staff.  It may be that insufficient evidence is being </w:t>
      </w:r>
      <w:r w:rsidR="009E590E" w:rsidRPr="00F406FB">
        <w:rPr>
          <w:u w:val="none"/>
        </w:rPr>
        <w:t>gathered,</w:t>
      </w:r>
      <w:r w:rsidRPr="00F406FB">
        <w:rPr>
          <w:u w:val="none"/>
        </w:rPr>
        <w:t xml:space="preserve"> and systems need to be reviewed.</w:t>
      </w:r>
    </w:p>
    <w:p w14:paraId="6F2F96F9" w14:textId="3D8CE214" w:rsidR="00CD51AB" w:rsidRPr="00F406FB" w:rsidRDefault="00CD51AB" w:rsidP="00B42818">
      <w:pPr>
        <w:pStyle w:val="ListParagraph"/>
        <w:numPr>
          <w:ilvl w:val="0"/>
          <w:numId w:val="2"/>
        </w:numPr>
        <w:ind w:left="426" w:hanging="426"/>
        <w:jc w:val="both"/>
        <w:rPr>
          <w:u w:val="none"/>
        </w:rPr>
      </w:pPr>
      <w:r w:rsidRPr="00F406FB">
        <w:rPr>
          <w:u w:val="none"/>
        </w:rPr>
        <w:t>That they fully understand and make secure</w:t>
      </w:r>
      <w:r w:rsidR="00634F51">
        <w:rPr>
          <w:u w:val="none"/>
        </w:rPr>
        <w:t xml:space="preserve"> </w:t>
      </w:r>
      <w:r w:rsidRPr="00F406FB">
        <w:rPr>
          <w:u w:val="none"/>
        </w:rPr>
        <w:t>pay decisions based on objective information.</w:t>
      </w:r>
    </w:p>
    <w:p w14:paraId="0FBFBBB5" w14:textId="772CC20F" w:rsidR="00185902" w:rsidRPr="00F406FB" w:rsidRDefault="00185902" w:rsidP="002E4798">
      <w:pPr>
        <w:jc w:val="both"/>
        <w:rPr>
          <w:u w:val="none"/>
        </w:rPr>
      </w:pPr>
      <w:r w:rsidRPr="00F406FB">
        <w:rPr>
          <w:u w:val="none"/>
        </w:rPr>
        <w:t xml:space="preserve">The governing body </w:t>
      </w:r>
      <w:r w:rsidR="00EC1809" w:rsidRPr="00F406FB">
        <w:rPr>
          <w:u w:val="none"/>
        </w:rPr>
        <w:t>should</w:t>
      </w:r>
      <w:r w:rsidRPr="00F406FB">
        <w:rPr>
          <w:u w:val="none"/>
        </w:rPr>
        <w:t xml:space="preserve"> monitor the</w:t>
      </w:r>
      <w:r w:rsidR="00EC1809" w:rsidRPr="00F406FB">
        <w:rPr>
          <w:u w:val="none"/>
        </w:rPr>
        <w:t xml:space="preserve"> use of evidence to ensure it is not overly bureaucratic and monitor the</w:t>
      </w:r>
      <w:r w:rsidRPr="00F406FB">
        <w:rPr>
          <w:u w:val="none"/>
        </w:rPr>
        <w:t xml:space="preserve"> outcomes and impact of the pay policy and where potential irregularities are identified, schools should take steps to avoid discrimination. This affirms the need for pay decisions to be recorded properly by the school in a way that enables the school to assess the equality impact of the same, </w:t>
      </w:r>
      <w:r w:rsidR="00D10DC8">
        <w:rPr>
          <w:u w:val="none"/>
        </w:rPr>
        <w:t>considering</w:t>
      </w:r>
      <w:r w:rsidR="003155A7">
        <w:rPr>
          <w:u w:val="none"/>
        </w:rPr>
        <w:t xml:space="preserve"> </w:t>
      </w:r>
      <w:r w:rsidRPr="00F406FB">
        <w:rPr>
          <w:u w:val="none"/>
        </w:rPr>
        <w:t xml:space="preserve">the protected characteristics </w:t>
      </w:r>
      <w:r w:rsidR="003155A7" w:rsidRPr="00F406FB">
        <w:rPr>
          <w:u w:val="none"/>
        </w:rPr>
        <w:t>of</w:t>
      </w:r>
      <w:r w:rsidRPr="00F406FB">
        <w:rPr>
          <w:u w:val="none"/>
        </w:rPr>
        <w:t xml:space="preserve"> race; gender; sexual orientation; religion or belief; gender re-assignment; pregnancy and maternity; marriage and civil partnership; disability and age.  The governing body should also take steps to ensure that the school’s pay policy does not discriminate on the grounds of trade union membership.</w:t>
      </w:r>
    </w:p>
    <w:p w14:paraId="048F257D" w14:textId="51EE299C" w:rsidR="004C4ECA" w:rsidRPr="00F406FB" w:rsidRDefault="00680BD1" w:rsidP="002E4798">
      <w:pPr>
        <w:jc w:val="both"/>
        <w:rPr>
          <w:u w:val="none"/>
        </w:rPr>
      </w:pPr>
      <w:r w:rsidRPr="00F406FB">
        <w:rPr>
          <w:u w:val="none"/>
        </w:rPr>
        <w:t xml:space="preserve">It is very important that governors satisfy themselves that pay decisions year on year are not identifying areas for concern, for example where a disproportionately number of men than women are receiving pay progression. The governing </w:t>
      </w:r>
      <w:r w:rsidR="008953B2" w:rsidRPr="00F406FB">
        <w:rPr>
          <w:u w:val="none"/>
        </w:rPr>
        <w:t xml:space="preserve">body </w:t>
      </w:r>
      <w:r w:rsidRPr="00F406FB">
        <w:rPr>
          <w:u w:val="none"/>
        </w:rPr>
        <w:t xml:space="preserve">should understand and </w:t>
      </w:r>
      <w:r w:rsidRPr="00F406FB">
        <w:rPr>
          <w:u w:val="none"/>
        </w:rPr>
        <w:lastRenderedPageBreak/>
        <w:t xml:space="preserve">examine for example whether teachers who share a particular protected characteristic are treated less favourably. </w:t>
      </w:r>
    </w:p>
    <w:p w14:paraId="70CA328D" w14:textId="4AC5C939" w:rsidR="00C62DEC" w:rsidRPr="00F406FB" w:rsidRDefault="00C93F37" w:rsidP="002E4798">
      <w:pPr>
        <w:jc w:val="both"/>
        <w:rPr>
          <w:b/>
          <w:u w:val="none"/>
        </w:rPr>
      </w:pPr>
      <w:r w:rsidRPr="00F406FB">
        <w:rPr>
          <w:b/>
          <w:u w:val="none"/>
        </w:rPr>
        <w:t>E</w:t>
      </w:r>
      <w:r w:rsidR="00C62DEC" w:rsidRPr="00F406FB">
        <w:rPr>
          <w:b/>
          <w:u w:val="none"/>
        </w:rPr>
        <w:t xml:space="preserve">xtended services </w:t>
      </w:r>
    </w:p>
    <w:p w14:paraId="180239D2" w14:textId="4F2A4B4B" w:rsidR="006E42C1" w:rsidRDefault="00C62DEC" w:rsidP="002E4798">
      <w:pPr>
        <w:jc w:val="both"/>
        <w:rPr>
          <w:u w:val="none"/>
        </w:rPr>
      </w:pPr>
      <w:r w:rsidRPr="00F406FB">
        <w:rPr>
          <w:u w:val="none"/>
        </w:rPr>
        <w:t>The STPCD is explicit in its advice to governing bodies about schools taking responsibility for extended services as part of a local authority plan.  This can be a complex area of employment and may provide considerable risk to both the governing body and the local authority. The governing body will, therefore, not consider taking any responsibility for extended services on their site or which may involve a TUPE transfer of staff to the school without first fully consulting with officers of the LA.  These discussions will include a</w:t>
      </w:r>
      <w:r w:rsidR="00A8453D" w:rsidRPr="00F406FB">
        <w:rPr>
          <w:u w:val="none"/>
        </w:rPr>
        <w:t xml:space="preserve"> full </w:t>
      </w:r>
      <w:r w:rsidRPr="00F406FB">
        <w:rPr>
          <w:u w:val="none"/>
        </w:rPr>
        <w:t>assessment of the financial viability and of the associated risks.</w:t>
      </w:r>
    </w:p>
    <w:p w14:paraId="2870FBBE" w14:textId="77777777" w:rsidR="0075272B" w:rsidRPr="00F406FB" w:rsidRDefault="00EC676E" w:rsidP="0075272B">
      <w:pPr>
        <w:tabs>
          <w:tab w:val="left" w:pos="567"/>
        </w:tabs>
        <w:ind w:left="567" w:hanging="567"/>
        <w:jc w:val="both"/>
        <w:rPr>
          <w:b/>
          <w:lang w:val="en-US"/>
        </w:rPr>
      </w:pPr>
      <w:r w:rsidRPr="00F406FB">
        <w:rPr>
          <w:b/>
          <w:lang w:val="en-US"/>
        </w:rPr>
        <w:t>Reference documents</w:t>
      </w:r>
    </w:p>
    <w:p w14:paraId="4C177B9B" w14:textId="0E9E35D6" w:rsidR="00394FD6" w:rsidRPr="00394FD6" w:rsidRDefault="00394FD6" w:rsidP="00394FD6">
      <w:pPr>
        <w:numPr>
          <w:ilvl w:val="0"/>
          <w:numId w:val="42"/>
        </w:numPr>
        <w:tabs>
          <w:tab w:val="left" w:pos="720"/>
        </w:tabs>
        <w:spacing w:after="0" w:line="240" w:lineRule="auto"/>
        <w:contextualSpacing/>
        <w:jc w:val="both"/>
        <w:rPr>
          <w:rFonts w:eastAsiaTheme="minorHAnsi"/>
          <w:szCs w:val="20"/>
          <w:u w:val="none"/>
          <w:lang w:eastAsia="en-GB"/>
        </w:rPr>
      </w:pPr>
      <w:r w:rsidRPr="00394FD6">
        <w:rPr>
          <w:rFonts w:eastAsia="Times New Roman"/>
          <w:szCs w:val="20"/>
          <w:u w:val="none"/>
          <w:lang w:eastAsia="en-GB"/>
        </w:rPr>
        <w:t>School Teacher’s Pay and Conditions Document</w:t>
      </w:r>
      <w:r w:rsidRPr="002663D2">
        <w:rPr>
          <w:rFonts w:eastAsia="Times New Roman"/>
          <w:szCs w:val="20"/>
          <w:u w:val="none"/>
          <w:lang w:eastAsia="en-GB"/>
        </w:rPr>
        <w:t xml:space="preserve"> 202</w:t>
      </w:r>
      <w:r w:rsidR="007E3039" w:rsidRPr="002663D2">
        <w:rPr>
          <w:rFonts w:eastAsia="Times New Roman"/>
          <w:szCs w:val="20"/>
          <w:u w:val="none"/>
          <w:lang w:eastAsia="en-GB"/>
        </w:rPr>
        <w:t>5</w:t>
      </w:r>
      <w:r w:rsidRPr="002663D2">
        <w:rPr>
          <w:rFonts w:eastAsia="Times New Roman"/>
          <w:szCs w:val="20"/>
          <w:u w:val="none"/>
          <w:lang w:eastAsia="en-GB"/>
        </w:rPr>
        <w:t xml:space="preserve"> </w:t>
      </w:r>
      <w:r w:rsidR="002F134D" w:rsidRPr="00342592">
        <w:rPr>
          <w:rFonts w:eastAsia="Times New Roman"/>
          <w:lang w:eastAsia="en-GB"/>
        </w:rPr>
        <w:t>(</w:t>
      </w:r>
      <w:hyperlink r:id="rId31" w:history="1">
        <w:r w:rsidR="002F134D" w:rsidRPr="005116D7">
          <w:rPr>
            <w:rStyle w:val="Hyperlink"/>
          </w:rPr>
          <w:t>STPCD 2025</w:t>
        </w:r>
      </w:hyperlink>
      <w:r w:rsidR="002F134D" w:rsidRPr="005116D7">
        <w:rPr>
          <w:rFonts w:eastAsia="Times New Roman"/>
          <w:lang w:eastAsia="en-GB"/>
        </w:rPr>
        <w:t>)</w:t>
      </w:r>
    </w:p>
    <w:p w14:paraId="3BEDCD90" w14:textId="77777777" w:rsidR="00394FD6" w:rsidRPr="00394FD6" w:rsidRDefault="00394FD6" w:rsidP="00394FD6">
      <w:pPr>
        <w:numPr>
          <w:ilvl w:val="0"/>
          <w:numId w:val="42"/>
        </w:numPr>
        <w:shd w:val="clear" w:color="auto" w:fill="FFFFFF"/>
        <w:spacing w:after="225" w:line="240" w:lineRule="auto"/>
        <w:outlineLvl w:val="2"/>
        <w:rPr>
          <w:rFonts w:eastAsia="Times New Roman"/>
          <w:color w:val="0000FF"/>
          <w:shd w:val="clear" w:color="auto" w:fill="FFFFFF"/>
          <w:lang w:eastAsia="en-GB"/>
        </w:rPr>
      </w:pPr>
      <w:hyperlink r:id="rId32" w:tgtFrame="_self" w:history="1">
        <w:r w:rsidRPr="00394FD6">
          <w:rPr>
            <w:rFonts w:eastAsia="Times New Roman"/>
            <w:color w:val="0000FF"/>
            <w:shd w:val="clear" w:color="auto" w:fill="FFFFFF"/>
            <w:lang w:eastAsia="en-GB"/>
          </w:rPr>
          <w:t>Teacher appraisal (valid from September 2024)</w:t>
        </w:r>
      </w:hyperlink>
    </w:p>
    <w:p w14:paraId="2CF3E880" w14:textId="77777777" w:rsidR="00394FD6" w:rsidRPr="00394FD6" w:rsidRDefault="00394FD6" w:rsidP="00394FD6">
      <w:pPr>
        <w:numPr>
          <w:ilvl w:val="0"/>
          <w:numId w:val="42"/>
        </w:numPr>
        <w:shd w:val="clear" w:color="auto" w:fill="FFFFFF"/>
        <w:spacing w:after="225" w:line="240" w:lineRule="auto"/>
        <w:outlineLvl w:val="2"/>
        <w:rPr>
          <w:rFonts w:eastAsia="Times New Roman"/>
          <w:color w:val="0000FF"/>
          <w:shd w:val="clear" w:color="auto" w:fill="FFFFFF"/>
          <w:lang w:eastAsia="en-GB"/>
        </w:rPr>
      </w:pPr>
      <w:hyperlink r:id="rId33" w:tgtFrame="_self" w:history="1">
        <w:r w:rsidRPr="00394FD6">
          <w:rPr>
            <w:rFonts w:eastAsia="Times New Roman"/>
            <w:color w:val="0000FF"/>
            <w:shd w:val="clear" w:color="auto" w:fill="FFFFFF"/>
            <w:lang w:eastAsia="en-GB"/>
          </w:rPr>
          <w:t>Teacher capability: guidance for schools when dealing with serious under-performance (valid from September 2024)</w:t>
        </w:r>
      </w:hyperlink>
    </w:p>
    <w:p w14:paraId="242B5284" w14:textId="77777777" w:rsidR="00394FD6" w:rsidRPr="00394FD6" w:rsidRDefault="00394FD6" w:rsidP="00394FD6">
      <w:pPr>
        <w:numPr>
          <w:ilvl w:val="0"/>
          <w:numId w:val="42"/>
        </w:numPr>
        <w:shd w:val="clear" w:color="auto" w:fill="FFFFFF"/>
        <w:spacing w:after="225" w:line="240" w:lineRule="auto"/>
        <w:outlineLvl w:val="2"/>
        <w:rPr>
          <w:rFonts w:eastAsia="Times New Roman"/>
          <w:u w:val="none"/>
          <w:lang w:eastAsia="en-GB"/>
        </w:rPr>
      </w:pPr>
      <w:hyperlink r:id="rId34" w:history="1">
        <w:r w:rsidRPr="00394FD6">
          <w:rPr>
            <w:rFonts w:eastAsia="Times New Roman"/>
            <w:color w:val="0000FF"/>
            <w:shd w:val="clear" w:color="auto" w:fill="FFFFFF"/>
            <w:lang w:eastAsia="en-GB"/>
          </w:rPr>
          <w:t>Managing Teachers Pay</w:t>
        </w:r>
      </w:hyperlink>
    </w:p>
    <w:p w14:paraId="2D094787" w14:textId="77777777" w:rsidR="00394FD6" w:rsidRPr="00394FD6" w:rsidRDefault="00394FD6" w:rsidP="00394FD6">
      <w:pPr>
        <w:numPr>
          <w:ilvl w:val="0"/>
          <w:numId w:val="42"/>
        </w:numPr>
        <w:tabs>
          <w:tab w:val="left" w:pos="567"/>
        </w:tabs>
        <w:spacing w:after="0" w:line="240" w:lineRule="auto"/>
        <w:jc w:val="both"/>
        <w:rPr>
          <w:rFonts w:eastAsia="Times New Roman" w:cs="Times New Roman"/>
          <w:u w:val="none"/>
          <w:lang w:eastAsia="en-GB"/>
        </w:rPr>
      </w:pPr>
      <w:r w:rsidRPr="00394FD6">
        <w:rPr>
          <w:rFonts w:eastAsia="Times New Roman"/>
          <w:color w:val="0000FF"/>
          <w:lang w:val="en-US" w:eastAsia="en-GB"/>
        </w:rPr>
        <w:t xml:space="preserve">  </w:t>
      </w:r>
      <w:hyperlink r:id="rId35" w:history="1">
        <w:r w:rsidRPr="00394FD6">
          <w:rPr>
            <w:rFonts w:eastAsia="Times New Roman"/>
            <w:color w:val="0000FF"/>
            <w:lang w:val="en-US" w:eastAsia="en-GB"/>
          </w:rPr>
          <w:t xml:space="preserve">Teachers' Standards </w:t>
        </w:r>
        <w:proofErr w:type="gramStart"/>
        <w:r w:rsidRPr="00394FD6">
          <w:rPr>
            <w:rFonts w:eastAsia="Times New Roman"/>
            <w:color w:val="0000FF"/>
            <w:lang w:val="en-US" w:eastAsia="en-GB"/>
          </w:rPr>
          <w:t>2012  (</w:t>
        </w:r>
        <w:proofErr w:type="gramEnd"/>
        <w:r w:rsidRPr="00394FD6">
          <w:rPr>
            <w:rFonts w:eastAsia="Times New Roman"/>
            <w:color w:val="0000FF"/>
            <w:lang w:val="en-US" w:eastAsia="en-GB"/>
          </w:rPr>
          <w:t>Introduction updated 2013)</w:t>
        </w:r>
      </w:hyperlink>
      <w:r w:rsidRPr="00394FD6">
        <w:rPr>
          <w:rFonts w:eastAsia="Times New Roman"/>
          <w:color w:val="0000FF"/>
          <w:u w:val="none"/>
          <w:lang w:val="en-US" w:eastAsia="en-GB"/>
        </w:rPr>
        <w:t xml:space="preserve">   </w:t>
      </w:r>
    </w:p>
    <w:p w14:paraId="5809DB03" w14:textId="77777777" w:rsidR="00394FD6" w:rsidRPr="00394FD6" w:rsidRDefault="00394FD6" w:rsidP="00394FD6">
      <w:pPr>
        <w:numPr>
          <w:ilvl w:val="0"/>
          <w:numId w:val="42"/>
        </w:numPr>
        <w:tabs>
          <w:tab w:val="left" w:pos="567"/>
        </w:tabs>
        <w:spacing w:after="0" w:line="240" w:lineRule="auto"/>
        <w:jc w:val="both"/>
        <w:rPr>
          <w:rFonts w:eastAsia="Times New Roman"/>
          <w:color w:val="0000FF"/>
          <w:u w:val="none"/>
          <w:lang w:val="en-US" w:eastAsia="en-GB"/>
        </w:rPr>
      </w:pPr>
      <w:r w:rsidRPr="00394FD6">
        <w:rPr>
          <w:rFonts w:eastAsia="Times New Roman" w:cs="Times New Roman"/>
          <w:u w:val="none"/>
          <w:lang w:eastAsia="en-GB"/>
        </w:rPr>
        <w:t xml:space="preserve">  </w:t>
      </w:r>
      <w:hyperlink r:id="rId36" w:history="1">
        <w:r w:rsidRPr="00394FD6">
          <w:rPr>
            <w:rFonts w:eastAsia="Times New Roman" w:cs="Times New Roman"/>
            <w:color w:val="0000FF"/>
            <w:lang w:eastAsia="en-GB"/>
          </w:rPr>
          <w:t>Headteachers Standards 2020</w:t>
        </w:r>
      </w:hyperlink>
    </w:p>
    <w:p w14:paraId="0D23DB2F" w14:textId="77777777" w:rsidR="00394FD6" w:rsidRPr="00394FD6" w:rsidRDefault="00394FD6" w:rsidP="00394FD6">
      <w:pPr>
        <w:numPr>
          <w:ilvl w:val="0"/>
          <w:numId w:val="24"/>
        </w:numPr>
        <w:tabs>
          <w:tab w:val="left" w:pos="567"/>
        </w:tabs>
        <w:spacing w:after="0" w:line="240" w:lineRule="auto"/>
        <w:jc w:val="both"/>
        <w:rPr>
          <w:rFonts w:eastAsia="Times New Roman"/>
          <w:color w:val="0000FF"/>
          <w:u w:val="none"/>
          <w:lang w:val="en-US" w:eastAsia="en-GB"/>
        </w:rPr>
      </w:pPr>
      <w:r w:rsidRPr="00394FD6">
        <w:rPr>
          <w:rFonts w:eastAsia="Times New Roman"/>
          <w:color w:val="000000" w:themeColor="text1"/>
          <w:u w:val="none"/>
          <w:lang w:val="en-US" w:eastAsia="en-GB"/>
        </w:rPr>
        <w:tab/>
      </w:r>
      <w:hyperlink r:id="rId37" w:history="1">
        <w:r w:rsidRPr="00394FD6">
          <w:rPr>
            <w:rFonts w:eastAsia="Times New Roman"/>
            <w:color w:val="0000FF"/>
            <w:lang w:val="en-US" w:eastAsia="en-GB"/>
          </w:rPr>
          <w:t>Teachers' Standards (Early Years) September 2013</w:t>
        </w:r>
      </w:hyperlink>
      <w:r w:rsidRPr="00394FD6">
        <w:rPr>
          <w:rFonts w:eastAsia="Times New Roman"/>
          <w:color w:val="0000FF"/>
          <w:lang w:val="en-US" w:eastAsia="en-GB"/>
        </w:rPr>
        <w:t xml:space="preserve"> </w:t>
      </w:r>
    </w:p>
    <w:p w14:paraId="339C4C6D" w14:textId="77777777" w:rsidR="00394FD6" w:rsidRPr="00394FD6" w:rsidRDefault="00394FD6" w:rsidP="00394FD6">
      <w:pPr>
        <w:numPr>
          <w:ilvl w:val="0"/>
          <w:numId w:val="24"/>
        </w:numPr>
        <w:tabs>
          <w:tab w:val="left" w:pos="567"/>
        </w:tabs>
        <w:spacing w:after="0" w:line="240" w:lineRule="auto"/>
        <w:jc w:val="both"/>
        <w:rPr>
          <w:rFonts w:eastAsia="Times New Roman"/>
          <w:color w:val="0000FF"/>
          <w:u w:val="none"/>
          <w:lang w:val="en-US" w:eastAsia="en-GB"/>
        </w:rPr>
      </w:pPr>
      <w:r w:rsidRPr="00394FD6">
        <w:rPr>
          <w:rFonts w:eastAsia="Times New Roman"/>
          <w:color w:val="000000" w:themeColor="text1"/>
          <w:u w:val="none"/>
          <w:lang w:val="en-US" w:eastAsia="en-GB"/>
        </w:rPr>
        <w:tab/>
      </w:r>
      <w:hyperlink r:id="rId38" w:history="1">
        <w:r w:rsidRPr="00394FD6">
          <w:rPr>
            <w:rFonts w:eastAsia="Times New Roman"/>
            <w:color w:val="0000FF"/>
            <w:lang w:val="en-US" w:eastAsia="en-GB"/>
          </w:rPr>
          <w:t>National standards of excellence for head teachers 2020</w:t>
        </w:r>
      </w:hyperlink>
      <w:r w:rsidRPr="00394FD6">
        <w:rPr>
          <w:rFonts w:eastAsia="Times New Roman"/>
          <w:color w:val="0000FF"/>
          <w:lang w:val="en-US" w:eastAsia="en-GB"/>
        </w:rPr>
        <w:t xml:space="preserve"> </w:t>
      </w:r>
    </w:p>
    <w:p w14:paraId="0E2CCDD6" w14:textId="77777777" w:rsidR="00394FD6" w:rsidRPr="00394FD6" w:rsidRDefault="00394FD6" w:rsidP="00394FD6">
      <w:pPr>
        <w:numPr>
          <w:ilvl w:val="0"/>
          <w:numId w:val="24"/>
        </w:numPr>
        <w:tabs>
          <w:tab w:val="left" w:pos="567"/>
        </w:tabs>
        <w:spacing w:after="0" w:line="240" w:lineRule="auto"/>
        <w:jc w:val="both"/>
        <w:rPr>
          <w:rFonts w:eastAsia="Times New Roman" w:cs="Times New Roman"/>
          <w:b/>
          <w:color w:val="000000" w:themeColor="text1"/>
          <w:lang w:eastAsia="en-GB"/>
        </w:rPr>
      </w:pPr>
      <w:r w:rsidRPr="00394FD6">
        <w:rPr>
          <w:rFonts w:eastAsia="Times New Roman"/>
          <w:color w:val="000000" w:themeColor="text1"/>
          <w:u w:val="none"/>
          <w:lang w:val="en-US" w:eastAsia="en-GB"/>
        </w:rPr>
        <w:tab/>
      </w:r>
      <w:hyperlink r:id="rId39" w:history="1">
        <w:r w:rsidRPr="00394FD6">
          <w:rPr>
            <w:rFonts w:eastAsia="Times New Roman"/>
            <w:color w:val="0000FF"/>
            <w:lang w:val="en-US" w:eastAsia="en-GB"/>
          </w:rPr>
          <w:t>Standards for teachers' professional development</w:t>
        </w:r>
      </w:hyperlink>
      <w:r w:rsidRPr="00394FD6">
        <w:rPr>
          <w:rFonts w:eastAsia="Times New Roman"/>
          <w:color w:val="000000" w:themeColor="text1"/>
          <w:lang w:val="en-US" w:eastAsia="en-GB"/>
        </w:rPr>
        <w:t xml:space="preserve"> </w:t>
      </w:r>
      <w:r w:rsidRPr="00394FD6">
        <w:rPr>
          <w:rFonts w:eastAsia="Times New Roman"/>
          <w:color w:val="000000" w:themeColor="text1"/>
          <w:u w:val="none"/>
          <w:lang w:val="en-US" w:eastAsia="en-GB"/>
        </w:rPr>
        <w:t>and the</w:t>
      </w:r>
      <w:r w:rsidRPr="00394FD6">
        <w:rPr>
          <w:rFonts w:eastAsia="Times New Roman"/>
          <w:color w:val="0000FF"/>
          <w:lang w:val="en-US" w:eastAsia="en-GB"/>
        </w:rPr>
        <w:t xml:space="preserve"> </w:t>
      </w:r>
      <w:hyperlink r:id="rId40" w:history="1">
        <w:r w:rsidRPr="00394FD6">
          <w:rPr>
            <w:rFonts w:eastAsia="Times New Roman"/>
            <w:color w:val="0000FF"/>
            <w:lang w:val="en-US" w:eastAsia="en-GB"/>
          </w:rPr>
          <w:t>implementation guidance 2016</w:t>
        </w:r>
      </w:hyperlink>
    </w:p>
    <w:p w14:paraId="257D829C" w14:textId="77777777" w:rsidR="00073F29" w:rsidRPr="002663D2" w:rsidRDefault="00394FD6" w:rsidP="00073F29">
      <w:pPr>
        <w:pStyle w:val="ListParagraph"/>
        <w:numPr>
          <w:ilvl w:val="0"/>
          <w:numId w:val="24"/>
        </w:numPr>
        <w:tabs>
          <w:tab w:val="left" w:pos="567"/>
        </w:tabs>
        <w:spacing w:after="0" w:line="240" w:lineRule="auto"/>
        <w:jc w:val="both"/>
        <w:rPr>
          <w:rFonts w:eastAsia="Times New Roman" w:cs="Times New Roman"/>
          <w:b/>
          <w:i/>
          <w:iCs/>
          <w:sz w:val="22"/>
          <w:szCs w:val="22"/>
          <w:u w:val="none"/>
          <w:lang w:eastAsia="en-GB"/>
        </w:rPr>
      </w:pPr>
      <w:r w:rsidRPr="00394FD6">
        <w:rPr>
          <w:rFonts w:eastAsia="Times New Roman" w:cs="Times New Roman"/>
          <w:b/>
          <w:color w:val="000000" w:themeColor="text1"/>
          <w:u w:val="none"/>
          <w:lang w:eastAsia="en-GB"/>
        </w:rPr>
        <w:t xml:space="preserve">  </w:t>
      </w:r>
      <w:hyperlink w:history="1">
        <w:r w:rsidRPr="00073F29">
          <w:rPr>
            <w:rFonts w:eastAsia="Times New Roman" w:cs="Times New Roman"/>
            <w:color w:val="0000FF"/>
            <w:szCs w:val="20"/>
            <w:lang w:eastAsia="en-GB"/>
          </w:rPr>
          <w:t>School inspection handbook - GOV.UK (www.gov.uk)</w:t>
        </w:r>
      </w:hyperlink>
      <w:r w:rsidR="00073F29">
        <w:t xml:space="preserve"> - </w:t>
      </w:r>
      <w:r w:rsidR="00073F29" w:rsidRPr="00073F29">
        <w:rPr>
          <w:rFonts w:eastAsia="Times New Roman" w:cs="Times New Roman"/>
          <w:szCs w:val="20"/>
          <w:u w:val="none"/>
          <w:lang w:eastAsia="en-GB"/>
        </w:rPr>
        <w:t xml:space="preserve">– </w:t>
      </w:r>
      <w:r w:rsidR="00073F29" w:rsidRPr="002663D2">
        <w:rPr>
          <w:rFonts w:eastAsia="Times New Roman" w:cs="Times New Roman"/>
          <w:i/>
          <w:iCs/>
          <w:sz w:val="22"/>
          <w:szCs w:val="22"/>
          <w:u w:val="none"/>
          <w:lang w:eastAsia="en-GB"/>
        </w:rPr>
        <w:t>Please note that Ofsted are due to publish the revised framework in September 2025 and inspections will not commence until at least November 2025.</w:t>
      </w:r>
    </w:p>
    <w:p w14:paraId="549A45CD" w14:textId="77777777" w:rsidR="00EC1809" w:rsidRPr="002663D2" w:rsidRDefault="00EC1809" w:rsidP="00CC5D3E">
      <w:pPr>
        <w:pStyle w:val="ListParagraph"/>
        <w:numPr>
          <w:ilvl w:val="0"/>
          <w:numId w:val="24"/>
        </w:numPr>
        <w:tabs>
          <w:tab w:val="left" w:pos="567"/>
        </w:tabs>
        <w:spacing w:after="0" w:line="240" w:lineRule="auto"/>
        <w:rPr>
          <w:lang w:val="en-US"/>
        </w:rPr>
      </w:pPr>
      <w:hyperlink r:id="rId41" w:history="1">
        <w:r w:rsidRPr="002663D2">
          <w:rPr>
            <w:rStyle w:val="Hyperlink"/>
            <w:color w:val="auto"/>
            <w:lang w:val="en-US"/>
          </w:rPr>
          <w:t>Schools Governance (Roles, Procedures and Allowances) (England) Regulations 2013</w:t>
        </w:r>
      </w:hyperlink>
    </w:p>
    <w:p w14:paraId="61FFFC00" w14:textId="3AE70FE3" w:rsidR="00995EE1" w:rsidRDefault="00995EE1">
      <w:pPr>
        <w:spacing w:after="0" w:line="240" w:lineRule="auto"/>
        <w:rPr>
          <w:u w:val="none"/>
        </w:rPr>
      </w:pPr>
      <w:r>
        <w:rPr>
          <w:u w:val="none"/>
        </w:rPr>
        <w:br w:type="page"/>
      </w:r>
    </w:p>
    <w:p w14:paraId="4D593AFA" w14:textId="77777777" w:rsidR="006059B7" w:rsidRDefault="006059B7" w:rsidP="00EC676E">
      <w:pPr>
        <w:jc w:val="both"/>
        <w:rPr>
          <w:u w:val="none"/>
        </w:rPr>
      </w:pPr>
    </w:p>
    <w:p w14:paraId="2249F5E6" w14:textId="3D0BBA4E" w:rsidR="00EC676E" w:rsidRPr="002663D2" w:rsidRDefault="00EC676E"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F406FB">
        <w:rPr>
          <w:b/>
          <w:u w:val="none"/>
        </w:rPr>
        <w:t>JCNP Staffing Regulations Working Party</w:t>
      </w:r>
      <w:r w:rsidRPr="002663D2">
        <w:rPr>
          <w:b/>
          <w:u w:val="none"/>
        </w:rPr>
        <w:tab/>
      </w:r>
      <w:r w:rsidR="00814329" w:rsidRPr="002663D2">
        <w:rPr>
          <w:bCs/>
          <w:u w:val="none"/>
        </w:rPr>
        <w:t>17</w:t>
      </w:r>
      <w:r w:rsidR="00FC7927" w:rsidRPr="002663D2">
        <w:rPr>
          <w:bCs/>
          <w:u w:val="none"/>
        </w:rPr>
        <w:t xml:space="preserve"> September 2020</w:t>
      </w:r>
      <w:r w:rsidRPr="002663D2">
        <w:rPr>
          <w:bCs/>
          <w:u w:val="none"/>
        </w:rPr>
        <w:t xml:space="preserve"> </w:t>
      </w:r>
    </w:p>
    <w:p w14:paraId="05F70E2B" w14:textId="595DE9A8" w:rsidR="006059B7" w:rsidRPr="002663D2" w:rsidRDefault="006059B7"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23 September 2021</w:t>
      </w:r>
    </w:p>
    <w:p w14:paraId="02D9BB9C" w14:textId="6A32344A" w:rsidR="006C6D15" w:rsidRPr="002663D2" w:rsidRDefault="006C6D15"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22 September 2022</w:t>
      </w:r>
    </w:p>
    <w:p w14:paraId="230CE103" w14:textId="6F4BE970" w:rsidR="00917A9F" w:rsidRPr="002663D2" w:rsidRDefault="00917A9F"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28 September 2023</w:t>
      </w:r>
    </w:p>
    <w:p w14:paraId="6B0EE87F" w14:textId="77777777" w:rsidR="007E3039" w:rsidRPr="002663D2" w:rsidRDefault="00E827D9"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3 October 2024</w:t>
      </w:r>
    </w:p>
    <w:p w14:paraId="25631CE8" w14:textId="26633248" w:rsidR="00E827D9" w:rsidRPr="002663D2" w:rsidRDefault="007E3039"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10 July 2025</w:t>
      </w:r>
      <w:r w:rsidR="00E827D9" w:rsidRPr="002663D2">
        <w:rPr>
          <w:bCs/>
          <w:u w:val="none"/>
        </w:rPr>
        <w:t xml:space="preserve"> </w:t>
      </w:r>
    </w:p>
    <w:p w14:paraId="0A6B34BA" w14:textId="4D244A59" w:rsidR="00EC676E" w:rsidRPr="002663D2" w:rsidRDefault="00EC676E"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Lead HR Business Partner</w:t>
      </w:r>
      <w:r w:rsidRPr="002663D2">
        <w:rPr>
          <w:bCs/>
          <w:u w:val="none"/>
        </w:rPr>
        <w:tab/>
      </w:r>
      <w:r w:rsidRPr="002663D2">
        <w:rPr>
          <w:bCs/>
          <w:u w:val="none"/>
        </w:rPr>
        <w:tab/>
      </w:r>
      <w:r w:rsidRPr="002663D2">
        <w:rPr>
          <w:bCs/>
          <w:u w:val="none"/>
        </w:rPr>
        <w:tab/>
      </w:r>
      <w:r w:rsidRPr="002663D2">
        <w:rPr>
          <w:bCs/>
          <w:u w:val="none"/>
        </w:rPr>
        <w:tab/>
      </w:r>
      <w:r w:rsidR="006059B7" w:rsidRPr="002663D2">
        <w:rPr>
          <w:bCs/>
          <w:u w:val="none"/>
        </w:rPr>
        <w:t xml:space="preserve">Wanda </w:t>
      </w:r>
      <w:r w:rsidR="00B23A29" w:rsidRPr="002663D2">
        <w:rPr>
          <w:bCs/>
          <w:u w:val="none"/>
        </w:rPr>
        <w:t>Kalwa</w:t>
      </w:r>
      <w:r w:rsidR="006059B7" w:rsidRPr="002663D2">
        <w:rPr>
          <w:bCs/>
          <w:u w:val="none"/>
        </w:rPr>
        <w:t>/Jo Stacey</w:t>
      </w:r>
    </w:p>
    <w:p w14:paraId="6CCB81E0" w14:textId="11493CF3" w:rsidR="006059B7" w:rsidRPr="002663D2" w:rsidRDefault="006059B7"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Rose Harris</w:t>
      </w:r>
    </w:p>
    <w:p w14:paraId="4DD27193" w14:textId="7AD7D760" w:rsidR="00774D3A" w:rsidRPr="002663D2" w:rsidRDefault="00EC676E"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Date policy up</w:t>
      </w:r>
      <w:r w:rsidR="0075272B" w:rsidRPr="002663D2">
        <w:rPr>
          <w:bCs/>
          <w:u w:val="none"/>
        </w:rPr>
        <w:t>dated</w:t>
      </w:r>
      <w:r w:rsidR="0075272B" w:rsidRPr="002663D2">
        <w:rPr>
          <w:bCs/>
          <w:u w:val="none"/>
        </w:rPr>
        <w:tab/>
      </w:r>
      <w:r w:rsidR="0075272B" w:rsidRPr="002663D2">
        <w:rPr>
          <w:bCs/>
          <w:u w:val="none"/>
        </w:rPr>
        <w:tab/>
      </w:r>
      <w:r w:rsidR="0075272B" w:rsidRPr="002663D2">
        <w:rPr>
          <w:bCs/>
          <w:u w:val="none"/>
        </w:rPr>
        <w:tab/>
      </w:r>
      <w:r w:rsidR="0075272B" w:rsidRPr="002663D2">
        <w:rPr>
          <w:bCs/>
          <w:u w:val="none"/>
        </w:rPr>
        <w:tab/>
      </w:r>
      <w:r w:rsidR="0075272B" w:rsidRPr="002663D2">
        <w:rPr>
          <w:bCs/>
          <w:u w:val="none"/>
        </w:rPr>
        <w:tab/>
      </w:r>
      <w:r w:rsidR="00425E2D" w:rsidRPr="002663D2">
        <w:rPr>
          <w:bCs/>
          <w:u w:val="none"/>
        </w:rPr>
        <w:t>7 September 2020</w:t>
      </w:r>
    </w:p>
    <w:p w14:paraId="456E7922" w14:textId="1719DD60" w:rsidR="006059B7" w:rsidRPr="002663D2" w:rsidRDefault="006059B7"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26 August 2021</w:t>
      </w:r>
    </w:p>
    <w:p w14:paraId="564E6232" w14:textId="542212C2" w:rsidR="009F14E1" w:rsidRPr="002663D2" w:rsidRDefault="009F14E1"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4 October 2021</w:t>
      </w:r>
    </w:p>
    <w:p w14:paraId="3A367CE9" w14:textId="08493DD9" w:rsidR="006816FF" w:rsidRPr="002663D2" w:rsidRDefault="006816FF"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5 September 2022</w:t>
      </w:r>
    </w:p>
    <w:p w14:paraId="7CD671F0" w14:textId="377A30C5" w:rsidR="00175C3B" w:rsidRPr="002663D2" w:rsidRDefault="00175C3B"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16 September 2022</w:t>
      </w:r>
    </w:p>
    <w:p w14:paraId="65ADBAF3" w14:textId="4E47552A" w:rsidR="00BF22FF" w:rsidRPr="002663D2" w:rsidRDefault="00BF22FF"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23 February 2023</w:t>
      </w:r>
    </w:p>
    <w:p w14:paraId="219B0041" w14:textId="7A368AFA" w:rsidR="00917A9F" w:rsidRPr="002663D2" w:rsidRDefault="00917A9F"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8 May 2023</w:t>
      </w:r>
    </w:p>
    <w:p w14:paraId="197E80F9" w14:textId="62DC03A1" w:rsidR="00917A9F" w:rsidRPr="002663D2" w:rsidRDefault="00917A9F"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31 August 2023</w:t>
      </w:r>
    </w:p>
    <w:p w14:paraId="0E775157" w14:textId="77777777" w:rsidR="00B13553" w:rsidRPr="002663D2" w:rsidRDefault="00E827D9"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00B13553" w:rsidRPr="002663D2">
        <w:rPr>
          <w:bCs/>
          <w:u w:val="none"/>
        </w:rPr>
        <w:t>30 October 2024</w:t>
      </w:r>
    </w:p>
    <w:p w14:paraId="3C1F6647" w14:textId="236D712D" w:rsidR="004152D7" w:rsidRPr="002663D2" w:rsidRDefault="004152D7"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3 July 2025 (Re-format)</w:t>
      </w:r>
    </w:p>
    <w:p w14:paraId="1EDC4E72" w14:textId="73CD14A7" w:rsidR="007E3039" w:rsidRPr="002663D2" w:rsidRDefault="007E3039"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7 July 2025</w:t>
      </w:r>
    </w:p>
    <w:p w14:paraId="4957D4D3" w14:textId="3DA968E5" w:rsidR="00E827D9" w:rsidRPr="002663D2" w:rsidRDefault="00B13553"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 xml:space="preserve">Consultation with Trade </w:t>
      </w:r>
      <w:proofErr w:type="gramStart"/>
      <w:r w:rsidRPr="002663D2">
        <w:rPr>
          <w:bCs/>
          <w:u w:val="none"/>
        </w:rPr>
        <w:t xml:space="preserve">Unions </w:t>
      </w:r>
      <w:r w:rsidR="00E827D9" w:rsidRPr="002663D2">
        <w:rPr>
          <w:bCs/>
          <w:u w:val="none"/>
        </w:rPr>
        <w:t xml:space="preserve"> </w:t>
      </w:r>
      <w:r w:rsidRPr="002663D2">
        <w:rPr>
          <w:bCs/>
          <w:u w:val="none"/>
        </w:rPr>
        <w:tab/>
      </w:r>
      <w:proofErr w:type="gramEnd"/>
      <w:r w:rsidRPr="002663D2">
        <w:rPr>
          <w:bCs/>
          <w:u w:val="none"/>
        </w:rPr>
        <w:tab/>
      </w:r>
      <w:r w:rsidRPr="002663D2">
        <w:rPr>
          <w:bCs/>
          <w:u w:val="none"/>
        </w:rPr>
        <w:tab/>
        <w:t>1-16 October 2024</w:t>
      </w:r>
    </w:p>
    <w:p w14:paraId="59E51EA0" w14:textId="5BC2DBE4" w:rsidR="007E3039" w:rsidRPr="002663D2" w:rsidRDefault="007E3039"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7-</w:t>
      </w:r>
      <w:r w:rsidR="00995EE1" w:rsidRPr="002663D2">
        <w:rPr>
          <w:bCs/>
          <w:u w:val="none"/>
        </w:rPr>
        <w:t xml:space="preserve"> 21 July 2025</w:t>
      </w:r>
    </w:p>
    <w:p w14:paraId="6465A2E7" w14:textId="59511A39" w:rsidR="009F14E1" w:rsidRPr="002663D2" w:rsidRDefault="009F14E1"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 xml:space="preserve">Published Schools Portal </w:t>
      </w:r>
      <w:r w:rsidRPr="002663D2">
        <w:rPr>
          <w:bCs/>
          <w:u w:val="none"/>
        </w:rPr>
        <w:tab/>
      </w:r>
      <w:r w:rsidRPr="002663D2">
        <w:rPr>
          <w:bCs/>
          <w:u w:val="none"/>
        </w:rPr>
        <w:tab/>
      </w:r>
      <w:r w:rsidRPr="002663D2">
        <w:rPr>
          <w:bCs/>
          <w:u w:val="none"/>
        </w:rPr>
        <w:tab/>
      </w:r>
      <w:r w:rsidRPr="002663D2">
        <w:rPr>
          <w:bCs/>
          <w:u w:val="none"/>
        </w:rPr>
        <w:tab/>
        <w:t>6 October 2021</w:t>
      </w:r>
    </w:p>
    <w:p w14:paraId="29985DE5" w14:textId="3550927B" w:rsidR="00D8779B" w:rsidRPr="002663D2" w:rsidRDefault="00D8779B"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10 November 2021*</w:t>
      </w:r>
    </w:p>
    <w:p w14:paraId="6F103CCA" w14:textId="5574565F" w:rsidR="006C6D15" w:rsidRPr="002663D2" w:rsidRDefault="006C6D15"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14 October 2022</w:t>
      </w:r>
    </w:p>
    <w:p w14:paraId="0DB3DEB9" w14:textId="7503212F" w:rsidR="00B13553" w:rsidRPr="002663D2" w:rsidRDefault="00B13553"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4 November 2024</w:t>
      </w:r>
    </w:p>
    <w:p w14:paraId="474B4192" w14:textId="13E5025F" w:rsidR="00995EE1" w:rsidRPr="002663D2" w:rsidRDefault="00995EE1"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006E5807" w:rsidRPr="002663D2">
        <w:rPr>
          <w:bCs/>
          <w:u w:val="none"/>
        </w:rPr>
        <w:t xml:space="preserve">25 July </w:t>
      </w:r>
      <w:r w:rsidRPr="002663D2">
        <w:rPr>
          <w:bCs/>
          <w:u w:val="none"/>
        </w:rPr>
        <w:t>2025</w:t>
      </w:r>
    </w:p>
    <w:p w14:paraId="1D5C0279" w14:textId="380466DA" w:rsidR="00774D3A" w:rsidRPr="002663D2" w:rsidRDefault="005557DE" w:rsidP="00E35080">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Review date</w:t>
      </w:r>
      <w:r w:rsidRPr="002663D2">
        <w:rPr>
          <w:bCs/>
          <w:u w:val="none"/>
        </w:rPr>
        <w:tab/>
      </w:r>
      <w:r w:rsidRPr="002663D2">
        <w:rPr>
          <w:bCs/>
          <w:u w:val="none"/>
        </w:rPr>
        <w:tab/>
      </w:r>
      <w:r w:rsidRPr="002663D2">
        <w:rPr>
          <w:bCs/>
          <w:u w:val="none"/>
        </w:rPr>
        <w:tab/>
      </w:r>
      <w:r w:rsidRPr="002663D2">
        <w:rPr>
          <w:bCs/>
          <w:u w:val="none"/>
        </w:rPr>
        <w:tab/>
      </w:r>
      <w:r w:rsidRPr="002663D2">
        <w:rPr>
          <w:bCs/>
          <w:u w:val="none"/>
        </w:rPr>
        <w:tab/>
      </w:r>
      <w:r w:rsidRPr="002663D2">
        <w:rPr>
          <w:bCs/>
          <w:u w:val="none"/>
        </w:rPr>
        <w:tab/>
        <w:t>September 20</w:t>
      </w:r>
      <w:r w:rsidR="00207FB2" w:rsidRPr="002663D2">
        <w:rPr>
          <w:bCs/>
          <w:u w:val="none"/>
        </w:rPr>
        <w:t>2</w:t>
      </w:r>
      <w:r w:rsidR="00B13553" w:rsidRPr="002663D2">
        <w:rPr>
          <w:bCs/>
          <w:u w:val="none"/>
        </w:rPr>
        <w:t>5</w:t>
      </w:r>
    </w:p>
    <w:p w14:paraId="6DD7AF46" w14:textId="5409BF10" w:rsidR="00EC676E" w:rsidRPr="002663D2" w:rsidRDefault="00EC676E" w:rsidP="00EC676E">
      <w:pPr>
        <w:pBdr>
          <w:top w:val="single" w:sz="4" w:space="1" w:color="auto"/>
          <w:left w:val="single" w:sz="4" w:space="0" w:color="auto"/>
          <w:bottom w:val="single" w:sz="4" w:space="1" w:color="auto"/>
          <w:right w:val="single" w:sz="4" w:space="4" w:color="auto"/>
        </w:pBdr>
        <w:tabs>
          <w:tab w:val="left" w:pos="360"/>
        </w:tabs>
        <w:spacing w:after="120"/>
        <w:ind w:left="360"/>
        <w:jc w:val="both"/>
        <w:rPr>
          <w:bCs/>
          <w:u w:val="none"/>
        </w:rPr>
      </w:pPr>
      <w:r w:rsidRPr="002663D2">
        <w:rPr>
          <w:bCs/>
          <w:u w:val="none"/>
        </w:rPr>
        <w:t>Lead HR Senior Business Partner</w:t>
      </w:r>
      <w:r w:rsidRPr="002663D2">
        <w:rPr>
          <w:bCs/>
          <w:u w:val="none"/>
        </w:rPr>
        <w:tab/>
      </w:r>
      <w:r w:rsidRPr="002663D2">
        <w:rPr>
          <w:bCs/>
          <w:u w:val="none"/>
        </w:rPr>
        <w:tab/>
      </w:r>
      <w:r w:rsidRPr="002663D2">
        <w:rPr>
          <w:bCs/>
          <w:u w:val="none"/>
        </w:rPr>
        <w:tab/>
        <w:t>Andy Wilson</w:t>
      </w:r>
    </w:p>
    <w:p w14:paraId="14F3B95C" w14:textId="14763391" w:rsidR="009F14E1" w:rsidRPr="002663D2" w:rsidRDefault="009F14E1" w:rsidP="00EA313C">
      <w:pPr>
        <w:pBdr>
          <w:top w:val="single" w:sz="4" w:space="1" w:color="auto"/>
          <w:left w:val="single" w:sz="4" w:space="0" w:color="auto"/>
          <w:bottom w:val="single" w:sz="4" w:space="1" w:color="auto"/>
          <w:right w:val="single" w:sz="4" w:space="4" w:color="auto"/>
        </w:pBdr>
        <w:tabs>
          <w:tab w:val="left" w:pos="360"/>
        </w:tabs>
        <w:spacing w:after="120"/>
        <w:jc w:val="both"/>
        <w:rPr>
          <w:bCs/>
          <w:u w:val="none"/>
        </w:rPr>
      </w:pPr>
      <w:r w:rsidRPr="002663D2">
        <w:rPr>
          <w:bCs/>
          <w:u w:val="none"/>
        </w:rPr>
        <w:t xml:space="preserve">Subject to Parliamentary approval </w:t>
      </w:r>
      <w:r w:rsidR="00995EE1" w:rsidRPr="002663D2">
        <w:rPr>
          <w:bCs/>
          <w:u w:val="none"/>
        </w:rPr>
        <w:t>7 August 2025</w:t>
      </w:r>
    </w:p>
    <w:p w14:paraId="5CA1372A" w14:textId="00C17E66" w:rsidR="00394FD6" w:rsidRPr="002663D2" w:rsidRDefault="00235B45">
      <w:pPr>
        <w:ind w:left="284"/>
        <w:rPr>
          <w:sz w:val="16"/>
          <w:szCs w:val="16"/>
          <w:u w:val="none"/>
        </w:rPr>
      </w:pPr>
      <w:r w:rsidRPr="002663D2">
        <w:rPr>
          <w:sz w:val="16"/>
          <w:szCs w:val="16"/>
          <w:u w:val="none"/>
        </w:rPr>
        <w:t>C</w:t>
      </w:r>
      <w:r w:rsidR="005557DE" w:rsidRPr="002663D2">
        <w:rPr>
          <w:rFonts w:ascii="Times New Roman" w:hAnsi="Times New Roman"/>
          <w:sz w:val="16"/>
          <w:szCs w:val="16"/>
          <w:u w:val="none"/>
        </w:rPr>
        <w:t>opyright © 20</w:t>
      </w:r>
      <w:r w:rsidR="00FC7927" w:rsidRPr="002663D2">
        <w:rPr>
          <w:rFonts w:ascii="Times New Roman" w:hAnsi="Times New Roman"/>
          <w:sz w:val="16"/>
          <w:szCs w:val="16"/>
          <w:u w:val="none"/>
        </w:rPr>
        <w:t>2</w:t>
      </w:r>
      <w:r w:rsidR="00995EE1" w:rsidRPr="002663D2">
        <w:rPr>
          <w:rFonts w:ascii="Times New Roman" w:hAnsi="Times New Roman"/>
          <w:sz w:val="16"/>
          <w:szCs w:val="16"/>
          <w:u w:val="none"/>
        </w:rPr>
        <w:t>5</w:t>
      </w:r>
      <w:r w:rsidR="0075272B" w:rsidRPr="002663D2">
        <w:rPr>
          <w:rFonts w:ascii="Times New Roman" w:hAnsi="Times New Roman"/>
          <w:sz w:val="16"/>
          <w:szCs w:val="16"/>
          <w:u w:val="none"/>
        </w:rPr>
        <w:br/>
      </w:r>
      <w:r w:rsidR="00EC676E" w:rsidRPr="002663D2">
        <w:rPr>
          <w:rFonts w:ascii="Times New Roman" w:hAnsi="Times New Roman"/>
          <w:sz w:val="16"/>
          <w:szCs w:val="16"/>
          <w:u w:val="none"/>
        </w:rPr>
        <w:t xml:space="preserve">Nottinghamshire County Council </w:t>
      </w:r>
      <w:r w:rsidRPr="002663D2">
        <w:rPr>
          <w:rFonts w:ascii="Times New Roman" w:hAnsi="Times New Roman"/>
          <w:sz w:val="16"/>
          <w:szCs w:val="16"/>
          <w:u w:val="none"/>
        </w:rPr>
        <w:t xml:space="preserve">- </w:t>
      </w:r>
      <w:r w:rsidR="00EC676E" w:rsidRPr="002663D2">
        <w:rPr>
          <w:rFonts w:ascii="Times New Roman" w:hAnsi="Times New Roman"/>
          <w:sz w:val="16"/>
          <w:szCs w:val="16"/>
          <w:u w:val="none"/>
        </w:rPr>
        <w:t xml:space="preserve">All rights reserved </w:t>
      </w:r>
      <w:r w:rsidR="006E5807" w:rsidRPr="002663D2">
        <w:rPr>
          <w:rFonts w:ascii="Times New Roman" w:hAnsi="Times New Roman"/>
          <w:sz w:val="16"/>
          <w:szCs w:val="16"/>
          <w:u w:val="none"/>
        </w:rPr>
        <w:t>25</w:t>
      </w:r>
      <w:r w:rsidR="00995EE1" w:rsidRPr="002663D2">
        <w:rPr>
          <w:rFonts w:ascii="Times New Roman" w:hAnsi="Times New Roman"/>
          <w:sz w:val="16"/>
          <w:szCs w:val="16"/>
          <w:u w:val="none"/>
        </w:rPr>
        <w:t>.7.25</w:t>
      </w:r>
      <w:r w:rsidR="00394FD6" w:rsidRPr="002663D2">
        <w:rPr>
          <w:sz w:val="16"/>
          <w:szCs w:val="16"/>
          <w:u w:val="none"/>
        </w:rPr>
        <w:t xml:space="preserve"> AW</w:t>
      </w:r>
    </w:p>
    <w:sectPr w:rsidR="00394FD6" w:rsidRPr="002663D2" w:rsidSect="00396DA7">
      <w:footerReference w:type="default" r:id="rId42"/>
      <w:pgSz w:w="11906" w:h="16838"/>
      <w:pgMar w:top="720" w:right="1133"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23B63" w14:textId="77777777" w:rsidR="003C42C8" w:rsidRDefault="003C42C8" w:rsidP="00117FC1">
      <w:r>
        <w:separator/>
      </w:r>
    </w:p>
  </w:endnote>
  <w:endnote w:type="continuationSeparator" w:id="0">
    <w:p w14:paraId="3FD65B6C" w14:textId="77777777" w:rsidR="003C42C8" w:rsidRDefault="003C42C8" w:rsidP="0011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486139"/>
      <w:docPartObj>
        <w:docPartGallery w:val="Page Numbers (Bottom of Page)"/>
        <w:docPartUnique/>
      </w:docPartObj>
    </w:sdtPr>
    <w:sdtEndPr>
      <w:rPr>
        <w:noProof/>
      </w:rPr>
    </w:sdtEndPr>
    <w:sdtContent>
      <w:p w14:paraId="50C38CBE" w14:textId="33F75BA3" w:rsidR="00AA3D59" w:rsidRDefault="00AA3D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C6AEB4" w14:textId="77777777" w:rsidR="00E9362F" w:rsidRPr="00642593" w:rsidRDefault="00E9362F">
    <w:pPr>
      <w:pStyle w:val="Footer"/>
      <w:ind w:right="3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378136"/>
      <w:docPartObj>
        <w:docPartGallery w:val="Page Numbers (Bottom of Page)"/>
        <w:docPartUnique/>
      </w:docPartObj>
    </w:sdtPr>
    <w:sdtEndPr>
      <w:rPr>
        <w:noProof/>
      </w:rPr>
    </w:sdtEndPr>
    <w:sdtContent>
      <w:p w14:paraId="37D17738" w14:textId="1092ACBB" w:rsidR="0058234E" w:rsidRDefault="005823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F3C2C8" w14:textId="306E75A7" w:rsidR="00E9362F" w:rsidRPr="009D0ADF" w:rsidRDefault="00E9362F">
    <w:pPr>
      <w:pStyle w:val="Footer"/>
      <w:rPr>
        <w:sz w:val="16"/>
        <w:szCs w:val="16"/>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87180" w14:textId="77777777" w:rsidR="003C42C8" w:rsidRDefault="003C42C8" w:rsidP="00117FC1">
      <w:r>
        <w:separator/>
      </w:r>
    </w:p>
  </w:footnote>
  <w:footnote w:type="continuationSeparator" w:id="0">
    <w:p w14:paraId="3805E6F5" w14:textId="77777777" w:rsidR="003C42C8" w:rsidRDefault="003C42C8" w:rsidP="00117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616"/>
    <w:multiLevelType w:val="hybridMultilevel"/>
    <w:tmpl w:val="8626DEB4"/>
    <w:lvl w:ilvl="0" w:tplc="407095AE">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1901EB0"/>
    <w:multiLevelType w:val="hybridMultilevel"/>
    <w:tmpl w:val="10F4D830"/>
    <w:lvl w:ilvl="0" w:tplc="85FCA380">
      <w:start w:val="1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96170"/>
    <w:multiLevelType w:val="hybridMultilevel"/>
    <w:tmpl w:val="C16A7B7A"/>
    <w:lvl w:ilvl="0" w:tplc="08090017">
      <w:start w:val="1"/>
      <w:numFmt w:val="lowerLetter"/>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2A2137"/>
    <w:multiLevelType w:val="hybridMultilevel"/>
    <w:tmpl w:val="CB30A9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26590"/>
    <w:multiLevelType w:val="hybridMultilevel"/>
    <w:tmpl w:val="B73C2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740625"/>
    <w:multiLevelType w:val="hybridMultilevel"/>
    <w:tmpl w:val="C7BC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01815"/>
    <w:multiLevelType w:val="hybridMultilevel"/>
    <w:tmpl w:val="03DA0B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1C90E0C"/>
    <w:multiLevelType w:val="hybridMultilevel"/>
    <w:tmpl w:val="4A74CDD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7430AB"/>
    <w:multiLevelType w:val="hybridMultilevel"/>
    <w:tmpl w:val="8626F92E"/>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5476EB9"/>
    <w:multiLevelType w:val="hybridMultilevel"/>
    <w:tmpl w:val="0A62D5F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195E6420"/>
    <w:multiLevelType w:val="hybridMultilevel"/>
    <w:tmpl w:val="E9CCC9B8"/>
    <w:lvl w:ilvl="0" w:tplc="1970592A">
      <w:start w:val="1"/>
      <w:numFmt w:val="lowerLetter"/>
      <w:lvlText w:val="%1)"/>
      <w:lvlJc w:val="left"/>
      <w:pPr>
        <w:tabs>
          <w:tab w:val="num" w:pos="1080"/>
        </w:tabs>
        <w:ind w:left="1080" w:hanging="360"/>
      </w:pPr>
      <w:rPr>
        <w:rFonts w:hint="default"/>
        <w:color w:val="auto"/>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1" w15:restartNumberingAfterBreak="0">
    <w:nsid w:val="1D9C3111"/>
    <w:multiLevelType w:val="multilevel"/>
    <w:tmpl w:val="27B83C1E"/>
    <w:lvl w:ilvl="0">
      <w:start w:val="9"/>
      <w:numFmt w:val="decimal"/>
      <w:lvlText w:val="%1"/>
      <w:lvlJc w:val="left"/>
      <w:pPr>
        <w:ind w:left="360" w:hanging="360"/>
      </w:pPr>
      <w:rPr>
        <w:rFonts w:hint="default"/>
        <w:color w:val="FF0000"/>
      </w:rPr>
    </w:lvl>
    <w:lvl w:ilvl="1">
      <w:start w:val="2"/>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2" w15:restartNumberingAfterBreak="0">
    <w:nsid w:val="1ECC4269"/>
    <w:multiLevelType w:val="hybridMultilevel"/>
    <w:tmpl w:val="DD32425C"/>
    <w:lvl w:ilvl="0" w:tplc="08090001">
      <w:start w:val="1"/>
      <w:numFmt w:val="bullet"/>
      <w:lvlText w:val=""/>
      <w:lvlJc w:val="left"/>
      <w:pPr>
        <w:ind w:left="2160" w:hanging="360"/>
      </w:pPr>
      <w:rPr>
        <w:rFonts w:ascii="Symbol" w:hAnsi="Symbol" w:cs="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cs="Wingdings" w:hint="default"/>
      </w:rPr>
    </w:lvl>
    <w:lvl w:ilvl="3" w:tplc="08090001">
      <w:start w:val="1"/>
      <w:numFmt w:val="bullet"/>
      <w:lvlText w:val=""/>
      <w:lvlJc w:val="left"/>
      <w:pPr>
        <w:ind w:left="4320" w:hanging="360"/>
      </w:pPr>
      <w:rPr>
        <w:rFonts w:ascii="Symbol" w:hAnsi="Symbol" w:cs="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cs="Wingdings" w:hint="default"/>
      </w:rPr>
    </w:lvl>
    <w:lvl w:ilvl="6" w:tplc="08090001">
      <w:start w:val="1"/>
      <w:numFmt w:val="bullet"/>
      <w:lvlText w:val=""/>
      <w:lvlJc w:val="left"/>
      <w:pPr>
        <w:ind w:left="6480" w:hanging="360"/>
      </w:pPr>
      <w:rPr>
        <w:rFonts w:ascii="Symbol" w:hAnsi="Symbol" w:cs="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cs="Wingdings" w:hint="default"/>
      </w:rPr>
    </w:lvl>
  </w:abstractNum>
  <w:abstractNum w:abstractNumId="13" w15:restartNumberingAfterBreak="0">
    <w:nsid w:val="211F6127"/>
    <w:multiLevelType w:val="hybridMultilevel"/>
    <w:tmpl w:val="5BEE0DA0"/>
    <w:lvl w:ilvl="0" w:tplc="02747BB2">
      <w:start w:val="1"/>
      <w:numFmt w:val="lowerLetter"/>
      <w:lvlText w:val="%1)"/>
      <w:lvlJc w:val="left"/>
      <w:pPr>
        <w:tabs>
          <w:tab w:val="num" w:pos="1140"/>
        </w:tabs>
        <w:ind w:left="1140" w:hanging="360"/>
      </w:pPr>
      <w:rPr>
        <w:rFonts w:ascii="Arial" w:eastAsia="Calibri" w:hAnsi="Arial" w:cs="Arial"/>
      </w:rPr>
    </w:lvl>
    <w:lvl w:ilvl="1" w:tplc="08090019">
      <w:start w:val="1"/>
      <w:numFmt w:val="lowerLetter"/>
      <w:lvlText w:val="%2."/>
      <w:lvlJc w:val="left"/>
      <w:pPr>
        <w:tabs>
          <w:tab w:val="num" w:pos="1860"/>
        </w:tabs>
        <w:ind w:left="1860" w:hanging="360"/>
      </w:pPr>
    </w:lvl>
    <w:lvl w:ilvl="2" w:tplc="0809001B">
      <w:start w:val="1"/>
      <w:numFmt w:val="lowerRoman"/>
      <w:lvlText w:val="%3."/>
      <w:lvlJc w:val="right"/>
      <w:pPr>
        <w:tabs>
          <w:tab w:val="num" w:pos="2580"/>
        </w:tabs>
        <w:ind w:left="2580" w:hanging="180"/>
      </w:pPr>
    </w:lvl>
    <w:lvl w:ilvl="3" w:tplc="0809000F">
      <w:start w:val="1"/>
      <w:numFmt w:val="decimal"/>
      <w:lvlText w:val="%4."/>
      <w:lvlJc w:val="left"/>
      <w:pPr>
        <w:tabs>
          <w:tab w:val="num" w:pos="3300"/>
        </w:tabs>
        <w:ind w:left="3300" w:hanging="360"/>
      </w:pPr>
    </w:lvl>
    <w:lvl w:ilvl="4" w:tplc="08090019">
      <w:start w:val="1"/>
      <w:numFmt w:val="lowerLetter"/>
      <w:lvlText w:val="%5."/>
      <w:lvlJc w:val="left"/>
      <w:pPr>
        <w:tabs>
          <w:tab w:val="num" w:pos="4020"/>
        </w:tabs>
        <w:ind w:left="4020" w:hanging="360"/>
      </w:pPr>
    </w:lvl>
    <w:lvl w:ilvl="5" w:tplc="0809001B">
      <w:start w:val="1"/>
      <w:numFmt w:val="lowerRoman"/>
      <w:lvlText w:val="%6."/>
      <w:lvlJc w:val="right"/>
      <w:pPr>
        <w:tabs>
          <w:tab w:val="num" w:pos="4740"/>
        </w:tabs>
        <w:ind w:left="4740" w:hanging="180"/>
      </w:pPr>
    </w:lvl>
    <w:lvl w:ilvl="6" w:tplc="0809000F">
      <w:start w:val="1"/>
      <w:numFmt w:val="decimal"/>
      <w:lvlText w:val="%7."/>
      <w:lvlJc w:val="left"/>
      <w:pPr>
        <w:tabs>
          <w:tab w:val="num" w:pos="5460"/>
        </w:tabs>
        <w:ind w:left="5460" w:hanging="360"/>
      </w:pPr>
    </w:lvl>
    <w:lvl w:ilvl="7" w:tplc="08090019">
      <w:start w:val="1"/>
      <w:numFmt w:val="lowerLetter"/>
      <w:lvlText w:val="%8."/>
      <w:lvlJc w:val="left"/>
      <w:pPr>
        <w:tabs>
          <w:tab w:val="num" w:pos="6180"/>
        </w:tabs>
        <w:ind w:left="6180" w:hanging="360"/>
      </w:pPr>
    </w:lvl>
    <w:lvl w:ilvl="8" w:tplc="0809001B">
      <w:start w:val="1"/>
      <w:numFmt w:val="lowerRoman"/>
      <w:lvlText w:val="%9."/>
      <w:lvlJc w:val="right"/>
      <w:pPr>
        <w:tabs>
          <w:tab w:val="num" w:pos="6900"/>
        </w:tabs>
        <w:ind w:left="6900" w:hanging="180"/>
      </w:pPr>
    </w:lvl>
  </w:abstractNum>
  <w:abstractNum w:abstractNumId="14" w15:restartNumberingAfterBreak="0">
    <w:nsid w:val="22751D47"/>
    <w:multiLevelType w:val="hybridMultilevel"/>
    <w:tmpl w:val="EBB6438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23E41DBF"/>
    <w:multiLevelType w:val="hybridMultilevel"/>
    <w:tmpl w:val="D8E8E4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43C44D7"/>
    <w:multiLevelType w:val="hybridMultilevel"/>
    <w:tmpl w:val="5C102890"/>
    <w:lvl w:ilvl="0" w:tplc="234436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86EF3"/>
    <w:multiLevelType w:val="hybridMultilevel"/>
    <w:tmpl w:val="73A01D24"/>
    <w:lvl w:ilvl="0" w:tplc="BB4CC7F0">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5C9418D"/>
    <w:multiLevelType w:val="hybridMultilevel"/>
    <w:tmpl w:val="A9C0983C"/>
    <w:lvl w:ilvl="0" w:tplc="69E29132">
      <w:start w:val="1"/>
      <w:numFmt w:val="bullet"/>
      <w:lvlText w:val=""/>
      <w:lvlJc w:val="left"/>
      <w:pPr>
        <w:ind w:left="720" w:hanging="360"/>
      </w:pPr>
      <w:rPr>
        <w:rFonts w:ascii="Symbol" w:hAnsi="Symbol" w:cs="Symbol" w:hint="default"/>
        <w:color w:val="auto"/>
      </w:rPr>
    </w:lvl>
    <w:lvl w:ilvl="1" w:tplc="D21C0740">
      <w:start w:val="1"/>
      <w:numFmt w:val="lowerRoman"/>
      <w:lvlText w:val="%2."/>
      <w:lvlJc w:val="right"/>
      <w:pPr>
        <w:ind w:left="1440" w:hanging="360"/>
      </w:pPr>
      <w:rPr>
        <w:rFonts w:hint="default"/>
        <w:color w:val="auto"/>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2AA36086"/>
    <w:multiLevelType w:val="hybridMultilevel"/>
    <w:tmpl w:val="6A6AD0B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9BA4B79"/>
    <w:multiLevelType w:val="multilevel"/>
    <w:tmpl w:val="3B4C2F4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0063DE"/>
    <w:multiLevelType w:val="hybridMultilevel"/>
    <w:tmpl w:val="30E05F3A"/>
    <w:lvl w:ilvl="0" w:tplc="D32CDF74">
      <w:start w:val="1"/>
      <w:numFmt w:val="lowerLetter"/>
      <w:lvlText w:val="%1)"/>
      <w:lvlJc w:val="left"/>
      <w:pPr>
        <w:ind w:left="1440" w:hanging="360"/>
      </w:pPr>
      <w:rPr>
        <w:rFonts w:hint="default"/>
        <w:i w:val="0"/>
        <w:iCs w:val="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2" w15:restartNumberingAfterBreak="0">
    <w:nsid w:val="44F8156C"/>
    <w:multiLevelType w:val="hybridMultilevel"/>
    <w:tmpl w:val="FCC6EC7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45A921B4"/>
    <w:multiLevelType w:val="hybridMultilevel"/>
    <w:tmpl w:val="49B2B29C"/>
    <w:lvl w:ilvl="0" w:tplc="BB4CC7F0">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B414B63"/>
    <w:multiLevelType w:val="hybridMultilevel"/>
    <w:tmpl w:val="A934A256"/>
    <w:lvl w:ilvl="0" w:tplc="6302AAC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F8338F"/>
    <w:multiLevelType w:val="hybridMultilevel"/>
    <w:tmpl w:val="FCCA9A52"/>
    <w:lvl w:ilvl="0" w:tplc="C8FE66F2">
      <w:start w:val="1"/>
      <w:numFmt w:val="decimal"/>
      <w:lvlText w:val="%1."/>
      <w:lvlJc w:val="left"/>
      <w:pPr>
        <w:ind w:left="720" w:hanging="360"/>
      </w:pPr>
      <w:rPr>
        <w:rFonts w:ascii="Arial" w:hAnsi="Arial" w:cs="Arial" w:hint="default"/>
        <w:b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A1D5810"/>
    <w:multiLevelType w:val="hybridMultilevel"/>
    <w:tmpl w:val="55B8F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B61658D"/>
    <w:multiLevelType w:val="hybridMultilevel"/>
    <w:tmpl w:val="46F82CFC"/>
    <w:lvl w:ilvl="0" w:tplc="81D6654A">
      <w:start w:val="1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45FA3"/>
    <w:multiLevelType w:val="hybridMultilevel"/>
    <w:tmpl w:val="4FE6B5DA"/>
    <w:lvl w:ilvl="0" w:tplc="F2F2EF9A">
      <w:start w:val="1"/>
      <w:numFmt w:val="bullet"/>
      <w:lvlText w:val=""/>
      <w:lvlJc w:val="left"/>
      <w:pPr>
        <w:ind w:left="72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5E9E223C"/>
    <w:multiLevelType w:val="hybridMultilevel"/>
    <w:tmpl w:val="B71C666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0" w15:restartNumberingAfterBreak="0">
    <w:nsid w:val="5F1B5762"/>
    <w:multiLevelType w:val="multilevel"/>
    <w:tmpl w:val="5D2265C4"/>
    <w:lvl w:ilvl="0">
      <w:start w:val="21"/>
      <w:numFmt w:val="decimal"/>
      <w:lvlText w:val="%1"/>
      <w:lvlJc w:val="left"/>
      <w:pPr>
        <w:tabs>
          <w:tab w:val="num" w:pos="465"/>
        </w:tabs>
        <w:ind w:left="465" w:hanging="465"/>
      </w:pPr>
      <w:rPr>
        <w:rFonts w:hint="default"/>
        <w:color w:val="auto"/>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1" w15:restartNumberingAfterBreak="0">
    <w:nsid w:val="67197D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8A57BC"/>
    <w:multiLevelType w:val="hybridMultilevel"/>
    <w:tmpl w:val="2F3E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4252B"/>
    <w:multiLevelType w:val="hybridMultilevel"/>
    <w:tmpl w:val="7D3A8746"/>
    <w:lvl w:ilvl="0" w:tplc="2F36B954">
      <w:start w:val="1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438E0"/>
    <w:multiLevelType w:val="hybridMultilevel"/>
    <w:tmpl w:val="3EB873E8"/>
    <w:lvl w:ilvl="0" w:tplc="FEA499D6">
      <w:start w:val="1"/>
      <w:numFmt w:val="bullet"/>
      <w:lvlText w:val=""/>
      <w:lvlJc w:val="left"/>
      <w:pPr>
        <w:ind w:left="72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74C171BE"/>
    <w:multiLevelType w:val="hybridMultilevel"/>
    <w:tmpl w:val="6A68A78C"/>
    <w:lvl w:ilvl="0" w:tplc="C2CEC9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6FD0EBC"/>
    <w:multiLevelType w:val="hybridMultilevel"/>
    <w:tmpl w:val="B2B2DDEC"/>
    <w:lvl w:ilvl="0" w:tplc="35F8CEB6">
      <w:start w:val="1"/>
      <w:numFmt w:val="decimal"/>
      <w:lvlText w:val="%1."/>
      <w:lvlJc w:val="left"/>
      <w:pPr>
        <w:tabs>
          <w:tab w:val="num" w:pos="720"/>
        </w:tabs>
        <w:ind w:left="720" w:hanging="360"/>
      </w:pPr>
      <w:rPr>
        <w:strike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774318DE"/>
    <w:multiLevelType w:val="hybridMultilevel"/>
    <w:tmpl w:val="944A73A8"/>
    <w:lvl w:ilvl="0" w:tplc="51188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C006E"/>
    <w:multiLevelType w:val="hybridMultilevel"/>
    <w:tmpl w:val="676AD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BA2A95"/>
    <w:multiLevelType w:val="hybridMultilevel"/>
    <w:tmpl w:val="0BEA853C"/>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40" w15:restartNumberingAfterBreak="0">
    <w:nsid w:val="7A3D501A"/>
    <w:multiLevelType w:val="multilevel"/>
    <w:tmpl w:val="5E28C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C2A2472"/>
    <w:multiLevelType w:val="hybridMultilevel"/>
    <w:tmpl w:val="3E0EF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974800">
    <w:abstractNumId w:val="22"/>
  </w:num>
  <w:num w:numId="2" w16cid:durableId="1481921226">
    <w:abstractNumId w:val="34"/>
  </w:num>
  <w:num w:numId="3" w16cid:durableId="2051412648">
    <w:abstractNumId w:val="21"/>
  </w:num>
  <w:num w:numId="4" w16cid:durableId="1059521214">
    <w:abstractNumId w:val="39"/>
  </w:num>
  <w:num w:numId="5" w16cid:durableId="1717700185">
    <w:abstractNumId w:val="10"/>
  </w:num>
  <w:num w:numId="6" w16cid:durableId="186917979">
    <w:abstractNumId w:val="13"/>
  </w:num>
  <w:num w:numId="7" w16cid:durableId="1299993260">
    <w:abstractNumId w:val="9"/>
  </w:num>
  <w:num w:numId="8" w16cid:durableId="280455851">
    <w:abstractNumId w:val="25"/>
  </w:num>
  <w:num w:numId="9" w16cid:durableId="514459834">
    <w:abstractNumId w:val="14"/>
  </w:num>
  <w:num w:numId="10" w16cid:durableId="1525486144">
    <w:abstractNumId w:val="17"/>
  </w:num>
  <w:num w:numId="11" w16cid:durableId="555972365">
    <w:abstractNumId w:val="23"/>
  </w:num>
  <w:num w:numId="12" w16cid:durableId="498233313">
    <w:abstractNumId w:val="12"/>
  </w:num>
  <w:num w:numId="13" w16cid:durableId="1781946665">
    <w:abstractNumId w:val="29"/>
  </w:num>
  <w:num w:numId="14" w16cid:durableId="530731509">
    <w:abstractNumId w:val="36"/>
  </w:num>
  <w:num w:numId="15" w16cid:durableId="1238905155">
    <w:abstractNumId w:val="19"/>
  </w:num>
  <w:num w:numId="16" w16cid:durableId="441148104">
    <w:abstractNumId w:val="18"/>
  </w:num>
  <w:num w:numId="17" w16cid:durableId="1377044273">
    <w:abstractNumId w:val="28"/>
  </w:num>
  <w:num w:numId="18" w16cid:durableId="503471628">
    <w:abstractNumId w:val="5"/>
  </w:num>
  <w:num w:numId="19" w16cid:durableId="938101188">
    <w:abstractNumId w:val="24"/>
  </w:num>
  <w:num w:numId="20" w16cid:durableId="1096898458">
    <w:abstractNumId w:val="8"/>
  </w:num>
  <w:num w:numId="21" w16cid:durableId="971402660">
    <w:abstractNumId w:val="2"/>
  </w:num>
  <w:num w:numId="22" w16cid:durableId="1864781733">
    <w:abstractNumId w:val="15"/>
  </w:num>
  <w:num w:numId="23" w16cid:durableId="662203027">
    <w:abstractNumId w:val="7"/>
  </w:num>
  <w:num w:numId="24" w16cid:durableId="695347783">
    <w:abstractNumId w:val="37"/>
  </w:num>
  <w:num w:numId="25" w16cid:durableId="949899125">
    <w:abstractNumId w:val="26"/>
  </w:num>
  <w:num w:numId="26" w16cid:durableId="969481016">
    <w:abstractNumId w:val="32"/>
  </w:num>
  <w:num w:numId="27" w16cid:durableId="751199980">
    <w:abstractNumId w:val="6"/>
  </w:num>
  <w:num w:numId="28" w16cid:durableId="12546298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9510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0375960">
    <w:abstractNumId w:val="0"/>
  </w:num>
  <w:num w:numId="31" w16cid:durableId="624314123">
    <w:abstractNumId w:val="33"/>
  </w:num>
  <w:num w:numId="32" w16cid:durableId="1424304656">
    <w:abstractNumId w:val="1"/>
  </w:num>
  <w:num w:numId="33" w16cid:durableId="1623461072">
    <w:abstractNumId w:val="27"/>
  </w:num>
  <w:num w:numId="34" w16cid:durableId="1148522083">
    <w:abstractNumId w:val="38"/>
  </w:num>
  <w:num w:numId="35" w16cid:durableId="1008018647">
    <w:abstractNumId w:val="30"/>
  </w:num>
  <w:num w:numId="36" w16cid:durableId="508839402">
    <w:abstractNumId w:val="41"/>
  </w:num>
  <w:num w:numId="37" w16cid:durableId="1567454653">
    <w:abstractNumId w:val="11"/>
  </w:num>
  <w:num w:numId="38" w16cid:durableId="16346743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7080167">
    <w:abstractNumId w:val="35"/>
  </w:num>
  <w:num w:numId="40" w16cid:durableId="324432176">
    <w:abstractNumId w:val="3"/>
  </w:num>
  <w:num w:numId="41" w16cid:durableId="1854221471">
    <w:abstractNumId w:val="4"/>
  </w:num>
  <w:num w:numId="42" w16cid:durableId="27147239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formatting="1" w:enforcement="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99"/>
    <w:rsid w:val="000026B2"/>
    <w:rsid w:val="000049B5"/>
    <w:rsid w:val="00016F2E"/>
    <w:rsid w:val="00023188"/>
    <w:rsid w:val="00023374"/>
    <w:rsid w:val="00023653"/>
    <w:rsid w:val="00026C17"/>
    <w:rsid w:val="00031093"/>
    <w:rsid w:val="0003122E"/>
    <w:rsid w:val="0003208B"/>
    <w:rsid w:val="0003261A"/>
    <w:rsid w:val="00034A0F"/>
    <w:rsid w:val="000435E2"/>
    <w:rsid w:val="00043D7E"/>
    <w:rsid w:val="00044D60"/>
    <w:rsid w:val="00045CF1"/>
    <w:rsid w:val="00050EC9"/>
    <w:rsid w:val="00051CCC"/>
    <w:rsid w:val="0007242D"/>
    <w:rsid w:val="00072ABE"/>
    <w:rsid w:val="00073F29"/>
    <w:rsid w:val="00077373"/>
    <w:rsid w:val="00080A56"/>
    <w:rsid w:val="00082335"/>
    <w:rsid w:val="00082367"/>
    <w:rsid w:val="000827CA"/>
    <w:rsid w:val="00086CAA"/>
    <w:rsid w:val="00087ABA"/>
    <w:rsid w:val="00091AE3"/>
    <w:rsid w:val="00091B32"/>
    <w:rsid w:val="00092674"/>
    <w:rsid w:val="00096353"/>
    <w:rsid w:val="000A6B63"/>
    <w:rsid w:val="000A6F1E"/>
    <w:rsid w:val="000A7583"/>
    <w:rsid w:val="000B11CA"/>
    <w:rsid w:val="000B4DF3"/>
    <w:rsid w:val="000B650F"/>
    <w:rsid w:val="000B7EDC"/>
    <w:rsid w:val="000C3D02"/>
    <w:rsid w:val="000C4ABC"/>
    <w:rsid w:val="000C577E"/>
    <w:rsid w:val="000C64BC"/>
    <w:rsid w:val="000C7659"/>
    <w:rsid w:val="000C7EFE"/>
    <w:rsid w:val="000D01EB"/>
    <w:rsid w:val="000D04F0"/>
    <w:rsid w:val="000D0D5A"/>
    <w:rsid w:val="000D37A3"/>
    <w:rsid w:val="000D3AAD"/>
    <w:rsid w:val="000E176D"/>
    <w:rsid w:val="000E17C1"/>
    <w:rsid w:val="000E3D89"/>
    <w:rsid w:val="000E73EC"/>
    <w:rsid w:val="000F0FA8"/>
    <w:rsid w:val="001012D3"/>
    <w:rsid w:val="00104CCD"/>
    <w:rsid w:val="00106166"/>
    <w:rsid w:val="00106AD0"/>
    <w:rsid w:val="001072E0"/>
    <w:rsid w:val="00111CE2"/>
    <w:rsid w:val="001149FB"/>
    <w:rsid w:val="00115B00"/>
    <w:rsid w:val="00117FC1"/>
    <w:rsid w:val="001203C1"/>
    <w:rsid w:val="001209A3"/>
    <w:rsid w:val="00121BE2"/>
    <w:rsid w:val="00122184"/>
    <w:rsid w:val="00125D99"/>
    <w:rsid w:val="00130483"/>
    <w:rsid w:val="00131AFF"/>
    <w:rsid w:val="00132349"/>
    <w:rsid w:val="00135078"/>
    <w:rsid w:val="001372C2"/>
    <w:rsid w:val="0014279F"/>
    <w:rsid w:val="00145398"/>
    <w:rsid w:val="001459E0"/>
    <w:rsid w:val="00150A4A"/>
    <w:rsid w:val="0015773A"/>
    <w:rsid w:val="00157A69"/>
    <w:rsid w:val="001601EA"/>
    <w:rsid w:val="00165BF6"/>
    <w:rsid w:val="00167A9A"/>
    <w:rsid w:val="00170CCA"/>
    <w:rsid w:val="00171156"/>
    <w:rsid w:val="00171E0F"/>
    <w:rsid w:val="00173471"/>
    <w:rsid w:val="0017347D"/>
    <w:rsid w:val="00175C3B"/>
    <w:rsid w:val="0018228D"/>
    <w:rsid w:val="00185902"/>
    <w:rsid w:val="00186884"/>
    <w:rsid w:val="0019233B"/>
    <w:rsid w:val="00196D9F"/>
    <w:rsid w:val="00196EE8"/>
    <w:rsid w:val="001A0DCB"/>
    <w:rsid w:val="001A130C"/>
    <w:rsid w:val="001A1C45"/>
    <w:rsid w:val="001A4B9F"/>
    <w:rsid w:val="001B00A9"/>
    <w:rsid w:val="001B0CE4"/>
    <w:rsid w:val="001B69AB"/>
    <w:rsid w:val="001B6C3D"/>
    <w:rsid w:val="001C174B"/>
    <w:rsid w:val="001C4663"/>
    <w:rsid w:val="001C7CF4"/>
    <w:rsid w:val="001D132B"/>
    <w:rsid w:val="001D415D"/>
    <w:rsid w:val="001D625A"/>
    <w:rsid w:val="001E02CF"/>
    <w:rsid w:val="001E1BBC"/>
    <w:rsid w:val="001E4DB1"/>
    <w:rsid w:val="001E5D12"/>
    <w:rsid w:val="001F03DC"/>
    <w:rsid w:val="001F1904"/>
    <w:rsid w:val="001F495A"/>
    <w:rsid w:val="001F5B99"/>
    <w:rsid w:val="001F7F0C"/>
    <w:rsid w:val="00201947"/>
    <w:rsid w:val="002052BF"/>
    <w:rsid w:val="00207FB2"/>
    <w:rsid w:val="002132C1"/>
    <w:rsid w:val="002135D9"/>
    <w:rsid w:val="00215CBB"/>
    <w:rsid w:val="00217947"/>
    <w:rsid w:val="00221844"/>
    <w:rsid w:val="00223575"/>
    <w:rsid w:val="002241BE"/>
    <w:rsid w:val="00227736"/>
    <w:rsid w:val="00235B45"/>
    <w:rsid w:val="00236566"/>
    <w:rsid w:val="00236C2B"/>
    <w:rsid w:val="00237758"/>
    <w:rsid w:val="00240013"/>
    <w:rsid w:val="0024100E"/>
    <w:rsid w:val="00241166"/>
    <w:rsid w:val="0024307B"/>
    <w:rsid w:val="002455CC"/>
    <w:rsid w:val="002455D3"/>
    <w:rsid w:val="002474AE"/>
    <w:rsid w:val="002479A4"/>
    <w:rsid w:val="00247E30"/>
    <w:rsid w:val="00247F4C"/>
    <w:rsid w:val="002508A5"/>
    <w:rsid w:val="00251321"/>
    <w:rsid w:val="00252929"/>
    <w:rsid w:val="00253FFB"/>
    <w:rsid w:val="0025514B"/>
    <w:rsid w:val="00255334"/>
    <w:rsid w:val="002559EB"/>
    <w:rsid w:val="00256234"/>
    <w:rsid w:val="0026114D"/>
    <w:rsid w:val="002663D2"/>
    <w:rsid w:val="00266A41"/>
    <w:rsid w:val="00266E21"/>
    <w:rsid w:val="002716C6"/>
    <w:rsid w:val="0027343A"/>
    <w:rsid w:val="00273926"/>
    <w:rsid w:val="00273D66"/>
    <w:rsid w:val="00274DA5"/>
    <w:rsid w:val="002809EB"/>
    <w:rsid w:val="00280BA6"/>
    <w:rsid w:val="00281487"/>
    <w:rsid w:val="00281BEA"/>
    <w:rsid w:val="00285548"/>
    <w:rsid w:val="00285B6E"/>
    <w:rsid w:val="002869CF"/>
    <w:rsid w:val="00286C76"/>
    <w:rsid w:val="00292360"/>
    <w:rsid w:val="00292EE5"/>
    <w:rsid w:val="00293163"/>
    <w:rsid w:val="00293FC8"/>
    <w:rsid w:val="0029511C"/>
    <w:rsid w:val="00295697"/>
    <w:rsid w:val="002A00DD"/>
    <w:rsid w:val="002A0290"/>
    <w:rsid w:val="002A1BAB"/>
    <w:rsid w:val="002A3337"/>
    <w:rsid w:val="002A3647"/>
    <w:rsid w:val="002A6AAF"/>
    <w:rsid w:val="002B058D"/>
    <w:rsid w:val="002B223C"/>
    <w:rsid w:val="002B24C0"/>
    <w:rsid w:val="002B34E1"/>
    <w:rsid w:val="002B3D93"/>
    <w:rsid w:val="002B59F1"/>
    <w:rsid w:val="002B6247"/>
    <w:rsid w:val="002C3508"/>
    <w:rsid w:val="002C46F6"/>
    <w:rsid w:val="002C78BE"/>
    <w:rsid w:val="002D0B1D"/>
    <w:rsid w:val="002D0DCB"/>
    <w:rsid w:val="002D1937"/>
    <w:rsid w:val="002D1F55"/>
    <w:rsid w:val="002D1FDD"/>
    <w:rsid w:val="002D53B0"/>
    <w:rsid w:val="002E286A"/>
    <w:rsid w:val="002E410C"/>
    <w:rsid w:val="002E4798"/>
    <w:rsid w:val="002F134D"/>
    <w:rsid w:val="002F3DB7"/>
    <w:rsid w:val="002F5421"/>
    <w:rsid w:val="002F5512"/>
    <w:rsid w:val="002F6E20"/>
    <w:rsid w:val="003000CD"/>
    <w:rsid w:val="003004FA"/>
    <w:rsid w:val="00300FBD"/>
    <w:rsid w:val="00302205"/>
    <w:rsid w:val="00302455"/>
    <w:rsid w:val="0030509F"/>
    <w:rsid w:val="00306B82"/>
    <w:rsid w:val="00311DE8"/>
    <w:rsid w:val="00311F56"/>
    <w:rsid w:val="00312B12"/>
    <w:rsid w:val="00312D24"/>
    <w:rsid w:val="00313A9C"/>
    <w:rsid w:val="003155A7"/>
    <w:rsid w:val="00315857"/>
    <w:rsid w:val="00322ED4"/>
    <w:rsid w:val="003236C9"/>
    <w:rsid w:val="003238A7"/>
    <w:rsid w:val="00326155"/>
    <w:rsid w:val="003301B5"/>
    <w:rsid w:val="0033197B"/>
    <w:rsid w:val="00333469"/>
    <w:rsid w:val="00333601"/>
    <w:rsid w:val="00335A51"/>
    <w:rsid w:val="003376D3"/>
    <w:rsid w:val="00337FDA"/>
    <w:rsid w:val="0034220B"/>
    <w:rsid w:val="00343CA4"/>
    <w:rsid w:val="00344CC2"/>
    <w:rsid w:val="0034507B"/>
    <w:rsid w:val="00345C0C"/>
    <w:rsid w:val="0034631F"/>
    <w:rsid w:val="003463D8"/>
    <w:rsid w:val="00346AD8"/>
    <w:rsid w:val="00350748"/>
    <w:rsid w:val="0035121A"/>
    <w:rsid w:val="00351EF0"/>
    <w:rsid w:val="0035261C"/>
    <w:rsid w:val="003533AA"/>
    <w:rsid w:val="00361624"/>
    <w:rsid w:val="00363E1A"/>
    <w:rsid w:val="003646DA"/>
    <w:rsid w:val="00365306"/>
    <w:rsid w:val="00370BAC"/>
    <w:rsid w:val="00371669"/>
    <w:rsid w:val="00371FF5"/>
    <w:rsid w:val="00372178"/>
    <w:rsid w:val="00374AE7"/>
    <w:rsid w:val="00380D07"/>
    <w:rsid w:val="00383E3A"/>
    <w:rsid w:val="003910CF"/>
    <w:rsid w:val="0039338E"/>
    <w:rsid w:val="003936E8"/>
    <w:rsid w:val="00394FD6"/>
    <w:rsid w:val="0039570F"/>
    <w:rsid w:val="00396A14"/>
    <w:rsid w:val="00396DA7"/>
    <w:rsid w:val="003970B1"/>
    <w:rsid w:val="003A149F"/>
    <w:rsid w:val="003A1A92"/>
    <w:rsid w:val="003A249D"/>
    <w:rsid w:val="003A4746"/>
    <w:rsid w:val="003A4FDD"/>
    <w:rsid w:val="003A6EEE"/>
    <w:rsid w:val="003B26F8"/>
    <w:rsid w:val="003B2F41"/>
    <w:rsid w:val="003B3276"/>
    <w:rsid w:val="003B41E0"/>
    <w:rsid w:val="003B5635"/>
    <w:rsid w:val="003B6242"/>
    <w:rsid w:val="003B646B"/>
    <w:rsid w:val="003B7756"/>
    <w:rsid w:val="003C00BA"/>
    <w:rsid w:val="003C21D0"/>
    <w:rsid w:val="003C42C8"/>
    <w:rsid w:val="003C5CD8"/>
    <w:rsid w:val="003C65E3"/>
    <w:rsid w:val="003D14D0"/>
    <w:rsid w:val="003D4622"/>
    <w:rsid w:val="003D4949"/>
    <w:rsid w:val="003D6BE2"/>
    <w:rsid w:val="003E028B"/>
    <w:rsid w:val="003E0E91"/>
    <w:rsid w:val="003E193A"/>
    <w:rsid w:val="003E196F"/>
    <w:rsid w:val="003E2898"/>
    <w:rsid w:val="003E42F7"/>
    <w:rsid w:val="003E7183"/>
    <w:rsid w:val="003F5569"/>
    <w:rsid w:val="003F69ED"/>
    <w:rsid w:val="003F6E2C"/>
    <w:rsid w:val="003F75A4"/>
    <w:rsid w:val="003F760E"/>
    <w:rsid w:val="0040035C"/>
    <w:rsid w:val="00406D52"/>
    <w:rsid w:val="004116ED"/>
    <w:rsid w:val="00413171"/>
    <w:rsid w:val="004149A8"/>
    <w:rsid w:val="004152D7"/>
    <w:rsid w:val="004240E6"/>
    <w:rsid w:val="00425E2D"/>
    <w:rsid w:val="00426FA6"/>
    <w:rsid w:val="00430C43"/>
    <w:rsid w:val="00432D12"/>
    <w:rsid w:val="00435584"/>
    <w:rsid w:val="004402A3"/>
    <w:rsid w:val="00441C09"/>
    <w:rsid w:val="00446034"/>
    <w:rsid w:val="0044605C"/>
    <w:rsid w:val="00447AAC"/>
    <w:rsid w:val="00447F04"/>
    <w:rsid w:val="00450C6C"/>
    <w:rsid w:val="004526EB"/>
    <w:rsid w:val="00461E8D"/>
    <w:rsid w:val="00464C33"/>
    <w:rsid w:val="004663E7"/>
    <w:rsid w:val="004669FF"/>
    <w:rsid w:val="00467F7E"/>
    <w:rsid w:val="0047018B"/>
    <w:rsid w:val="004712EF"/>
    <w:rsid w:val="00471FE8"/>
    <w:rsid w:val="004728FE"/>
    <w:rsid w:val="00472CB3"/>
    <w:rsid w:val="00474F7F"/>
    <w:rsid w:val="00475089"/>
    <w:rsid w:val="004752C5"/>
    <w:rsid w:val="00477F34"/>
    <w:rsid w:val="00485140"/>
    <w:rsid w:val="00486214"/>
    <w:rsid w:val="00490293"/>
    <w:rsid w:val="00496823"/>
    <w:rsid w:val="004A5257"/>
    <w:rsid w:val="004B13DC"/>
    <w:rsid w:val="004C0B69"/>
    <w:rsid w:val="004C191A"/>
    <w:rsid w:val="004C2BA7"/>
    <w:rsid w:val="004C497E"/>
    <w:rsid w:val="004C4ECA"/>
    <w:rsid w:val="004C56BC"/>
    <w:rsid w:val="004D07FF"/>
    <w:rsid w:val="004D0AFF"/>
    <w:rsid w:val="004D1091"/>
    <w:rsid w:val="004D383B"/>
    <w:rsid w:val="004D3C53"/>
    <w:rsid w:val="004D5EE5"/>
    <w:rsid w:val="004D71EE"/>
    <w:rsid w:val="004E433E"/>
    <w:rsid w:val="004E4361"/>
    <w:rsid w:val="004E5495"/>
    <w:rsid w:val="004E5569"/>
    <w:rsid w:val="004F30E1"/>
    <w:rsid w:val="004F37E6"/>
    <w:rsid w:val="0050117D"/>
    <w:rsid w:val="005023B9"/>
    <w:rsid w:val="005032C9"/>
    <w:rsid w:val="00504A1F"/>
    <w:rsid w:val="00510F4B"/>
    <w:rsid w:val="00515709"/>
    <w:rsid w:val="00516335"/>
    <w:rsid w:val="00522071"/>
    <w:rsid w:val="005230AD"/>
    <w:rsid w:val="00524B77"/>
    <w:rsid w:val="00530674"/>
    <w:rsid w:val="00546DCE"/>
    <w:rsid w:val="005506E2"/>
    <w:rsid w:val="00553B8D"/>
    <w:rsid w:val="005551BA"/>
    <w:rsid w:val="005557DE"/>
    <w:rsid w:val="00555D8B"/>
    <w:rsid w:val="00556229"/>
    <w:rsid w:val="0055722F"/>
    <w:rsid w:val="005604EC"/>
    <w:rsid w:val="00563EC0"/>
    <w:rsid w:val="0056471E"/>
    <w:rsid w:val="00565A3F"/>
    <w:rsid w:val="00567ECC"/>
    <w:rsid w:val="00570D4F"/>
    <w:rsid w:val="00571DBA"/>
    <w:rsid w:val="005737AB"/>
    <w:rsid w:val="00573F6F"/>
    <w:rsid w:val="005742FB"/>
    <w:rsid w:val="005775FC"/>
    <w:rsid w:val="00577F37"/>
    <w:rsid w:val="0058234E"/>
    <w:rsid w:val="005834E5"/>
    <w:rsid w:val="00583F5C"/>
    <w:rsid w:val="00587CBC"/>
    <w:rsid w:val="0059161D"/>
    <w:rsid w:val="00596FD6"/>
    <w:rsid w:val="005A0C45"/>
    <w:rsid w:val="005A1B14"/>
    <w:rsid w:val="005A2133"/>
    <w:rsid w:val="005A2D29"/>
    <w:rsid w:val="005A574B"/>
    <w:rsid w:val="005A5B5E"/>
    <w:rsid w:val="005A6628"/>
    <w:rsid w:val="005B4A4D"/>
    <w:rsid w:val="005B662D"/>
    <w:rsid w:val="005C024E"/>
    <w:rsid w:val="005C1759"/>
    <w:rsid w:val="005C5C1A"/>
    <w:rsid w:val="005C6DCA"/>
    <w:rsid w:val="005C7A35"/>
    <w:rsid w:val="005D0B84"/>
    <w:rsid w:val="005D5077"/>
    <w:rsid w:val="005D6DD5"/>
    <w:rsid w:val="005E4283"/>
    <w:rsid w:val="005E4ED6"/>
    <w:rsid w:val="005F093F"/>
    <w:rsid w:val="005F143D"/>
    <w:rsid w:val="005F3671"/>
    <w:rsid w:val="005F678F"/>
    <w:rsid w:val="005F7700"/>
    <w:rsid w:val="0060018E"/>
    <w:rsid w:val="00601B51"/>
    <w:rsid w:val="00601CA1"/>
    <w:rsid w:val="0060211F"/>
    <w:rsid w:val="006059B7"/>
    <w:rsid w:val="00611EDA"/>
    <w:rsid w:val="0061656A"/>
    <w:rsid w:val="006174FC"/>
    <w:rsid w:val="00617557"/>
    <w:rsid w:val="00620A99"/>
    <w:rsid w:val="006229D3"/>
    <w:rsid w:val="00624798"/>
    <w:rsid w:val="00624BC9"/>
    <w:rsid w:val="006255CC"/>
    <w:rsid w:val="00627E13"/>
    <w:rsid w:val="006304DD"/>
    <w:rsid w:val="00632801"/>
    <w:rsid w:val="0063289D"/>
    <w:rsid w:val="00632C4B"/>
    <w:rsid w:val="00634579"/>
    <w:rsid w:val="00634A87"/>
    <w:rsid w:val="00634CE5"/>
    <w:rsid w:val="00634F51"/>
    <w:rsid w:val="006361EB"/>
    <w:rsid w:val="00642359"/>
    <w:rsid w:val="00642593"/>
    <w:rsid w:val="00643619"/>
    <w:rsid w:val="00646B24"/>
    <w:rsid w:val="00653493"/>
    <w:rsid w:val="006559BD"/>
    <w:rsid w:val="00657816"/>
    <w:rsid w:val="00663873"/>
    <w:rsid w:val="00663A9E"/>
    <w:rsid w:val="00663E8F"/>
    <w:rsid w:val="00664556"/>
    <w:rsid w:val="00664576"/>
    <w:rsid w:val="00665C85"/>
    <w:rsid w:val="006669DF"/>
    <w:rsid w:val="00667EAE"/>
    <w:rsid w:val="006706E1"/>
    <w:rsid w:val="00670E81"/>
    <w:rsid w:val="006710E3"/>
    <w:rsid w:val="00674CE2"/>
    <w:rsid w:val="00675834"/>
    <w:rsid w:val="00675953"/>
    <w:rsid w:val="00677D94"/>
    <w:rsid w:val="00680BD1"/>
    <w:rsid w:val="006816FF"/>
    <w:rsid w:val="00682798"/>
    <w:rsid w:val="006836A7"/>
    <w:rsid w:val="006851CD"/>
    <w:rsid w:val="00694CC5"/>
    <w:rsid w:val="006A2C8F"/>
    <w:rsid w:val="006A617A"/>
    <w:rsid w:val="006A7B28"/>
    <w:rsid w:val="006B1024"/>
    <w:rsid w:val="006B274A"/>
    <w:rsid w:val="006B54A4"/>
    <w:rsid w:val="006B6879"/>
    <w:rsid w:val="006B6E4D"/>
    <w:rsid w:val="006B761A"/>
    <w:rsid w:val="006B7E2D"/>
    <w:rsid w:val="006C48D8"/>
    <w:rsid w:val="006C6D15"/>
    <w:rsid w:val="006D0E19"/>
    <w:rsid w:val="006D1775"/>
    <w:rsid w:val="006D339C"/>
    <w:rsid w:val="006D6408"/>
    <w:rsid w:val="006D793C"/>
    <w:rsid w:val="006E201A"/>
    <w:rsid w:val="006E42C1"/>
    <w:rsid w:val="006E5386"/>
    <w:rsid w:val="006E5807"/>
    <w:rsid w:val="006E6B3C"/>
    <w:rsid w:val="006F3297"/>
    <w:rsid w:val="006F3490"/>
    <w:rsid w:val="006F4AEF"/>
    <w:rsid w:val="006F61F7"/>
    <w:rsid w:val="00703848"/>
    <w:rsid w:val="00703E41"/>
    <w:rsid w:val="00704649"/>
    <w:rsid w:val="00705394"/>
    <w:rsid w:val="00706DB6"/>
    <w:rsid w:val="00710E63"/>
    <w:rsid w:val="0071156F"/>
    <w:rsid w:val="007116A1"/>
    <w:rsid w:val="00715854"/>
    <w:rsid w:val="00715E22"/>
    <w:rsid w:val="00717B95"/>
    <w:rsid w:val="007208CB"/>
    <w:rsid w:val="007217E9"/>
    <w:rsid w:val="00721E72"/>
    <w:rsid w:val="00724EB9"/>
    <w:rsid w:val="0073094D"/>
    <w:rsid w:val="007318E5"/>
    <w:rsid w:val="00733B4F"/>
    <w:rsid w:val="007341F2"/>
    <w:rsid w:val="00740886"/>
    <w:rsid w:val="007409E6"/>
    <w:rsid w:val="007437B7"/>
    <w:rsid w:val="00744AF9"/>
    <w:rsid w:val="00745C0A"/>
    <w:rsid w:val="007462DB"/>
    <w:rsid w:val="007513EE"/>
    <w:rsid w:val="0075269E"/>
    <w:rsid w:val="0075272B"/>
    <w:rsid w:val="00760D8C"/>
    <w:rsid w:val="0076239C"/>
    <w:rsid w:val="00764807"/>
    <w:rsid w:val="00770770"/>
    <w:rsid w:val="007719AF"/>
    <w:rsid w:val="00772782"/>
    <w:rsid w:val="00774023"/>
    <w:rsid w:val="00774D3A"/>
    <w:rsid w:val="0077770F"/>
    <w:rsid w:val="00777A61"/>
    <w:rsid w:val="00777E2B"/>
    <w:rsid w:val="00777E5B"/>
    <w:rsid w:val="0078048A"/>
    <w:rsid w:val="0078601A"/>
    <w:rsid w:val="00787EF5"/>
    <w:rsid w:val="00787F82"/>
    <w:rsid w:val="007936F0"/>
    <w:rsid w:val="00793F04"/>
    <w:rsid w:val="007948DF"/>
    <w:rsid w:val="007A0E53"/>
    <w:rsid w:val="007B320F"/>
    <w:rsid w:val="007B5F53"/>
    <w:rsid w:val="007B658C"/>
    <w:rsid w:val="007B6D47"/>
    <w:rsid w:val="007B7F70"/>
    <w:rsid w:val="007C2D1E"/>
    <w:rsid w:val="007C6ADC"/>
    <w:rsid w:val="007D0694"/>
    <w:rsid w:val="007D11E0"/>
    <w:rsid w:val="007D2E22"/>
    <w:rsid w:val="007D4901"/>
    <w:rsid w:val="007E08B1"/>
    <w:rsid w:val="007E23B6"/>
    <w:rsid w:val="007E3039"/>
    <w:rsid w:val="007E4100"/>
    <w:rsid w:val="007E4885"/>
    <w:rsid w:val="007E618F"/>
    <w:rsid w:val="007F1DFF"/>
    <w:rsid w:val="007F2BC1"/>
    <w:rsid w:val="007F2C22"/>
    <w:rsid w:val="007F3E3F"/>
    <w:rsid w:val="007F44E8"/>
    <w:rsid w:val="007F5C8F"/>
    <w:rsid w:val="007F64C2"/>
    <w:rsid w:val="007F6F9F"/>
    <w:rsid w:val="007F7668"/>
    <w:rsid w:val="007F772A"/>
    <w:rsid w:val="008003BA"/>
    <w:rsid w:val="008071D8"/>
    <w:rsid w:val="008108BF"/>
    <w:rsid w:val="00811531"/>
    <w:rsid w:val="008138DC"/>
    <w:rsid w:val="00814329"/>
    <w:rsid w:val="00814D23"/>
    <w:rsid w:val="00815183"/>
    <w:rsid w:val="008225D6"/>
    <w:rsid w:val="00823034"/>
    <w:rsid w:val="00824FE8"/>
    <w:rsid w:val="00827810"/>
    <w:rsid w:val="00830977"/>
    <w:rsid w:val="00831FD3"/>
    <w:rsid w:val="0083214D"/>
    <w:rsid w:val="00832248"/>
    <w:rsid w:val="00835FA5"/>
    <w:rsid w:val="00846042"/>
    <w:rsid w:val="0085032E"/>
    <w:rsid w:val="008518D2"/>
    <w:rsid w:val="00851903"/>
    <w:rsid w:val="008531BE"/>
    <w:rsid w:val="00853270"/>
    <w:rsid w:val="00853573"/>
    <w:rsid w:val="00853EA7"/>
    <w:rsid w:val="00854932"/>
    <w:rsid w:val="008553D3"/>
    <w:rsid w:val="008569E9"/>
    <w:rsid w:val="00863199"/>
    <w:rsid w:val="00863E98"/>
    <w:rsid w:val="0086466D"/>
    <w:rsid w:val="008658FA"/>
    <w:rsid w:val="0086758D"/>
    <w:rsid w:val="008703A4"/>
    <w:rsid w:val="00871814"/>
    <w:rsid w:val="00871B14"/>
    <w:rsid w:val="00871B67"/>
    <w:rsid w:val="008721CD"/>
    <w:rsid w:val="008727C2"/>
    <w:rsid w:val="00874AB7"/>
    <w:rsid w:val="008759E1"/>
    <w:rsid w:val="00877575"/>
    <w:rsid w:val="00880002"/>
    <w:rsid w:val="00880C12"/>
    <w:rsid w:val="00881FAF"/>
    <w:rsid w:val="0088469B"/>
    <w:rsid w:val="008846A0"/>
    <w:rsid w:val="008854D0"/>
    <w:rsid w:val="00890F87"/>
    <w:rsid w:val="00890FE0"/>
    <w:rsid w:val="00891B46"/>
    <w:rsid w:val="00892BE8"/>
    <w:rsid w:val="00893911"/>
    <w:rsid w:val="00894EE7"/>
    <w:rsid w:val="008953B2"/>
    <w:rsid w:val="008964D1"/>
    <w:rsid w:val="0089732E"/>
    <w:rsid w:val="00897A11"/>
    <w:rsid w:val="008A00EF"/>
    <w:rsid w:val="008A2BC5"/>
    <w:rsid w:val="008A38B8"/>
    <w:rsid w:val="008A46CE"/>
    <w:rsid w:val="008A483B"/>
    <w:rsid w:val="008B2892"/>
    <w:rsid w:val="008B3EB7"/>
    <w:rsid w:val="008B40FE"/>
    <w:rsid w:val="008B4F6F"/>
    <w:rsid w:val="008B627A"/>
    <w:rsid w:val="008C5437"/>
    <w:rsid w:val="008C5DAD"/>
    <w:rsid w:val="008C6B3F"/>
    <w:rsid w:val="008D5ADC"/>
    <w:rsid w:val="008D5F88"/>
    <w:rsid w:val="008D695E"/>
    <w:rsid w:val="008D7154"/>
    <w:rsid w:val="008E09CB"/>
    <w:rsid w:val="008E3211"/>
    <w:rsid w:val="008E57C3"/>
    <w:rsid w:val="008E6C75"/>
    <w:rsid w:val="008F1952"/>
    <w:rsid w:val="008F215A"/>
    <w:rsid w:val="008F5738"/>
    <w:rsid w:val="00900B18"/>
    <w:rsid w:val="009017F1"/>
    <w:rsid w:val="00905504"/>
    <w:rsid w:val="00906135"/>
    <w:rsid w:val="00906874"/>
    <w:rsid w:val="00906DC3"/>
    <w:rsid w:val="009117F5"/>
    <w:rsid w:val="00914694"/>
    <w:rsid w:val="009160BA"/>
    <w:rsid w:val="00916463"/>
    <w:rsid w:val="00916A5B"/>
    <w:rsid w:val="009176AD"/>
    <w:rsid w:val="00917A9F"/>
    <w:rsid w:val="00917CAA"/>
    <w:rsid w:val="009206A5"/>
    <w:rsid w:val="00921C40"/>
    <w:rsid w:val="00926789"/>
    <w:rsid w:val="009339EB"/>
    <w:rsid w:val="00934B43"/>
    <w:rsid w:val="00934C7A"/>
    <w:rsid w:val="00936D83"/>
    <w:rsid w:val="00941E3F"/>
    <w:rsid w:val="00947103"/>
    <w:rsid w:val="009472D6"/>
    <w:rsid w:val="009518E3"/>
    <w:rsid w:val="009521A5"/>
    <w:rsid w:val="00952EDE"/>
    <w:rsid w:val="00954B01"/>
    <w:rsid w:val="00955431"/>
    <w:rsid w:val="0096067B"/>
    <w:rsid w:val="009620E2"/>
    <w:rsid w:val="00965CA6"/>
    <w:rsid w:val="00971084"/>
    <w:rsid w:val="00973B0C"/>
    <w:rsid w:val="00984962"/>
    <w:rsid w:val="00985263"/>
    <w:rsid w:val="00985509"/>
    <w:rsid w:val="0099106C"/>
    <w:rsid w:val="009940DF"/>
    <w:rsid w:val="0099429A"/>
    <w:rsid w:val="00994B3A"/>
    <w:rsid w:val="00995EE1"/>
    <w:rsid w:val="00996A8C"/>
    <w:rsid w:val="00997EF6"/>
    <w:rsid w:val="009A2B44"/>
    <w:rsid w:val="009A3EE0"/>
    <w:rsid w:val="009A4407"/>
    <w:rsid w:val="009A50B5"/>
    <w:rsid w:val="009B1B9C"/>
    <w:rsid w:val="009B35A5"/>
    <w:rsid w:val="009B3A96"/>
    <w:rsid w:val="009B4EF9"/>
    <w:rsid w:val="009B643B"/>
    <w:rsid w:val="009B78C1"/>
    <w:rsid w:val="009B7BAA"/>
    <w:rsid w:val="009C28C5"/>
    <w:rsid w:val="009D0943"/>
    <w:rsid w:val="009D0ADF"/>
    <w:rsid w:val="009D4186"/>
    <w:rsid w:val="009D51B2"/>
    <w:rsid w:val="009D6DAF"/>
    <w:rsid w:val="009D6E85"/>
    <w:rsid w:val="009E1333"/>
    <w:rsid w:val="009E24C1"/>
    <w:rsid w:val="009E3012"/>
    <w:rsid w:val="009E35C7"/>
    <w:rsid w:val="009E590E"/>
    <w:rsid w:val="009F0BCF"/>
    <w:rsid w:val="009F14E1"/>
    <w:rsid w:val="009F3DFD"/>
    <w:rsid w:val="009F47A9"/>
    <w:rsid w:val="009F58C3"/>
    <w:rsid w:val="00A03869"/>
    <w:rsid w:val="00A067E0"/>
    <w:rsid w:val="00A069E3"/>
    <w:rsid w:val="00A10232"/>
    <w:rsid w:val="00A130F9"/>
    <w:rsid w:val="00A1369A"/>
    <w:rsid w:val="00A14334"/>
    <w:rsid w:val="00A14EE9"/>
    <w:rsid w:val="00A1538F"/>
    <w:rsid w:val="00A16185"/>
    <w:rsid w:val="00A16211"/>
    <w:rsid w:val="00A16C71"/>
    <w:rsid w:val="00A17404"/>
    <w:rsid w:val="00A260A9"/>
    <w:rsid w:val="00A264A4"/>
    <w:rsid w:val="00A26A57"/>
    <w:rsid w:val="00A27419"/>
    <w:rsid w:val="00A3099D"/>
    <w:rsid w:val="00A310C2"/>
    <w:rsid w:val="00A40702"/>
    <w:rsid w:val="00A40D8A"/>
    <w:rsid w:val="00A41156"/>
    <w:rsid w:val="00A41971"/>
    <w:rsid w:val="00A41BE9"/>
    <w:rsid w:val="00A422B2"/>
    <w:rsid w:val="00A43CE4"/>
    <w:rsid w:val="00A45A67"/>
    <w:rsid w:val="00A47BE9"/>
    <w:rsid w:val="00A526A8"/>
    <w:rsid w:val="00A532DE"/>
    <w:rsid w:val="00A57AC6"/>
    <w:rsid w:val="00A6490C"/>
    <w:rsid w:val="00A64C21"/>
    <w:rsid w:val="00A654DE"/>
    <w:rsid w:val="00A65771"/>
    <w:rsid w:val="00A65FD6"/>
    <w:rsid w:val="00A7127B"/>
    <w:rsid w:val="00A72D0C"/>
    <w:rsid w:val="00A73791"/>
    <w:rsid w:val="00A7389B"/>
    <w:rsid w:val="00A7718A"/>
    <w:rsid w:val="00A77B8B"/>
    <w:rsid w:val="00A80737"/>
    <w:rsid w:val="00A81B2D"/>
    <w:rsid w:val="00A82271"/>
    <w:rsid w:val="00A82BE9"/>
    <w:rsid w:val="00A8453D"/>
    <w:rsid w:val="00A86391"/>
    <w:rsid w:val="00A87825"/>
    <w:rsid w:val="00A904AD"/>
    <w:rsid w:val="00A90C2F"/>
    <w:rsid w:val="00A91292"/>
    <w:rsid w:val="00A931B0"/>
    <w:rsid w:val="00A977B9"/>
    <w:rsid w:val="00AA0121"/>
    <w:rsid w:val="00AA0DC3"/>
    <w:rsid w:val="00AA3D59"/>
    <w:rsid w:val="00AA50B6"/>
    <w:rsid w:val="00AA5911"/>
    <w:rsid w:val="00AA63E6"/>
    <w:rsid w:val="00AA6884"/>
    <w:rsid w:val="00AB1F4A"/>
    <w:rsid w:val="00AB55E3"/>
    <w:rsid w:val="00AB634E"/>
    <w:rsid w:val="00AB6CB7"/>
    <w:rsid w:val="00AC5AA4"/>
    <w:rsid w:val="00AD068E"/>
    <w:rsid w:val="00AD26FA"/>
    <w:rsid w:val="00AD3C52"/>
    <w:rsid w:val="00AD5E5D"/>
    <w:rsid w:val="00AD73B7"/>
    <w:rsid w:val="00AD76EB"/>
    <w:rsid w:val="00AE0984"/>
    <w:rsid w:val="00AE0A5D"/>
    <w:rsid w:val="00AE39AA"/>
    <w:rsid w:val="00AE3F44"/>
    <w:rsid w:val="00AE6BA5"/>
    <w:rsid w:val="00AF289B"/>
    <w:rsid w:val="00AF73A9"/>
    <w:rsid w:val="00AF7CB1"/>
    <w:rsid w:val="00B003D8"/>
    <w:rsid w:val="00B00FB2"/>
    <w:rsid w:val="00B054D5"/>
    <w:rsid w:val="00B05B9E"/>
    <w:rsid w:val="00B1035F"/>
    <w:rsid w:val="00B10A76"/>
    <w:rsid w:val="00B10B69"/>
    <w:rsid w:val="00B117B8"/>
    <w:rsid w:val="00B129A6"/>
    <w:rsid w:val="00B12A16"/>
    <w:rsid w:val="00B13553"/>
    <w:rsid w:val="00B1423F"/>
    <w:rsid w:val="00B15A6D"/>
    <w:rsid w:val="00B15BA1"/>
    <w:rsid w:val="00B167E6"/>
    <w:rsid w:val="00B16866"/>
    <w:rsid w:val="00B17154"/>
    <w:rsid w:val="00B17295"/>
    <w:rsid w:val="00B2077F"/>
    <w:rsid w:val="00B239CB"/>
    <w:rsid w:val="00B23A29"/>
    <w:rsid w:val="00B2735B"/>
    <w:rsid w:val="00B3092B"/>
    <w:rsid w:val="00B33D00"/>
    <w:rsid w:val="00B34499"/>
    <w:rsid w:val="00B42818"/>
    <w:rsid w:val="00B4438A"/>
    <w:rsid w:val="00B450A5"/>
    <w:rsid w:val="00B46C9A"/>
    <w:rsid w:val="00B47CC3"/>
    <w:rsid w:val="00B5032F"/>
    <w:rsid w:val="00B52CB9"/>
    <w:rsid w:val="00B53980"/>
    <w:rsid w:val="00B57F30"/>
    <w:rsid w:val="00B62919"/>
    <w:rsid w:val="00B631C2"/>
    <w:rsid w:val="00B63498"/>
    <w:rsid w:val="00B6542E"/>
    <w:rsid w:val="00B65C77"/>
    <w:rsid w:val="00B6671C"/>
    <w:rsid w:val="00B711F9"/>
    <w:rsid w:val="00B72BE2"/>
    <w:rsid w:val="00B73E09"/>
    <w:rsid w:val="00B750D7"/>
    <w:rsid w:val="00B75B56"/>
    <w:rsid w:val="00B75C78"/>
    <w:rsid w:val="00B77058"/>
    <w:rsid w:val="00B773DF"/>
    <w:rsid w:val="00B80367"/>
    <w:rsid w:val="00B803D4"/>
    <w:rsid w:val="00B81456"/>
    <w:rsid w:val="00B8463A"/>
    <w:rsid w:val="00B8485C"/>
    <w:rsid w:val="00B851BA"/>
    <w:rsid w:val="00B95AB7"/>
    <w:rsid w:val="00B96607"/>
    <w:rsid w:val="00B969CA"/>
    <w:rsid w:val="00BA25C0"/>
    <w:rsid w:val="00BA53A6"/>
    <w:rsid w:val="00BA5DF0"/>
    <w:rsid w:val="00BA6771"/>
    <w:rsid w:val="00BB042D"/>
    <w:rsid w:val="00BB183B"/>
    <w:rsid w:val="00BB1C48"/>
    <w:rsid w:val="00BB33F3"/>
    <w:rsid w:val="00BB41EE"/>
    <w:rsid w:val="00BB4633"/>
    <w:rsid w:val="00BB4694"/>
    <w:rsid w:val="00BB4C61"/>
    <w:rsid w:val="00BB505B"/>
    <w:rsid w:val="00BB7ABD"/>
    <w:rsid w:val="00BB7AEE"/>
    <w:rsid w:val="00BC11AC"/>
    <w:rsid w:val="00BC68E8"/>
    <w:rsid w:val="00BD08FB"/>
    <w:rsid w:val="00BD2703"/>
    <w:rsid w:val="00BD2D86"/>
    <w:rsid w:val="00BD7452"/>
    <w:rsid w:val="00BE0A6E"/>
    <w:rsid w:val="00BE0E09"/>
    <w:rsid w:val="00BE2107"/>
    <w:rsid w:val="00BF06AB"/>
    <w:rsid w:val="00BF18BB"/>
    <w:rsid w:val="00BF22FF"/>
    <w:rsid w:val="00BF2C2E"/>
    <w:rsid w:val="00BF3890"/>
    <w:rsid w:val="00BF3958"/>
    <w:rsid w:val="00BF55C8"/>
    <w:rsid w:val="00BF72F7"/>
    <w:rsid w:val="00C06135"/>
    <w:rsid w:val="00C063FE"/>
    <w:rsid w:val="00C06C7A"/>
    <w:rsid w:val="00C0767A"/>
    <w:rsid w:val="00C07F6A"/>
    <w:rsid w:val="00C1204D"/>
    <w:rsid w:val="00C1346D"/>
    <w:rsid w:val="00C14C18"/>
    <w:rsid w:val="00C17EDC"/>
    <w:rsid w:val="00C20D75"/>
    <w:rsid w:val="00C21432"/>
    <w:rsid w:val="00C23957"/>
    <w:rsid w:val="00C24123"/>
    <w:rsid w:val="00C24960"/>
    <w:rsid w:val="00C25BF6"/>
    <w:rsid w:val="00C2658A"/>
    <w:rsid w:val="00C271E8"/>
    <w:rsid w:val="00C32183"/>
    <w:rsid w:val="00C33112"/>
    <w:rsid w:val="00C340E0"/>
    <w:rsid w:val="00C348F5"/>
    <w:rsid w:val="00C35725"/>
    <w:rsid w:val="00C35EF7"/>
    <w:rsid w:val="00C51311"/>
    <w:rsid w:val="00C54D01"/>
    <w:rsid w:val="00C55A1C"/>
    <w:rsid w:val="00C61E7C"/>
    <w:rsid w:val="00C62848"/>
    <w:rsid w:val="00C62DEC"/>
    <w:rsid w:val="00C667F4"/>
    <w:rsid w:val="00C67867"/>
    <w:rsid w:val="00C70BF8"/>
    <w:rsid w:val="00C7203E"/>
    <w:rsid w:val="00C7512C"/>
    <w:rsid w:val="00C80D71"/>
    <w:rsid w:val="00C812F0"/>
    <w:rsid w:val="00C81F2F"/>
    <w:rsid w:val="00C829D3"/>
    <w:rsid w:val="00C82ADB"/>
    <w:rsid w:val="00C837BB"/>
    <w:rsid w:val="00C838A2"/>
    <w:rsid w:val="00C87B57"/>
    <w:rsid w:val="00C90BA2"/>
    <w:rsid w:val="00C9159D"/>
    <w:rsid w:val="00C91844"/>
    <w:rsid w:val="00C91C9A"/>
    <w:rsid w:val="00C93309"/>
    <w:rsid w:val="00C93F37"/>
    <w:rsid w:val="00C942E7"/>
    <w:rsid w:val="00C94404"/>
    <w:rsid w:val="00CA0354"/>
    <w:rsid w:val="00CA23BD"/>
    <w:rsid w:val="00CA7489"/>
    <w:rsid w:val="00CA7B50"/>
    <w:rsid w:val="00CB04DA"/>
    <w:rsid w:val="00CB1A15"/>
    <w:rsid w:val="00CB1F70"/>
    <w:rsid w:val="00CB32A5"/>
    <w:rsid w:val="00CB5C42"/>
    <w:rsid w:val="00CC0FFE"/>
    <w:rsid w:val="00CC5D3E"/>
    <w:rsid w:val="00CD0AA1"/>
    <w:rsid w:val="00CD1E60"/>
    <w:rsid w:val="00CD2145"/>
    <w:rsid w:val="00CD51AB"/>
    <w:rsid w:val="00CD6B5A"/>
    <w:rsid w:val="00CD762A"/>
    <w:rsid w:val="00CE0989"/>
    <w:rsid w:val="00CE1D0F"/>
    <w:rsid w:val="00CE257A"/>
    <w:rsid w:val="00CE5088"/>
    <w:rsid w:val="00CE56FD"/>
    <w:rsid w:val="00CF1534"/>
    <w:rsid w:val="00CF39E3"/>
    <w:rsid w:val="00CF3A2F"/>
    <w:rsid w:val="00CF42A1"/>
    <w:rsid w:val="00CF7B44"/>
    <w:rsid w:val="00D0138E"/>
    <w:rsid w:val="00D0503E"/>
    <w:rsid w:val="00D06248"/>
    <w:rsid w:val="00D10DC8"/>
    <w:rsid w:val="00D12211"/>
    <w:rsid w:val="00D17798"/>
    <w:rsid w:val="00D2130D"/>
    <w:rsid w:val="00D213FD"/>
    <w:rsid w:val="00D23A46"/>
    <w:rsid w:val="00D2618F"/>
    <w:rsid w:val="00D27FE3"/>
    <w:rsid w:val="00D308A7"/>
    <w:rsid w:val="00D3173A"/>
    <w:rsid w:val="00D32706"/>
    <w:rsid w:val="00D37F8C"/>
    <w:rsid w:val="00D41F5E"/>
    <w:rsid w:val="00D42D03"/>
    <w:rsid w:val="00D42F61"/>
    <w:rsid w:val="00D4730F"/>
    <w:rsid w:val="00D5480E"/>
    <w:rsid w:val="00D57707"/>
    <w:rsid w:val="00D60AC6"/>
    <w:rsid w:val="00D64019"/>
    <w:rsid w:val="00D645E4"/>
    <w:rsid w:val="00D64A71"/>
    <w:rsid w:val="00D65C59"/>
    <w:rsid w:val="00D65D30"/>
    <w:rsid w:val="00D670D3"/>
    <w:rsid w:val="00D6710F"/>
    <w:rsid w:val="00D67FC3"/>
    <w:rsid w:val="00D72DDA"/>
    <w:rsid w:val="00D77649"/>
    <w:rsid w:val="00D80571"/>
    <w:rsid w:val="00D81DFA"/>
    <w:rsid w:val="00D83A35"/>
    <w:rsid w:val="00D857FF"/>
    <w:rsid w:val="00D8779B"/>
    <w:rsid w:val="00D91E8C"/>
    <w:rsid w:val="00D95C62"/>
    <w:rsid w:val="00D96925"/>
    <w:rsid w:val="00DA1597"/>
    <w:rsid w:val="00DA495F"/>
    <w:rsid w:val="00DA4C96"/>
    <w:rsid w:val="00DB29FF"/>
    <w:rsid w:val="00DB3269"/>
    <w:rsid w:val="00DB3B14"/>
    <w:rsid w:val="00DB419D"/>
    <w:rsid w:val="00DB48F9"/>
    <w:rsid w:val="00DB4965"/>
    <w:rsid w:val="00DB6ECA"/>
    <w:rsid w:val="00DC4963"/>
    <w:rsid w:val="00DC50FC"/>
    <w:rsid w:val="00DC740E"/>
    <w:rsid w:val="00DC7A93"/>
    <w:rsid w:val="00DC7EB3"/>
    <w:rsid w:val="00DD658D"/>
    <w:rsid w:val="00DD69B0"/>
    <w:rsid w:val="00DE33CC"/>
    <w:rsid w:val="00DE3A51"/>
    <w:rsid w:val="00DE5C10"/>
    <w:rsid w:val="00DE62AE"/>
    <w:rsid w:val="00DF0DB9"/>
    <w:rsid w:val="00DF1375"/>
    <w:rsid w:val="00DF50A1"/>
    <w:rsid w:val="00E02EE3"/>
    <w:rsid w:val="00E04EB1"/>
    <w:rsid w:val="00E059ED"/>
    <w:rsid w:val="00E06AF8"/>
    <w:rsid w:val="00E10539"/>
    <w:rsid w:val="00E14C28"/>
    <w:rsid w:val="00E154A7"/>
    <w:rsid w:val="00E16456"/>
    <w:rsid w:val="00E20728"/>
    <w:rsid w:val="00E2184C"/>
    <w:rsid w:val="00E23502"/>
    <w:rsid w:val="00E2611D"/>
    <w:rsid w:val="00E26326"/>
    <w:rsid w:val="00E35080"/>
    <w:rsid w:val="00E37A99"/>
    <w:rsid w:val="00E41088"/>
    <w:rsid w:val="00E44273"/>
    <w:rsid w:val="00E45424"/>
    <w:rsid w:val="00E45FEC"/>
    <w:rsid w:val="00E470F2"/>
    <w:rsid w:val="00E51E67"/>
    <w:rsid w:val="00E52D0D"/>
    <w:rsid w:val="00E53496"/>
    <w:rsid w:val="00E61E31"/>
    <w:rsid w:val="00E66248"/>
    <w:rsid w:val="00E67DD2"/>
    <w:rsid w:val="00E70FE8"/>
    <w:rsid w:val="00E73633"/>
    <w:rsid w:val="00E80466"/>
    <w:rsid w:val="00E81BB9"/>
    <w:rsid w:val="00E827D9"/>
    <w:rsid w:val="00E9043F"/>
    <w:rsid w:val="00E929B4"/>
    <w:rsid w:val="00E9362F"/>
    <w:rsid w:val="00E95D60"/>
    <w:rsid w:val="00E96908"/>
    <w:rsid w:val="00E96FD5"/>
    <w:rsid w:val="00EA024C"/>
    <w:rsid w:val="00EA2837"/>
    <w:rsid w:val="00EA313C"/>
    <w:rsid w:val="00EA7AF2"/>
    <w:rsid w:val="00EB2093"/>
    <w:rsid w:val="00EB360C"/>
    <w:rsid w:val="00EB61D3"/>
    <w:rsid w:val="00EB7F13"/>
    <w:rsid w:val="00EC1809"/>
    <w:rsid w:val="00EC1FCD"/>
    <w:rsid w:val="00EC36FE"/>
    <w:rsid w:val="00EC676E"/>
    <w:rsid w:val="00EC7614"/>
    <w:rsid w:val="00ED205E"/>
    <w:rsid w:val="00ED3879"/>
    <w:rsid w:val="00ED5D40"/>
    <w:rsid w:val="00EE24A4"/>
    <w:rsid w:val="00EE271C"/>
    <w:rsid w:val="00EE6A2D"/>
    <w:rsid w:val="00EE6F9D"/>
    <w:rsid w:val="00EE74D4"/>
    <w:rsid w:val="00EE7E34"/>
    <w:rsid w:val="00EF16AE"/>
    <w:rsid w:val="00EF3874"/>
    <w:rsid w:val="00EF5156"/>
    <w:rsid w:val="00EF5D0B"/>
    <w:rsid w:val="00F00BA6"/>
    <w:rsid w:val="00F02B83"/>
    <w:rsid w:val="00F02D01"/>
    <w:rsid w:val="00F108B5"/>
    <w:rsid w:val="00F14098"/>
    <w:rsid w:val="00F1460B"/>
    <w:rsid w:val="00F15746"/>
    <w:rsid w:val="00F20E3C"/>
    <w:rsid w:val="00F20E87"/>
    <w:rsid w:val="00F2592F"/>
    <w:rsid w:val="00F30DBD"/>
    <w:rsid w:val="00F33A3E"/>
    <w:rsid w:val="00F40101"/>
    <w:rsid w:val="00F406FB"/>
    <w:rsid w:val="00F40D32"/>
    <w:rsid w:val="00F4107D"/>
    <w:rsid w:val="00F41FAB"/>
    <w:rsid w:val="00F43B7F"/>
    <w:rsid w:val="00F43C34"/>
    <w:rsid w:val="00F44982"/>
    <w:rsid w:val="00F44B99"/>
    <w:rsid w:val="00F45954"/>
    <w:rsid w:val="00F50E73"/>
    <w:rsid w:val="00F53A01"/>
    <w:rsid w:val="00F53D1B"/>
    <w:rsid w:val="00F55953"/>
    <w:rsid w:val="00F56DB8"/>
    <w:rsid w:val="00F57909"/>
    <w:rsid w:val="00F6201F"/>
    <w:rsid w:val="00F63E0A"/>
    <w:rsid w:val="00F65134"/>
    <w:rsid w:val="00F66A14"/>
    <w:rsid w:val="00F66FBE"/>
    <w:rsid w:val="00F67B6B"/>
    <w:rsid w:val="00F7063B"/>
    <w:rsid w:val="00F71C13"/>
    <w:rsid w:val="00F72345"/>
    <w:rsid w:val="00F726F3"/>
    <w:rsid w:val="00F737D7"/>
    <w:rsid w:val="00F74596"/>
    <w:rsid w:val="00F750FE"/>
    <w:rsid w:val="00F817EC"/>
    <w:rsid w:val="00F8278E"/>
    <w:rsid w:val="00F839F7"/>
    <w:rsid w:val="00F85B1D"/>
    <w:rsid w:val="00F86FF8"/>
    <w:rsid w:val="00F917E9"/>
    <w:rsid w:val="00F92340"/>
    <w:rsid w:val="00F9389F"/>
    <w:rsid w:val="00F94337"/>
    <w:rsid w:val="00F94740"/>
    <w:rsid w:val="00F96F6F"/>
    <w:rsid w:val="00FA2985"/>
    <w:rsid w:val="00FA2AE9"/>
    <w:rsid w:val="00FA2C62"/>
    <w:rsid w:val="00FA7708"/>
    <w:rsid w:val="00FB3FD5"/>
    <w:rsid w:val="00FB4AA0"/>
    <w:rsid w:val="00FB5F37"/>
    <w:rsid w:val="00FB670D"/>
    <w:rsid w:val="00FB7635"/>
    <w:rsid w:val="00FC01FC"/>
    <w:rsid w:val="00FC2469"/>
    <w:rsid w:val="00FC301F"/>
    <w:rsid w:val="00FC36CF"/>
    <w:rsid w:val="00FC7927"/>
    <w:rsid w:val="00FC799D"/>
    <w:rsid w:val="00FD1524"/>
    <w:rsid w:val="00FD20AA"/>
    <w:rsid w:val="00FD31DD"/>
    <w:rsid w:val="00FD64DB"/>
    <w:rsid w:val="00FE0695"/>
    <w:rsid w:val="00FE26C3"/>
    <w:rsid w:val="00FE2C02"/>
    <w:rsid w:val="00FE2E14"/>
    <w:rsid w:val="00FF3788"/>
    <w:rsid w:val="00FF4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67E6B0"/>
  <w15:chartTrackingRefBased/>
  <w15:docId w15:val="{9FBC278C-7C97-4EDF-9400-4DE625EB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FC1"/>
    <w:pPr>
      <w:spacing w:after="200" w:line="276" w:lineRule="auto"/>
    </w:pPr>
    <w:rPr>
      <w:rFonts w:ascii="Arial" w:hAnsi="Arial" w:cs="Arial"/>
      <w:sz w:val="24"/>
      <w:szCs w:val="24"/>
      <w:u w:val="single"/>
      <w:lang w:eastAsia="en-US"/>
    </w:rPr>
  </w:style>
  <w:style w:type="paragraph" w:styleId="Heading2">
    <w:name w:val="heading 2"/>
    <w:basedOn w:val="Normal"/>
    <w:next w:val="Normal"/>
    <w:link w:val="Heading2Char"/>
    <w:uiPriority w:val="99"/>
    <w:qFormat/>
    <w:rsid w:val="00B773DF"/>
    <w:pPr>
      <w:keepNext/>
      <w:spacing w:after="0" w:line="240" w:lineRule="auto"/>
      <w:jc w:val="both"/>
      <w:outlineLvl w:val="1"/>
    </w:pPr>
    <w:rPr>
      <w:b/>
      <w:bCs/>
      <w:sz w:val="20"/>
      <w:szCs w:val="20"/>
      <w:u w:val="non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B773DF"/>
    <w:rPr>
      <w:rFonts w:ascii="Arial" w:hAnsi="Arial" w:cs="Arial"/>
      <w:b/>
      <w:bCs/>
      <w:sz w:val="20"/>
      <w:szCs w:val="20"/>
      <w:lang w:eastAsia="en-GB"/>
    </w:rPr>
  </w:style>
  <w:style w:type="paragraph" w:styleId="ListParagraph">
    <w:name w:val="List Paragraph"/>
    <w:basedOn w:val="Normal"/>
    <w:qFormat/>
    <w:rsid w:val="00573F6F"/>
    <w:pPr>
      <w:ind w:left="720"/>
    </w:pPr>
  </w:style>
  <w:style w:type="paragraph" w:styleId="NoSpacing">
    <w:name w:val="No Spacing"/>
    <w:uiPriority w:val="99"/>
    <w:qFormat/>
    <w:rsid w:val="00573F6F"/>
    <w:rPr>
      <w:rFonts w:cs="Calibri"/>
      <w:sz w:val="22"/>
      <w:szCs w:val="22"/>
      <w:lang w:eastAsia="en-US"/>
    </w:rPr>
  </w:style>
  <w:style w:type="paragraph" w:styleId="Header">
    <w:name w:val="header"/>
    <w:basedOn w:val="Normal"/>
    <w:link w:val="HeaderChar"/>
    <w:uiPriority w:val="99"/>
    <w:rsid w:val="00F66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FBE"/>
  </w:style>
  <w:style w:type="paragraph" w:styleId="Footer">
    <w:name w:val="footer"/>
    <w:basedOn w:val="Normal"/>
    <w:link w:val="FooterChar"/>
    <w:uiPriority w:val="99"/>
    <w:rsid w:val="00F66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FBE"/>
  </w:style>
  <w:style w:type="character" w:styleId="Hyperlink">
    <w:name w:val="Hyperlink"/>
    <w:rsid w:val="00EB360C"/>
    <w:rPr>
      <w:color w:val="0000FF"/>
      <w:u w:val="single"/>
    </w:rPr>
  </w:style>
  <w:style w:type="character" w:styleId="CommentReference">
    <w:name w:val="annotation reference"/>
    <w:uiPriority w:val="99"/>
    <w:semiHidden/>
    <w:rsid w:val="00EB360C"/>
    <w:rPr>
      <w:sz w:val="16"/>
      <w:szCs w:val="16"/>
    </w:rPr>
  </w:style>
  <w:style w:type="paragraph" w:styleId="CommentText">
    <w:name w:val="annotation text"/>
    <w:basedOn w:val="Normal"/>
    <w:link w:val="CommentTextChar"/>
    <w:uiPriority w:val="99"/>
    <w:semiHidden/>
    <w:rsid w:val="00EB360C"/>
    <w:pPr>
      <w:spacing w:after="0" w:line="240" w:lineRule="auto"/>
    </w:pPr>
    <w:rPr>
      <w:sz w:val="20"/>
      <w:szCs w:val="20"/>
      <w:u w:val="none"/>
      <w:lang w:eastAsia="en-GB"/>
    </w:rPr>
  </w:style>
  <w:style w:type="character" w:customStyle="1" w:styleId="CommentTextChar">
    <w:name w:val="Comment Text Char"/>
    <w:link w:val="CommentText"/>
    <w:uiPriority w:val="99"/>
    <w:semiHidden/>
    <w:rsid w:val="00EB360C"/>
    <w:rPr>
      <w:rFonts w:ascii="Times New Roman" w:hAnsi="Times New Roman" w:cs="Times New Roman"/>
      <w:sz w:val="20"/>
      <w:szCs w:val="20"/>
    </w:rPr>
  </w:style>
  <w:style w:type="paragraph" w:styleId="BalloonText">
    <w:name w:val="Balloon Text"/>
    <w:basedOn w:val="Normal"/>
    <w:link w:val="BalloonTextChar"/>
    <w:uiPriority w:val="99"/>
    <w:rsid w:val="00EB360C"/>
    <w:pPr>
      <w:spacing w:after="0" w:line="240" w:lineRule="auto"/>
    </w:pPr>
    <w:rPr>
      <w:rFonts w:ascii="Tahoma" w:hAnsi="Tahoma" w:cs="Tahoma"/>
      <w:sz w:val="16"/>
      <w:szCs w:val="16"/>
      <w:u w:val="none"/>
      <w:lang w:eastAsia="en-GB"/>
    </w:rPr>
  </w:style>
  <w:style w:type="character" w:customStyle="1" w:styleId="BalloonTextChar">
    <w:name w:val="Balloon Text Char"/>
    <w:link w:val="BalloonText"/>
    <w:uiPriority w:val="99"/>
    <w:rsid w:val="00EB360C"/>
    <w:rPr>
      <w:rFonts w:ascii="Tahoma" w:hAnsi="Tahoma" w:cs="Tahoma"/>
      <w:sz w:val="16"/>
      <w:szCs w:val="16"/>
    </w:rPr>
  </w:style>
  <w:style w:type="character" w:styleId="PageNumber">
    <w:name w:val="page number"/>
    <w:basedOn w:val="DefaultParagraphFont"/>
    <w:uiPriority w:val="99"/>
    <w:rsid w:val="00EB360C"/>
  </w:style>
  <w:style w:type="paragraph" w:styleId="NormalWeb">
    <w:name w:val="Normal (Web)"/>
    <w:basedOn w:val="Normal"/>
    <w:rsid w:val="00B53980"/>
    <w:pPr>
      <w:spacing w:before="100" w:beforeAutospacing="1" w:after="100" w:afterAutospacing="1" w:line="240" w:lineRule="auto"/>
    </w:pPr>
    <w:rPr>
      <w:rFonts w:ascii="Times New Roman" w:eastAsia="Times New Roman" w:hAnsi="Times New Roman" w:cs="Times New Roman"/>
      <w:lang w:eastAsia="en-GB"/>
    </w:rPr>
  </w:style>
  <w:style w:type="character" w:styleId="FootnoteReference">
    <w:name w:val="footnote reference"/>
    <w:uiPriority w:val="99"/>
    <w:semiHidden/>
    <w:rsid w:val="00ED5D40"/>
    <w:rPr>
      <w:vertAlign w:val="superscript"/>
    </w:rPr>
  </w:style>
  <w:style w:type="paragraph" w:customStyle="1" w:styleId="Default">
    <w:name w:val="Default"/>
    <w:rsid w:val="009A4407"/>
    <w:pPr>
      <w:autoSpaceDE w:val="0"/>
      <w:autoSpaceDN w:val="0"/>
      <w:adjustRightInd w:val="0"/>
    </w:pPr>
    <w:rPr>
      <w:rFonts w:ascii="Arial" w:hAnsi="Arial" w:cs="Arial"/>
      <w:color w:val="000000"/>
      <w:sz w:val="24"/>
      <w:szCs w:val="24"/>
      <w:lang w:eastAsia="en-US"/>
    </w:rPr>
  </w:style>
  <w:style w:type="numbering" w:customStyle="1" w:styleId="NoList1">
    <w:name w:val="No List1"/>
    <w:next w:val="NoList"/>
    <w:uiPriority w:val="99"/>
    <w:semiHidden/>
    <w:unhideWhenUsed/>
    <w:rsid w:val="009D6E85"/>
  </w:style>
  <w:style w:type="table" w:styleId="TableGrid">
    <w:name w:val="Table Grid"/>
    <w:basedOn w:val="TableNormal"/>
    <w:rsid w:val="009D6E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rsid w:val="009D6E85"/>
    <w:rPr>
      <w:i/>
      <w:iCs/>
    </w:rPr>
  </w:style>
  <w:style w:type="character" w:customStyle="1" w:styleId="odataformanswer">
    <w:name w:val="odataformanswer"/>
    <w:rsid w:val="009D6E85"/>
  </w:style>
  <w:style w:type="paragraph" w:customStyle="1" w:styleId="CharCharCharCharChar">
    <w:name w:val="Char Char Char Char Char"/>
    <w:basedOn w:val="Normal"/>
    <w:rsid w:val="009D6E85"/>
    <w:pPr>
      <w:keepLines/>
      <w:spacing w:after="300" w:line="240" w:lineRule="atLeast"/>
    </w:pPr>
    <w:rPr>
      <w:rFonts w:eastAsia="Times New Roman" w:cs="Times New Roman"/>
      <w:u w:val="none"/>
      <w:lang w:val="en-US"/>
    </w:rPr>
  </w:style>
  <w:style w:type="numbering" w:customStyle="1" w:styleId="NoList11">
    <w:name w:val="No List11"/>
    <w:next w:val="NoList"/>
    <w:uiPriority w:val="99"/>
    <w:semiHidden/>
    <w:unhideWhenUsed/>
    <w:rsid w:val="009D6E85"/>
  </w:style>
  <w:style w:type="paragraph" w:customStyle="1" w:styleId="Header1">
    <w:name w:val="Header 1"/>
    <w:basedOn w:val="Normal"/>
    <w:rsid w:val="009D6E85"/>
    <w:pPr>
      <w:tabs>
        <w:tab w:val="num" w:pos="360"/>
      </w:tabs>
      <w:spacing w:before="480" w:after="240" w:line="240" w:lineRule="auto"/>
      <w:ind w:left="360" w:hanging="360"/>
    </w:pPr>
    <w:rPr>
      <w:rFonts w:ascii="Century Gothic" w:eastAsia="Times New Roman" w:hAnsi="Century Gothic" w:cs="Times New Roman"/>
      <w:b/>
      <w:szCs w:val="20"/>
      <w:u w:val="none"/>
      <w:lang w:eastAsia="en-GB"/>
    </w:rPr>
  </w:style>
  <w:style w:type="paragraph" w:customStyle="1" w:styleId="Header2">
    <w:name w:val="Header 2"/>
    <w:basedOn w:val="Header1"/>
    <w:rsid w:val="009D6E85"/>
    <w:pPr>
      <w:tabs>
        <w:tab w:val="clear" w:pos="360"/>
        <w:tab w:val="num" w:pos="1080"/>
      </w:tabs>
      <w:ind w:left="792" w:hanging="432"/>
    </w:pPr>
    <w:rPr>
      <w:b w:val="0"/>
    </w:rPr>
  </w:style>
  <w:style w:type="paragraph" w:customStyle="1" w:styleId="Header3">
    <w:name w:val="Header 3"/>
    <w:basedOn w:val="Header1"/>
    <w:rsid w:val="009D6E85"/>
    <w:pPr>
      <w:tabs>
        <w:tab w:val="clear" w:pos="360"/>
        <w:tab w:val="num" w:pos="1440"/>
      </w:tabs>
      <w:ind w:left="1224" w:hanging="504"/>
    </w:pPr>
    <w:rPr>
      <w:b w:val="0"/>
    </w:rPr>
  </w:style>
  <w:style w:type="table" w:customStyle="1" w:styleId="TableGrid1">
    <w:name w:val="Table Grid1"/>
    <w:basedOn w:val="TableNormal"/>
    <w:next w:val="TableGrid"/>
    <w:rsid w:val="009D6E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9D6E85"/>
    <w:rPr>
      <w:color w:val="800080"/>
      <w:u w:val="single"/>
    </w:rPr>
  </w:style>
  <w:style w:type="character" w:styleId="UnresolvedMention">
    <w:name w:val="Unresolved Mention"/>
    <w:basedOn w:val="DefaultParagraphFont"/>
    <w:uiPriority w:val="99"/>
    <w:semiHidden/>
    <w:unhideWhenUsed/>
    <w:rsid w:val="007F772A"/>
    <w:rPr>
      <w:color w:val="605E5C"/>
      <w:shd w:val="clear" w:color="auto" w:fill="E1DFDD"/>
    </w:rPr>
  </w:style>
  <w:style w:type="table" w:customStyle="1" w:styleId="TableGrid2">
    <w:name w:val="Table Grid2"/>
    <w:basedOn w:val="TableNormal"/>
    <w:next w:val="TableGrid"/>
    <w:uiPriority w:val="59"/>
    <w:rsid w:val="004C56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B505B"/>
    <w:pPr>
      <w:suppressAutoHyphens/>
      <w:autoSpaceDN w:val="0"/>
      <w:textAlignment w:val="baseline"/>
    </w:pPr>
    <w:rPr>
      <w:rFonts w:ascii="Liberation Serif" w:eastAsia="SimSun" w:hAnsi="Liberation Serif" w:cs="Arial"/>
      <w:kern w:val="3"/>
      <w:sz w:val="24"/>
      <w:szCs w:val="24"/>
      <w:lang w:eastAsia="zh-CN" w:bidi="hi-IN"/>
    </w:rPr>
  </w:style>
  <w:style w:type="table" w:customStyle="1" w:styleId="TableGrid21">
    <w:name w:val="Table Grid21"/>
    <w:basedOn w:val="TableNormal"/>
    <w:next w:val="TableGrid"/>
    <w:uiPriority w:val="59"/>
    <w:rsid w:val="000773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F06AB"/>
    <w:pPr>
      <w:spacing w:after="0" w:line="240" w:lineRule="auto"/>
      <w:ind w:left="720" w:hanging="720"/>
    </w:pPr>
    <w:rPr>
      <w:rFonts w:eastAsia="Times New Roman" w:cs="Times New Roman"/>
      <w:szCs w:val="20"/>
      <w:u w:val="none"/>
      <w:lang w:eastAsia="en-GB"/>
    </w:rPr>
  </w:style>
  <w:style w:type="character" w:customStyle="1" w:styleId="BodyTextIndent3Char">
    <w:name w:val="Body Text Indent 3 Char"/>
    <w:basedOn w:val="DefaultParagraphFont"/>
    <w:link w:val="BodyTextIndent3"/>
    <w:rsid w:val="00BF06AB"/>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206">
      <w:bodyDiv w:val="1"/>
      <w:marLeft w:val="0"/>
      <w:marRight w:val="0"/>
      <w:marTop w:val="0"/>
      <w:marBottom w:val="0"/>
      <w:divBdr>
        <w:top w:val="none" w:sz="0" w:space="0" w:color="auto"/>
        <w:left w:val="none" w:sz="0" w:space="0" w:color="auto"/>
        <w:bottom w:val="none" w:sz="0" w:space="0" w:color="auto"/>
        <w:right w:val="none" w:sz="0" w:space="0" w:color="auto"/>
      </w:divBdr>
    </w:div>
    <w:div w:id="115297599">
      <w:bodyDiv w:val="1"/>
      <w:marLeft w:val="0"/>
      <w:marRight w:val="0"/>
      <w:marTop w:val="0"/>
      <w:marBottom w:val="0"/>
      <w:divBdr>
        <w:top w:val="none" w:sz="0" w:space="0" w:color="auto"/>
        <w:left w:val="none" w:sz="0" w:space="0" w:color="auto"/>
        <w:bottom w:val="none" w:sz="0" w:space="0" w:color="auto"/>
        <w:right w:val="none" w:sz="0" w:space="0" w:color="auto"/>
      </w:divBdr>
    </w:div>
    <w:div w:id="192307686">
      <w:bodyDiv w:val="1"/>
      <w:marLeft w:val="0"/>
      <w:marRight w:val="0"/>
      <w:marTop w:val="0"/>
      <w:marBottom w:val="0"/>
      <w:divBdr>
        <w:top w:val="none" w:sz="0" w:space="0" w:color="auto"/>
        <w:left w:val="none" w:sz="0" w:space="0" w:color="auto"/>
        <w:bottom w:val="none" w:sz="0" w:space="0" w:color="auto"/>
        <w:right w:val="none" w:sz="0" w:space="0" w:color="auto"/>
      </w:divBdr>
    </w:div>
    <w:div w:id="303046825">
      <w:bodyDiv w:val="1"/>
      <w:marLeft w:val="0"/>
      <w:marRight w:val="0"/>
      <w:marTop w:val="0"/>
      <w:marBottom w:val="0"/>
      <w:divBdr>
        <w:top w:val="none" w:sz="0" w:space="0" w:color="auto"/>
        <w:left w:val="none" w:sz="0" w:space="0" w:color="auto"/>
        <w:bottom w:val="none" w:sz="0" w:space="0" w:color="auto"/>
        <w:right w:val="none" w:sz="0" w:space="0" w:color="auto"/>
      </w:divBdr>
    </w:div>
    <w:div w:id="387073031">
      <w:bodyDiv w:val="1"/>
      <w:marLeft w:val="0"/>
      <w:marRight w:val="0"/>
      <w:marTop w:val="0"/>
      <w:marBottom w:val="0"/>
      <w:divBdr>
        <w:top w:val="none" w:sz="0" w:space="0" w:color="auto"/>
        <w:left w:val="none" w:sz="0" w:space="0" w:color="auto"/>
        <w:bottom w:val="none" w:sz="0" w:space="0" w:color="auto"/>
        <w:right w:val="none" w:sz="0" w:space="0" w:color="auto"/>
      </w:divBdr>
    </w:div>
    <w:div w:id="453208297">
      <w:bodyDiv w:val="1"/>
      <w:marLeft w:val="0"/>
      <w:marRight w:val="0"/>
      <w:marTop w:val="0"/>
      <w:marBottom w:val="0"/>
      <w:divBdr>
        <w:top w:val="none" w:sz="0" w:space="0" w:color="auto"/>
        <w:left w:val="none" w:sz="0" w:space="0" w:color="auto"/>
        <w:bottom w:val="none" w:sz="0" w:space="0" w:color="auto"/>
        <w:right w:val="none" w:sz="0" w:space="0" w:color="auto"/>
      </w:divBdr>
    </w:div>
    <w:div w:id="723648546">
      <w:bodyDiv w:val="1"/>
      <w:marLeft w:val="0"/>
      <w:marRight w:val="0"/>
      <w:marTop w:val="0"/>
      <w:marBottom w:val="0"/>
      <w:divBdr>
        <w:top w:val="none" w:sz="0" w:space="0" w:color="auto"/>
        <w:left w:val="none" w:sz="0" w:space="0" w:color="auto"/>
        <w:bottom w:val="none" w:sz="0" w:space="0" w:color="auto"/>
        <w:right w:val="none" w:sz="0" w:space="0" w:color="auto"/>
      </w:divBdr>
    </w:div>
    <w:div w:id="875003725">
      <w:bodyDiv w:val="1"/>
      <w:marLeft w:val="0"/>
      <w:marRight w:val="0"/>
      <w:marTop w:val="0"/>
      <w:marBottom w:val="0"/>
      <w:divBdr>
        <w:top w:val="none" w:sz="0" w:space="0" w:color="auto"/>
        <w:left w:val="none" w:sz="0" w:space="0" w:color="auto"/>
        <w:bottom w:val="none" w:sz="0" w:space="0" w:color="auto"/>
        <w:right w:val="none" w:sz="0" w:space="0" w:color="auto"/>
      </w:divBdr>
    </w:div>
    <w:div w:id="1101535905">
      <w:bodyDiv w:val="1"/>
      <w:marLeft w:val="0"/>
      <w:marRight w:val="0"/>
      <w:marTop w:val="0"/>
      <w:marBottom w:val="0"/>
      <w:divBdr>
        <w:top w:val="none" w:sz="0" w:space="0" w:color="auto"/>
        <w:left w:val="none" w:sz="0" w:space="0" w:color="auto"/>
        <w:bottom w:val="none" w:sz="0" w:space="0" w:color="auto"/>
        <w:right w:val="none" w:sz="0" w:space="0" w:color="auto"/>
      </w:divBdr>
    </w:div>
    <w:div w:id="1172333220">
      <w:bodyDiv w:val="1"/>
      <w:marLeft w:val="0"/>
      <w:marRight w:val="0"/>
      <w:marTop w:val="0"/>
      <w:marBottom w:val="0"/>
      <w:divBdr>
        <w:top w:val="none" w:sz="0" w:space="0" w:color="auto"/>
        <w:left w:val="none" w:sz="0" w:space="0" w:color="auto"/>
        <w:bottom w:val="none" w:sz="0" w:space="0" w:color="auto"/>
        <w:right w:val="none" w:sz="0" w:space="0" w:color="auto"/>
      </w:divBdr>
    </w:div>
    <w:div w:id="1198273686">
      <w:bodyDiv w:val="1"/>
      <w:marLeft w:val="0"/>
      <w:marRight w:val="0"/>
      <w:marTop w:val="0"/>
      <w:marBottom w:val="0"/>
      <w:divBdr>
        <w:top w:val="none" w:sz="0" w:space="0" w:color="auto"/>
        <w:left w:val="none" w:sz="0" w:space="0" w:color="auto"/>
        <w:bottom w:val="none" w:sz="0" w:space="0" w:color="auto"/>
        <w:right w:val="none" w:sz="0" w:space="0" w:color="auto"/>
      </w:divBdr>
    </w:div>
    <w:div w:id="1302344377">
      <w:bodyDiv w:val="1"/>
      <w:marLeft w:val="0"/>
      <w:marRight w:val="0"/>
      <w:marTop w:val="0"/>
      <w:marBottom w:val="0"/>
      <w:divBdr>
        <w:top w:val="none" w:sz="0" w:space="0" w:color="auto"/>
        <w:left w:val="none" w:sz="0" w:space="0" w:color="auto"/>
        <w:bottom w:val="none" w:sz="0" w:space="0" w:color="auto"/>
        <w:right w:val="none" w:sz="0" w:space="0" w:color="auto"/>
      </w:divBdr>
    </w:div>
    <w:div w:id="1393968273">
      <w:bodyDiv w:val="1"/>
      <w:marLeft w:val="0"/>
      <w:marRight w:val="0"/>
      <w:marTop w:val="0"/>
      <w:marBottom w:val="0"/>
      <w:divBdr>
        <w:top w:val="none" w:sz="0" w:space="0" w:color="auto"/>
        <w:left w:val="none" w:sz="0" w:space="0" w:color="auto"/>
        <w:bottom w:val="none" w:sz="0" w:space="0" w:color="auto"/>
        <w:right w:val="none" w:sz="0" w:space="0" w:color="auto"/>
      </w:divBdr>
    </w:div>
    <w:div w:id="1454322583">
      <w:bodyDiv w:val="1"/>
      <w:marLeft w:val="0"/>
      <w:marRight w:val="0"/>
      <w:marTop w:val="0"/>
      <w:marBottom w:val="0"/>
      <w:divBdr>
        <w:top w:val="none" w:sz="0" w:space="0" w:color="auto"/>
        <w:left w:val="none" w:sz="0" w:space="0" w:color="auto"/>
        <w:bottom w:val="none" w:sz="0" w:space="0" w:color="auto"/>
        <w:right w:val="none" w:sz="0" w:space="0" w:color="auto"/>
      </w:divBdr>
    </w:div>
    <w:div w:id="1609654610">
      <w:bodyDiv w:val="1"/>
      <w:marLeft w:val="0"/>
      <w:marRight w:val="0"/>
      <w:marTop w:val="0"/>
      <w:marBottom w:val="0"/>
      <w:divBdr>
        <w:top w:val="none" w:sz="0" w:space="0" w:color="auto"/>
        <w:left w:val="none" w:sz="0" w:space="0" w:color="auto"/>
        <w:bottom w:val="none" w:sz="0" w:space="0" w:color="auto"/>
        <w:right w:val="none" w:sz="0" w:space="0" w:color="auto"/>
      </w:divBdr>
    </w:div>
    <w:div w:id="1624269587">
      <w:bodyDiv w:val="1"/>
      <w:marLeft w:val="0"/>
      <w:marRight w:val="0"/>
      <w:marTop w:val="0"/>
      <w:marBottom w:val="0"/>
      <w:divBdr>
        <w:top w:val="none" w:sz="0" w:space="0" w:color="auto"/>
        <w:left w:val="none" w:sz="0" w:space="0" w:color="auto"/>
        <w:bottom w:val="none" w:sz="0" w:space="0" w:color="auto"/>
        <w:right w:val="none" w:sz="0" w:space="0" w:color="auto"/>
      </w:divBdr>
    </w:div>
    <w:div w:id="1721708374">
      <w:bodyDiv w:val="1"/>
      <w:marLeft w:val="0"/>
      <w:marRight w:val="0"/>
      <w:marTop w:val="0"/>
      <w:marBottom w:val="0"/>
      <w:divBdr>
        <w:top w:val="none" w:sz="0" w:space="0" w:color="auto"/>
        <w:left w:val="none" w:sz="0" w:space="0" w:color="auto"/>
        <w:bottom w:val="none" w:sz="0" w:space="0" w:color="auto"/>
        <w:right w:val="none" w:sz="0" w:space="0" w:color="auto"/>
      </w:divBdr>
    </w:div>
    <w:div w:id="1977828866">
      <w:bodyDiv w:val="1"/>
      <w:marLeft w:val="0"/>
      <w:marRight w:val="0"/>
      <w:marTop w:val="0"/>
      <w:marBottom w:val="0"/>
      <w:divBdr>
        <w:top w:val="none" w:sz="0" w:space="0" w:color="auto"/>
        <w:left w:val="none" w:sz="0" w:space="0" w:color="auto"/>
        <w:bottom w:val="none" w:sz="0" w:space="0" w:color="auto"/>
        <w:right w:val="none" w:sz="0" w:space="0" w:color="auto"/>
      </w:divBdr>
    </w:div>
    <w:div w:id="206171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e.team@nottscc.gov.uk" TargetMode="External"/><Relationship Id="rId26" Type="http://schemas.openxmlformats.org/officeDocument/2006/relationships/hyperlink" Target="http://www.nottinghamshire.gov.uk/schoolsportal/hr-advice-support-and-training/policies-and-procedures/one-to-one-tuition" TargetMode="External"/><Relationship Id="rId39" Type="http://schemas.openxmlformats.org/officeDocument/2006/relationships/hyperlink" Target="http://www.nottinghamshire.gov.uk/media/115566/4-standards-for-teachers-professional-development.pdf" TargetMode="External"/><Relationship Id="rId21" Type="http://schemas.openxmlformats.org/officeDocument/2006/relationships/hyperlink" Target="https://www.nottinghamshire.gov.uk/schoolsportal/hr-advice-support-and-training/policies-and-procedures/safer-recruitment/recruitment-and-selection/job-descriptions" TargetMode="External"/><Relationship Id="rId34" Type="http://schemas.openxmlformats.org/officeDocument/2006/relationships/hyperlink" Target="https://www.gov.uk/government/publications/reviewing-and-revising-school-teachers-pay"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ottinghamshire.gov.uk/schoolsportal/hr-advice-support-and-training/policies-and-procedures/safer-recruitment/recruitment-and-selection/job-evaluation/guidelines-job-descriptions/" TargetMode="External"/><Relationship Id="rId20" Type="http://schemas.openxmlformats.org/officeDocument/2006/relationships/hyperlink" Target="https://www.nottinghamshire.gov.uk/schoolsportal/hr-advice-support-and-training/policies-and-procedures/safer-recruitment/recruitment-and-selection" TargetMode="External"/><Relationship Id="rId29" Type="http://schemas.openxmlformats.org/officeDocument/2006/relationships/hyperlink" Target="mailto:peter.higgins@nottscc.gov.uk" TargetMode="External"/><Relationship Id="rId41" Type="http://schemas.openxmlformats.org/officeDocument/2006/relationships/hyperlink" Target="https://assets.publishing.service.gov.uk/government/uploads/system/uploads/attachment_data/file/270783/school_governance_regulations_2013_departmental_advic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ttinghamshire.gov.uk/schoolsportal/hr-advice-support-and-training/policies-and-procedures/safer-recruitment/recruitment-and-selection/job-evaluation/guidelines-job-descriptions/" TargetMode="External"/><Relationship Id="rId32" Type="http://schemas.openxmlformats.org/officeDocument/2006/relationships/hyperlink" Target="https://assets.publishing.service.gov.uk/media/66a253b20808eaf43b50d742/Teacher_Appraisal_-_guidance_for_schools_July_2024.pdf" TargetMode="External"/><Relationship Id="rId37" Type="http://schemas.openxmlformats.org/officeDocument/2006/relationships/hyperlink" Target="http://www.nottinghamshire.gov.uk/media/115565/1-teachers-standards-early-years-september-2013.pdf" TargetMode="External"/><Relationship Id="rId40" Type="http://schemas.openxmlformats.org/officeDocument/2006/relationships/hyperlink" Target="http://www.nottinghamshire.gov.uk/media/115567/5-stds-for-teachers-professional-dev-implementation-guidance.pdf" TargetMode="External"/><Relationship Id="rId5" Type="http://schemas.openxmlformats.org/officeDocument/2006/relationships/customXml" Target="../customXml/item5.xml"/><Relationship Id="rId15" Type="http://schemas.openxmlformats.org/officeDocument/2006/relationships/hyperlink" Target="https://portal.nottscc.gov.uk/communities/hrguidance/Document%20library/Forms/AllItems.aspx?RootFolder=%2fcommunities%2fhrguidance%2fDocument%20library%2fContact%20List%20for%20HR%20Team&amp;FolderCTID=&amp;View=%7b57BB8C76%2dC99E%2d471A%2dA6BE%2d680FF1421233%7d" TargetMode="External"/><Relationship Id="rId23" Type="http://schemas.openxmlformats.org/officeDocument/2006/relationships/hyperlink" Target="https://www.gov.uk/holiday-entitlement-rights" TargetMode="External"/><Relationship Id="rId28" Type="http://schemas.openxmlformats.org/officeDocument/2006/relationships/hyperlink" Target="https://www.legislation.gov.uk/uksi/2014/1530/contents/made" TargetMode="External"/><Relationship Id="rId36" Type="http://schemas.openxmlformats.org/officeDocument/2006/relationships/hyperlink" Target="https://www.gov.uk/government/publications/national-standards-of-excellence-for-headteachers/headteachers-standards-2020" TargetMode="External"/><Relationship Id="rId10" Type="http://schemas.openxmlformats.org/officeDocument/2006/relationships/footnotes" Target="footnotes.xml"/><Relationship Id="rId19" Type="http://schemas.openxmlformats.org/officeDocument/2006/relationships/hyperlink" Target="https://www.nottinghamshire.gov.uk/schoolsportal/hr-advice-support-and-training/policies-and-procedures/safer-recruitment/recruitment-and-selection/job-evaluation/guidelines-job-descriptions/" TargetMode="External"/><Relationship Id="rId31" Type="http://schemas.openxmlformats.org/officeDocument/2006/relationships/hyperlink" Target="https://www.nottinghamshire.gov.uk/media/s24nr0zy/stpcd-2025.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ttinghamshire.gov.uk/schoolsportal/hr-advice-support-and-training/policies-and-procedures/pay/pay-policy/pay-policy-2023-new" TargetMode="External"/><Relationship Id="rId22" Type="http://schemas.openxmlformats.org/officeDocument/2006/relationships/hyperlink" Target="https://assets.publishing.service.gov.uk/government/uploads/system/uploads/attachment_data/file/278077/Guidance_on_the_School_Governance_Collaboration_Regs_2003.doc.pdf" TargetMode="External"/><Relationship Id="rId27" Type="http://schemas.openxmlformats.org/officeDocument/2006/relationships/hyperlink" Target="https://www.gov.uk/government/publications/send-and-alternative-provision-improvement-plan" TargetMode="External"/><Relationship Id="rId30" Type="http://schemas.openxmlformats.org/officeDocument/2006/relationships/hyperlink" Target="http://www.nottinghamshire.gov.uk/schoolsportal/hr-advice-support-and-training/policies-and-procedures/equality-and-diversity-in-employment" TargetMode="External"/><Relationship Id="rId35" Type="http://schemas.openxmlformats.org/officeDocument/2006/relationships/hyperlink" Target="http://www.nottinghamshire.gov.uk/media/115568/6-teachers-standards-2012.pdf"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nottinghamshire.gov.uk/media/116789/4-dfe-guidance-the-equality-act-2010-and-schools-may-2014.pdf" TargetMode="External"/><Relationship Id="rId25" Type="http://schemas.openxmlformats.org/officeDocument/2006/relationships/hyperlink" Target="mailto:info@em-edsupport.org.uk" TargetMode="External"/><Relationship Id="rId33" Type="http://schemas.openxmlformats.org/officeDocument/2006/relationships/hyperlink" Target="https://assets.publishing.service.gov.uk/media/66a2359249b9c0597fdb04c6/Teacher_capability_-_guidance_for_schools_when_dealing_with_serious_under-performance.pdf" TargetMode="External"/><Relationship Id="rId38" Type="http://schemas.openxmlformats.org/officeDocument/2006/relationships/hyperlink" Target="https://www.gov.uk/government/publications/national-standards-of-excellence-for-headteachers/headteachers-standard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05B024A741E4EAD508D7DC56288C5" ma:contentTypeVersion="2" ma:contentTypeDescription="Create a new document." ma:contentTypeScope="" ma:versionID="e9643150aa076f07d302d6b47712e0d7">
  <xsd:schema xmlns:xsd="http://www.w3.org/2001/XMLSchema" xmlns:p="http://schemas.microsoft.com/office/2006/metadata/properties" xmlns:ns2="c4e36ede-a2da-47a8-a0a9-9e9960a4e3ec" targetNamespace="http://schemas.microsoft.com/office/2006/metadata/properties" ma:root="true" ma:fieldsID="bfc2b2456d637d8997ba81448beda396" ns2:_="">
    <xsd:import namespace="c4e36ede-a2da-47a8-a0a9-9e9960a4e3ec"/>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c4e36ede-a2da-47a8-a0a9-9e9960a4e3ec" elementFormDefault="qualified">
    <xsd:import namespace="http://schemas.microsoft.com/office/2006/documentManagement/types"/>
    <xsd:element name="Description0" ma:index="8"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escription0 xmlns="c4e36ede-a2da-47a8-a0a9-9e9960a4e3ec">SCHOOL PAY POLICY GUIDANCE - September 2014</Description0>
  </documentManagement>
</p:properties>
</file>

<file path=customXml/itemProps1.xml><?xml version="1.0" encoding="utf-8"?>
<ds:datastoreItem xmlns:ds="http://schemas.openxmlformats.org/officeDocument/2006/customXml" ds:itemID="{8616650F-F675-437B-8BE7-D53C8F1DA4C7}">
  <ds:schemaRefs>
    <ds:schemaRef ds:uri="http://schemas.microsoft.com/sharepoint/v3/contenttype/forms"/>
  </ds:schemaRefs>
</ds:datastoreItem>
</file>

<file path=customXml/itemProps2.xml><?xml version="1.0" encoding="utf-8"?>
<ds:datastoreItem xmlns:ds="http://schemas.openxmlformats.org/officeDocument/2006/customXml" ds:itemID="{EC65AB11-B62A-467E-A90B-B86970B0E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36ede-a2da-47a8-a0a9-9e9960a4e3e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0EAE335-27ED-41E5-BE35-4B924A53167F}">
  <ds:schemaRefs>
    <ds:schemaRef ds:uri="http://schemas.openxmlformats.org/officeDocument/2006/bibliography"/>
  </ds:schemaRefs>
</ds:datastoreItem>
</file>

<file path=customXml/itemProps4.xml><?xml version="1.0" encoding="utf-8"?>
<ds:datastoreItem xmlns:ds="http://schemas.openxmlformats.org/officeDocument/2006/customXml" ds:itemID="{252AAD9D-E0BD-460B-94D4-588846EC0EE5}">
  <ds:schemaRefs>
    <ds:schemaRef ds:uri="http://schemas.microsoft.com/office/2006/metadata/longProperties"/>
  </ds:schemaRefs>
</ds:datastoreItem>
</file>

<file path=customXml/itemProps5.xml><?xml version="1.0" encoding="utf-8"?>
<ds:datastoreItem xmlns:ds="http://schemas.openxmlformats.org/officeDocument/2006/customXml" ds:itemID="{06E64251-85F9-42B8-AE9A-860ECC85CB3B}">
  <ds:schemaRefs>
    <ds:schemaRef ds:uri="http://schemas.microsoft.com/office/2006/metadata/properties"/>
    <ds:schemaRef ds:uri="http://schemas.microsoft.com/office/infopath/2007/PartnerControls"/>
    <ds:schemaRef ds:uri="c4e36ede-a2da-47a8-a0a9-9e9960a4e3ec"/>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43</Pages>
  <Words>18809</Words>
  <Characters>103799</Characters>
  <Application>Microsoft Office Word</Application>
  <DocSecurity>0</DocSecurity>
  <Lines>864</Lines>
  <Paragraphs>244</Paragraphs>
  <ScaleCrop>false</ScaleCrop>
  <HeadingPairs>
    <vt:vector size="2" baseType="variant">
      <vt:variant>
        <vt:lpstr>Title</vt:lpstr>
      </vt:variant>
      <vt:variant>
        <vt:i4>1</vt:i4>
      </vt:variant>
    </vt:vector>
  </HeadingPairs>
  <TitlesOfParts>
    <vt:vector size="1" baseType="lpstr">
      <vt:lpstr>SCHOOL PAY POLICY GUIDANCE - September 2014</vt:lpstr>
    </vt:vector>
  </TitlesOfParts>
  <Company>NCC</Company>
  <LinksUpToDate>false</LinksUpToDate>
  <CharactersWithSpaces>122364</CharactersWithSpaces>
  <SharedDoc>false</SharedDoc>
  <HLinks>
    <vt:vector size="24" baseType="variant">
      <vt:variant>
        <vt:i4>3538996</vt:i4>
      </vt:variant>
      <vt:variant>
        <vt:i4>9</vt:i4>
      </vt:variant>
      <vt:variant>
        <vt:i4>0</vt:i4>
      </vt:variant>
      <vt:variant>
        <vt:i4>5</vt:i4>
      </vt:variant>
      <vt:variant>
        <vt:lpwstr>http://www.nottinghamshire.gov.uk/schoolsportal/hr-advice-support-and-training/policies-and-procedures/equality-and-diversity-in-employment</vt:lpwstr>
      </vt:variant>
      <vt:variant>
        <vt:lpwstr/>
      </vt:variant>
      <vt:variant>
        <vt:i4>2031690</vt:i4>
      </vt:variant>
      <vt:variant>
        <vt:i4>6</vt:i4>
      </vt:variant>
      <vt:variant>
        <vt:i4>0</vt:i4>
      </vt:variant>
      <vt:variant>
        <vt:i4>5</vt:i4>
      </vt:variant>
      <vt:variant>
        <vt:lpwstr>http://www.nottinghamshire.gov.uk/schoolsportal/hr-advice-support-and-training/policies-and-procedures/one-to-one-tuition</vt:lpwstr>
      </vt:variant>
      <vt:variant>
        <vt:lpwstr/>
      </vt:variant>
      <vt:variant>
        <vt:i4>6619193</vt:i4>
      </vt:variant>
      <vt:variant>
        <vt:i4>3</vt:i4>
      </vt:variant>
      <vt:variant>
        <vt:i4>0</vt:i4>
      </vt:variant>
      <vt:variant>
        <vt:i4>5</vt:i4>
      </vt:variant>
      <vt:variant>
        <vt:lpwstr>https://www.tes.com/news/school-news/breaking-views/heads-deserve-good-pay-all-salaries-should-be-transparent-and-above</vt:lpwstr>
      </vt:variant>
      <vt:variant>
        <vt:lpwstr/>
      </vt:variant>
      <vt:variant>
        <vt:i4>262239</vt:i4>
      </vt:variant>
      <vt:variant>
        <vt:i4>0</vt:i4>
      </vt:variant>
      <vt:variant>
        <vt:i4>0</vt:i4>
      </vt:variant>
      <vt:variant>
        <vt:i4>5</vt:i4>
      </vt:variant>
      <vt:variant>
        <vt:lpwstr>https://portal.nottscc.gov.uk/communities/hrguidance/Document library/Forms/AllItems.aspx?RootFolder=%2fcommunities%2fhrguidance%2fDocument%20library%2fContact%20List%20for%20HR%20Team&amp;FolderCTID=&amp;View=%7b57BB8C76%2dC99E%2d471A%2dA6BE%2d680FF1421233%7d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PAY POLICY GUIDANCE - September 2014</dc:title>
  <dc:subject/>
  <dc:creator>William Iliffe</dc:creator>
  <cp:keywords>SCHOOL PAY POLICY GUIDANCE - September 2014</cp:keywords>
  <cp:lastModifiedBy>Andy Wilson</cp:lastModifiedBy>
  <cp:revision>2</cp:revision>
  <cp:lastPrinted>2024-12-06T12:31:00Z</cp:lastPrinted>
  <dcterms:created xsi:type="dcterms:W3CDTF">2025-07-25T11:34:00Z</dcterms:created>
  <dcterms:modified xsi:type="dcterms:W3CDTF">2025-07-25T11:34:00Z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0x01010071B05B024A741E4EAD508D7DC56288C5</vt:lpwstr>
  </property>
  <property fmtid="{D5CDD505-2E9C-101B-9397-08002B2CF9AE}" pid="3" name="ContentType">
    <vt:lpwstr>Document</vt:lpwstr>
  </property>
</Properties>
</file>