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8463" w14:textId="77777777" w:rsidR="002D7FFD" w:rsidRDefault="002D7FFD" w:rsidP="00A05E4F">
      <w:pPr>
        <w:ind w:left="709" w:hanging="709"/>
        <w:rPr>
          <w:b/>
          <w:szCs w:val="24"/>
        </w:rPr>
      </w:pPr>
    </w:p>
    <w:p w14:paraId="5BAF9AD5" w14:textId="77777777" w:rsidR="002D7FFD" w:rsidRDefault="002D7FFD" w:rsidP="00A05E4F">
      <w:pPr>
        <w:ind w:left="709" w:hanging="709"/>
        <w:rPr>
          <w:b/>
          <w:szCs w:val="24"/>
        </w:rPr>
      </w:pPr>
    </w:p>
    <w:p w14:paraId="59C4294D" w14:textId="3921AB26" w:rsidR="00A05E4F" w:rsidRPr="00870092" w:rsidRDefault="00A05E4F" w:rsidP="00A05E4F">
      <w:pPr>
        <w:ind w:left="709" w:hanging="709"/>
        <w:rPr>
          <w:szCs w:val="24"/>
        </w:rPr>
      </w:pPr>
      <w:r>
        <w:rPr>
          <w:b/>
          <w:szCs w:val="24"/>
        </w:rPr>
        <w:t>1.</w:t>
      </w:r>
      <w:r>
        <w:rPr>
          <w:b/>
          <w:szCs w:val="24"/>
        </w:rPr>
        <w:tab/>
      </w:r>
      <w:r w:rsidRPr="00870092">
        <w:rPr>
          <w:b/>
          <w:szCs w:val="24"/>
        </w:rPr>
        <w:t>SCOPE OF RESPONSIBILITY</w:t>
      </w:r>
    </w:p>
    <w:p w14:paraId="557153C0" w14:textId="77777777" w:rsidR="00A05E4F" w:rsidRPr="00870092" w:rsidRDefault="00A05E4F" w:rsidP="00A05E4F">
      <w:pPr>
        <w:rPr>
          <w:szCs w:val="24"/>
        </w:rPr>
      </w:pPr>
    </w:p>
    <w:p w14:paraId="77A6D25A" w14:textId="246BB391" w:rsidR="001B645A" w:rsidRPr="00870092" w:rsidRDefault="001B645A" w:rsidP="001B645A">
      <w:pPr>
        <w:pStyle w:val="ListParagraph"/>
        <w:numPr>
          <w:ilvl w:val="1"/>
          <w:numId w:val="1"/>
        </w:numPr>
        <w:ind w:left="709" w:hanging="709"/>
        <w:jc w:val="both"/>
        <w:rPr>
          <w:sz w:val="22"/>
          <w:szCs w:val="22"/>
        </w:rPr>
      </w:pPr>
      <w:r w:rsidRPr="00870092">
        <w:rPr>
          <w:sz w:val="22"/>
          <w:szCs w:val="22"/>
        </w:rPr>
        <w:t xml:space="preserve">Nottinghamshire County Council is responsible for ensuring that its business is conducted in accordance with the law and proper standards. Public money must be safeguarded and properly accounted for, and used economically, efficiently and effectively. The Authority has a duty under the Local Government Act 1999 to </w:t>
      </w:r>
      <w:proofErr w:type="gramStart"/>
      <w:r w:rsidRPr="00870092">
        <w:rPr>
          <w:sz w:val="22"/>
          <w:szCs w:val="22"/>
        </w:rPr>
        <w:t>make arrangements</w:t>
      </w:r>
      <w:proofErr w:type="gramEnd"/>
      <w:r w:rsidRPr="00870092">
        <w:rPr>
          <w:sz w:val="22"/>
          <w:szCs w:val="22"/>
        </w:rPr>
        <w:t xml:space="preserve"> to secure continuous improvement in the way in which its functions are exercised, having regard to a combination of economy, efficiency and effectiveness. The Localism Act 2011 has, among other things, established a general power of competence for local authorities.</w:t>
      </w:r>
    </w:p>
    <w:p w14:paraId="55E0AC39" w14:textId="77777777" w:rsidR="001B645A" w:rsidRPr="00870092" w:rsidRDefault="001B645A" w:rsidP="001B645A">
      <w:pPr>
        <w:ind w:left="709" w:hanging="709"/>
        <w:jc w:val="both"/>
        <w:rPr>
          <w:sz w:val="22"/>
          <w:szCs w:val="22"/>
        </w:rPr>
      </w:pPr>
    </w:p>
    <w:p w14:paraId="273BE558" w14:textId="77777777" w:rsidR="001B645A" w:rsidRPr="00870092" w:rsidRDefault="001B645A" w:rsidP="001B645A">
      <w:pPr>
        <w:pStyle w:val="ListParagraph"/>
        <w:numPr>
          <w:ilvl w:val="1"/>
          <w:numId w:val="1"/>
        </w:numPr>
        <w:ind w:left="709" w:hanging="709"/>
        <w:jc w:val="both"/>
        <w:rPr>
          <w:sz w:val="22"/>
          <w:szCs w:val="22"/>
        </w:rPr>
      </w:pPr>
      <w:r w:rsidRPr="00870092">
        <w:rPr>
          <w:sz w:val="22"/>
          <w:szCs w:val="22"/>
        </w:rPr>
        <w:t>In discharging this overall responsibility, the County Council is responsible for putting in place proper arrangements for the governance of its affairs, facilitating the effective exercise of its functions, including the arrangements for the management of risk.</w:t>
      </w:r>
    </w:p>
    <w:p w14:paraId="3FDA2441" w14:textId="77777777" w:rsidR="001B645A" w:rsidRPr="00870092" w:rsidRDefault="001B645A" w:rsidP="001B645A">
      <w:pPr>
        <w:pStyle w:val="ListParagraph"/>
        <w:ind w:left="709" w:hanging="709"/>
        <w:rPr>
          <w:sz w:val="22"/>
          <w:szCs w:val="22"/>
        </w:rPr>
      </w:pPr>
    </w:p>
    <w:p w14:paraId="2EADAFCD" w14:textId="015E138F" w:rsidR="001B645A" w:rsidRPr="00870092" w:rsidRDefault="001B645A" w:rsidP="001B645A">
      <w:pPr>
        <w:pStyle w:val="ListParagraph"/>
        <w:numPr>
          <w:ilvl w:val="1"/>
          <w:numId w:val="1"/>
        </w:numPr>
        <w:ind w:left="709" w:hanging="709"/>
        <w:jc w:val="both"/>
        <w:rPr>
          <w:sz w:val="22"/>
          <w:szCs w:val="22"/>
        </w:rPr>
      </w:pPr>
      <w:r w:rsidRPr="00870092">
        <w:rPr>
          <w:sz w:val="22"/>
          <w:szCs w:val="22"/>
        </w:rPr>
        <w:t>This statement meets the requirements of the Accounts and Audit Regulations (England) 201</w:t>
      </w:r>
      <w:r w:rsidR="00EA1D0F" w:rsidRPr="00870092">
        <w:rPr>
          <w:sz w:val="22"/>
          <w:szCs w:val="22"/>
        </w:rPr>
        <w:t>5</w:t>
      </w:r>
      <w:r w:rsidRPr="00870092">
        <w:rPr>
          <w:sz w:val="22"/>
          <w:szCs w:val="22"/>
        </w:rPr>
        <w:t xml:space="preserve"> in relation to the publication of an Annual Governance Statement (AGS).</w:t>
      </w:r>
    </w:p>
    <w:p w14:paraId="583E0B4F" w14:textId="77777777" w:rsidR="00A05E4F" w:rsidRPr="00870092" w:rsidRDefault="00A05E4F" w:rsidP="00A05E4F">
      <w:pPr>
        <w:ind w:left="720" w:hanging="720"/>
        <w:rPr>
          <w:szCs w:val="24"/>
        </w:rPr>
      </w:pPr>
    </w:p>
    <w:p w14:paraId="5F44CC9C" w14:textId="77777777" w:rsidR="00A05E4F" w:rsidRPr="00870092" w:rsidRDefault="00A05E4F" w:rsidP="00A05E4F">
      <w:pPr>
        <w:ind w:left="720" w:hanging="720"/>
        <w:rPr>
          <w:b/>
          <w:szCs w:val="24"/>
        </w:rPr>
      </w:pPr>
    </w:p>
    <w:p w14:paraId="6D6A60A0" w14:textId="77777777" w:rsidR="00A05E4F" w:rsidRPr="00870092" w:rsidRDefault="00A05E4F" w:rsidP="00A05E4F">
      <w:pPr>
        <w:pStyle w:val="ListParagraph"/>
        <w:numPr>
          <w:ilvl w:val="0"/>
          <w:numId w:val="1"/>
        </w:numPr>
        <w:ind w:left="709" w:hanging="709"/>
        <w:rPr>
          <w:szCs w:val="24"/>
        </w:rPr>
      </w:pPr>
      <w:r w:rsidRPr="00870092">
        <w:rPr>
          <w:b/>
          <w:szCs w:val="24"/>
        </w:rPr>
        <w:t>THE LOCAL CODE OF CORPORATE GOVERNANCE</w:t>
      </w:r>
    </w:p>
    <w:p w14:paraId="2509BFCE" w14:textId="77777777" w:rsidR="00A05E4F" w:rsidRPr="00870092" w:rsidRDefault="00A05E4F" w:rsidP="00A05E4F">
      <w:pPr>
        <w:rPr>
          <w:szCs w:val="24"/>
        </w:rPr>
      </w:pPr>
    </w:p>
    <w:p w14:paraId="0210080C" w14:textId="16249BE7" w:rsidR="001B645A" w:rsidRPr="00870092" w:rsidRDefault="001B645A" w:rsidP="001B645A">
      <w:pPr>
        <w:pStyle w:val="ListParagraph"/>
        <w:numPr>
          <w:ilvl w:val="1"/>
          <w:numId w:val="1"/>
        </w:numPr>
        <w:ind w:left="709" w:hanging="709"/>
        <w:jc w:val="both"/>
        <w:rPr>
          <w:sz w:val="22"/>
          <w:szCs w:val="22"/>
        </w:rPr>
      </w:pPr>
      <w:r w:rsidRPr="00870092">
        <w:rPr>
          <w:sz w:val="22"/>
          <w:szCs w:val="22"/>
        </w:rPr>
        <w:t xml:space="preserve">Nottinghamshire County Council has adopted a </w:t>
      </w:r>
      <w:r w:rsidR="003E14D6" w:rsidRPr="00870092">
        <w:rPr>
          <w:sz w:val="22"/>
          <w:szCs w:val="22"/>
        </w:rPr>
        <w:t>L</w:t>
      </w:r>
      <w:r w:rsidRPr="00870092">
        <w:rPr>
          <w:sz w:val="22"/>
          <w:szCs w:val="22"/>
        </w:rPr>
        <w:t>ocal Code of Corporate Governance. Th</w:t>
      </w:r>
      <w:r w:rsidR="0035496F" w:rsidRPr="00870092">
        <w:rPr>
          <w:sz w:val="22"/>
          <w:szCs w:val="22"/>
        </w:rPr>
        <w:t>e</w:t>
      </w:r>
      <w:r w:rsidRPr="00870092">
        <w:rPr>
          <w:sz w:val="22"/>
          <w:szCs w:val="22"/>
        </w:rPr>
        <w:t xml:space="preserve"> Code is subject to annual review and approval by the Governance and Ethics Committee, and it is published on the Council’s </w:t>
      </w:r>
      <w:hyperlink r:id="rId8" w:history="1">
        <w:r w:rsidRPr="00870092">
          <w:rPr>
            <w:rStyle w:val="Hyperlink"/>
            <w:color w:val="auto"/>
            <w:sz w:val="22"/>
            <w:szCs w:val="22"/>
          </w:rPr>
          <w:t>website</w:t>
        </w:r>
      </w:hyperlink>
      <w:r w:rsidRPr="00870092">
        <w:rPr>
          <w:sz w:val="22"/>
          <w:szCs w:val="22"/>
        </w:rPr>
        <w:t>.</w:t>
      </w:r>
    </w:p>
    <w:p w14:paraId="3C116F67" w14:textId="77777777" w:rsidR="001B645A" w:rsidRPr="00625904" w:rsidRDefault="001B645A" w:rsidP="001B645A">
      <w:pPr>
        <w:ind w:left="709" w:hanging="709"/>
        <w:jc w:val="both"/>
        <w:rPr>
          <w:color w:val="00B050"/>
          <w:szCs w:val="24"/>
        </w:rPr>
      </w:pPr>
    </w:p>
    <w:p w14:paraId="03551C33" w14:textId="77777777" w:rsidR="00D364E1" w:rsidRPr="00625904" w:rsidRDefault="00D364E1" w:rsidP="001B645A">
      <w:pPr>
        <w:ind w:left="709" w:hanging="709"/>
        <w:jc w:val="both"/>
        <w:rPr>
          <w:color w:val="00B050"/>
          <w:szCs w:val="24"/>
        </w:rPr>
      </w:pPr>
    </w:p>
    <w:p w14:paraId="4CCC59E0" w14:textId="77777777" w:rsidR="00D364E1" w:rsidRPr="00625904" w:rsidRDefault="00D364E1" w:rsidP="001B645A">
      <w:pPr>
        <w:ind w:left="709" w:hanging="709"/>
        <w:jc w:val="both"/>
        <w:rPr>
          <w:color w:val="00B050"/>
          <w:szCs w:val="24"/>
        </w:rPr>
      </w:pPr>
    </w:p>
    <w:p w14:paraId="70738A38" w14:textId="77777777" w:rsidR="00D364E1" w:rsidRPr="00625904" w:rsidRDefault="00D364E1" w:rsidP="001B645A">
      <w:pPr>
        <w:ind w:left="709" w:hanging="709"/>
        <w:jc w:val="both"/>
        <w:rPr>
          <w:color w:val="00B050"/>
          <w:szCs w:val="24"/>
        </w:rPr>
      </w:pPr>
    </w:p>
    <w:p w14:paraId="29561D44" w14:textId="77777777" w:rsidR="00D364E1" w:rsidRPr="00625904" w:rsidRDefault="00D364E1" w:rsidP="001B645A">
      <w:pPr>
        <w:ind w:left="709" w:hanging="709"/>
        <w:jc w:val="both"/>
        <w:rPr>
          <w:color w:val="00B050"/>
          <w:szCs w:val="24"/>
        </w:rPr>
      </w:pPr>
    </w:p>
    <w:p w14:paraId="03EBA15C" w14:textId="77777777" w:rsidR="001B645A" w:rsidRPr="00870092" w:rsidRDefault="001B645A" w:rsidP="001B645A">
      <w:pPr>
        <w:pStyle w:val="ListParagraph"/>
        <w:numPr>
          <w:ilvl w:val="1"/>
          <w:numId w:val="1"/>
        </w:numPr>
        <w:ind w:left="709" w:hanging="709"/>
        <w:jc w:val="both"/>
        <w:rPr>
          <w:sz w:val="22"/>
          <w:szCs w:val="22"/>
        </w:rPr>
      </w:pPr>
      <w:r w:rsidRPr="00870092">
        <w:rPr>
          <w:sz w:val="22"/>
          <w:szCs w:val="22"/>
        </w:rPr>
        <w:t>The Code is based on the seven core principles of good governance, as recommended in the CIPFA/SOLACE Framework for ‘Delivering good governance in Local Government’ (2016 Edition).</w:t>
      </w:r>
    </w:p>
    <w:p w14:paraId="09938F8F" w14:textId="77777777" w:rsidR="00A05E4F" w:rsidRPr="00625904" w:rsidRDefault="00A05E4F" w:rsidP="00A05E4F">
      <w:pPr>
        <w:jc w:val="both"/>
        <w:rPr>
          <w:color w:val="00B050"/>
          <w:szCs w:val="24"/>
        </w:rPr>
      </w:pPr>
    </w:p>
    <w:p w14:paraId="7CF7231C" w14:textId="32BA0419" w:rsidR="00A05E4F" w:rsidRPr="00870092" w:rsidRDefault="00A05E4F" w:rsidP="00A05E4F">
      <w:pPr>
        <w:pStyle w:val="ListParagraph"/>
        <w:numPr>
          <w:ilvl w:val="0"/>
          <w:numId w:val="1"/>
        </w:numPr>
        <w:ind w:left="709" w:hanging="709"/>
        <w:jc w:val="both"/>
        <w:rPr>
          <w:szCs w:val="24"/>
        </w:rPr>
      </w:pPr>
      <w:r w:rsidRPr="00870092">
        <w:rPr>
          <w:b/>
          <w:szCs w:val="24"/>
        </w:rPr>
        <w:t>REVIEW OF EFFECTIVENESS</w:t>
      </w:r>
      <w:r w:rsidR="00D75F4E">
        <w:rPr>
          <w:b/>
          <w:szCs w:val="24"/>
        </w:rPr>
        <w:t xml:space="preserve"> DURING 202</w:t>
      </w:r>
      <w:r w:rsidR="00E81964">
        <w:rPr>
          <w:b/>
          <w:szCs w:val="24"/>
        </w:rPr>
        <w:t>5/26</w:t>
      </w:r>
    </w:p>
    <w:p w14:paraId="300ADD6D" w14:textId="77777777" w:rsidR="00A05E4F" w:rsidRPr="00870092" w:rsidRDefault="00A05E4F" w:rsidP="00A05E4F">
      <w:pPr>
        <w:jc w:val="both"/>
        <w:rPr>
          <w:szCs w:val="24"/>
        </w:rPr>
      </w:pPr>
    </w:p>
    <w:p w14:paraId="2BDD5E37" w14:textId="321B22A6" w:rsidR="001B645A" w:rsidRPr="00870092" w:rsidRDefault="001B645A" w:rsidP="001B645A">
      <w:pPr>
        <w:pStyle w:val="ListParagraph"/>
        <w:numPr>
          <w:ilvl w:val="1"/>
          <w:numId w:val="1"/>
        </w:numPr>
        <w:ind w:left="709" w:hanging="709"/>
        <w:jc w:val="both"/>
        <w:rPr>
          <w:sz w:val="22"/>
          <w:szCs w:val="22"/>
        </w:rPr>
      </w:pPr>
      <w:r w:rsidRPr="00870092">
        <w:rPr>
          <w:sz w:val="22"/>
          <w:szCs w:val="22"/>
        </w:rPr>
        <w:t xml:space="preserve">The Authority has responsibility for conducting, at least annually, a review of the effectiveness of its governance framework. This Statement sets out the outcome of the latest review for the financial year </w:t>
      </w:r>
      <w:r w:rsidR="00C9185E" w:rsidRPr="00870092">
        <w:rPr>
          <w:sz w:val="22"/>
          <w:szCs w:val="22"/>
        </w:rPr>
        <w:t>202</w:t>
      </w:r>
      <w:r w:rsidR="00E81964">
        <w:rPr>
          <w:sz w:val="22"/>
          <w:szCs w:val="22"/>
        </w:rPr>
        <w:t>5/26</w:t>
      </w:r>
      <w:r w:rsidRPr="00870092">
        <w:rPr>
          <w:sz w:val="22"/>
          <w:szCs w:val="22"/>
        </w:rPr>
        <w:t>. The outcomes are set out in terms of the extent to which the Council has applied in practice the seven core principles of good governance.</w:t>
      </w:r>
    </w:p>
    <w:p w14:paraId="66741F9F" w14:textId="77777777" w:rsidR="001B645A" w:rsidRPr="00870092" w:rsidRDefault="001B645A" w:rsidP="001B645A">
      <w:pPr>
        <w:pStyle w:val="ListParagraph"/>
        <w:ind w:left="709"/>
        <w:jc w:val="both"/>
        <w:rPr>
          <w:sz w:val="22"/>
          <w:szCs w:val="22"/>
        </w:rPr>
      </w:pPr>
    </w:p>
    <w:p w14:paraId="0FEE0715" w14:textId="2F8DACA1" w:rsidR="001B645A" w:rsidRPr="00870092" w:rsidRDefault="00D75F4E" w:rsidP="001B645A">
      <w:pPr>
        <w:pStyle w:val="ListParagraph"/>
        <w:numPr>
          <w:ilvl w:val="1"/>
          <w:numId w:val="1"/>
        </w:numPr>
        <w:ind w:left="709" w:hanging="709"/>
        <w:jc w:val="both"/>
        <w:rPr>
          <w:sz w:val="22"/>
          <w:szCs w:val="22"/>
        </w:rPr>
      </w:pPr>
      <w:r>
        <w:rPr>
          <w:sz w:val="22"/>
          <w:szCs w:val="22"/>
        </w:rPr>
        <w:t>During 202</w:t>
      </w:r>
      <w:r w:rsidR="00E81964">
        <w:rPr>
          <w:sz w:val="22"/>
          <w:szCs w:val="22"/>
        </w:rPr>
        <w:t>5/26</w:t>
      </w:r>
      <w:r>
        <w:rPr>
          <w:sz w:val="22"/>
          <w:szCs w:val="22"/>
        </w:rPr>
        <w:t xml:space="preserve"> t</w:t>
      </w:r>
      <w:r w:rsidR="001B645A" w:rsidRPr="00870092">
        <w:rPr>
          <w:sz w:val="22"/>
          <w:szCs w:val="22"/>
        </w:rPr>
        <w:t>he Council operate</w:t>
      </w:r>
      <w:r>
        <w:rPr>
          <w:sz w:val="22"/>
          <w:szCs w:val="22"/>
        </w:rPr>
        <w:t>d</w:t>
      </w:r>
      <w:r w:rsidR="001B645A" w:rsidRPr="00870092">
        <w:rPr>
          <w:sz w:val="22"/>
          <w:szCs w:val="22"/>
        </w:rPr>
        <w:t xml:space="preserve"> a ‘Three Lines </w:t>
      </w:r>
      <w:r w:rsidR="006F4882" w:rsidRPr="00870092">
        <w:rPr>
          <w:sz w:val="22"/>
          <w:szCs w:val="22"/>
        </w:rPr>
        <w:t>M</w:t>
      </w:r>
      <w:r w:rsidR="001B645A" w:rsidRPr="00870092">
        <w:rPr>
          <w:sz w:val="22"/>
          <w:szCs w:val="22"/>
        </w:rPr>
        <w:t>odel</w:t>
      </w:r>
      <w:r w:rsidR="006F4882" w:rsidRPr="00870092">
        <w:rPr>
          <w:sz w:val="22"/>
          <w:szCs w:val="22"/>
        </w:rPr>
        <w:t>’</w:t>
      </w:r>
      <w:r w:rsidR="001B645A" w:rsidRPr="00870092">
        <w:rPr>
          <w:sz w:val="22"/>
          <w:szCs w:val="22"/>
        </w:rPr>
        <w:t xml:space="preserve"> to deliver assurance about the effectiveness of its governance arrangements, as depicted in the following chart.</w:t>
      </w:r>
    </w:p>
    <w:p w14:paraId="6E273B6F" w14:textId="13A4DA12" w:rsidR="00A05E4F" w:rsidRDefault="006F4882">
      <w:r>
        <w:rPr>
          <w:noProof/>
        </w:rPr>
        <w:drawing>
          <wp:inline distT="0" distB="0" distL="0" distR="0" wp14:anchorId="176A1DC4" wp14:editId="5C5B58D6">
            <wp:extent cx="4775971" cy="2686050"/>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4567" cy="2724629"/>
                    </a:xfrm>
                    <a:prstGeom prst="rect">
                      <a:avLst/>
                    </a:prstGeom>
                    <a:noFill/>
                  </pic:spPr>
                </pic:pic>
              </a:graphicData>
            </a:graphic>
          </wp:inline>
        </w:drawing>
      </w:r>
    </w:p>
    <w:p w14:paraId="7220151F" w14:textId="487E9E89" w:rsidR="001B645A" w:rsidRDefault="001B645A"/>
    <w:p w14:paraId="08C5AFE3" w14:textId="77777777" w:rsidR="00D364E1" w:rsidRDefault="00D364E1"/>
    <w:p w14:paraId="7AD97207" w14:textId="77777777" w:rsidR="00024967" w:rsidRDefault="00024967"/>
    <w:p w14:paraId="1417DE4B" w14:textId="77777777" w:rsidR="00024967" w:rsidRPr="00625904" w:rsidRDefault="00024967">
      <w:pPr>
        <w:rPr>
          <w:color w:val="00B050"/>
        </w:rPr>
      </w:pPr>
    </w:p>
    <w:p w14:paraId="53D73395" w14:textId="09E56047" w:rsidR="001B645A" w:rsidRPr="00870092" w:rsidRDefault="00F80ACE" w:rsidP="00343D87">
      <w:pPr>
        <w:pStyle w:val="ListParagraph"/>
        <w:numPr>
          <w:ilvl w:val="1"/>
          <w:numId w:val="1"/>
        </w:numPr>
        <w:ind w:left="709" w:hanging="709"/>
        <w:jc w:val="both"/>
        <w:rPr>
          <w:sz w:val="22"/>
          <w:szCs w:val="22"/>
        </w:rPr>
      </w:pPr>
      <w:r>
        <w:rPr>
          <w:sz w:val="22"/>
          <w:szCs w:val="22"/>
        </w:rPr>
        <w:t xml:space="preserve">In line with CIPFA guidance this statement has been compiled by the Corporate Leadership Team following consultation with the </w:t>
      </w:r>
      <w:r w:rsidR="00803831">
        <w:rPr>
          <w:sz w:val="22"/>
          <w:szCs w:val="22"/>
        </w:rPr>
        <w:t xml:space="preserve">Statutory Officers, Executive Directors, </w:t>
      </w:r>
      <w:r>
        <w:rPr>
          <w:sz w:val="22"/>
          <w:szCs w:val="22"/>
        </w:rPr>
        <w:t>Organisational Change Board</w:t>
      </w:r>
      <w:r w:rsidR="00803831">
        <w:rPr>
          <w:sz w:val="22"/>
          <w:szCs w:val="22"/>
        </w:rPr>
        <w:t xml:space="preserve"> and Head of Internal Audit</w:t>
      </w:r>
      <w:r>
        <w:rPr>
          <w:sz w:val="22"/>
          <w:szCs w:val="22"/>
        </w:rPr>
        <w:t xml:space="preserve"> as sources of assurance. T</w:t>
      </w:r>
      <w:r w:rsidR="001B645A" w:rsidRPr="00870092">
        <w:rPr>
          <w:sz w:val="22"/>
          <w:szCs w:val="22"/>
        </w:rPr>
        <w:t xml:space="preserve">he evidence to assess effectiveness with the Local Code </w:t>
      </w:r>
      <w:r w:rsidR="00D75F4E">
        <w:rPr>
          <w:sz w:val="22"/>
          <w:szCs w:val="22"/>
        </w:rPr>
        <w:t>during</w:t>
      </w:r>
      <w:r w:rsidR="001B645A" w:rsidRPr="00870092">
        <w:rPr>
          <w:sz w:val="22"/>
          <w:szCs w:val="22"/>
        </w:rPr>
        <w:t xml:space="preserve"> </w:t>
      </w:r>
      <w:r w:rsidR="00C9185E" w:rsidRPr="00870092">
        <w:rPr>
          <w:sz w:val="22"/>
          <w:szCs w:val="22"/>
        </w:rPr>
        <w:t>202</w:t>
      </w:r>
      <w:r w:rsidR="00E81964">
        <w:rPr>
          <w:sz w:val="22"/>
          <w:szCs w:val="22"/>
        </w:rPr>
        <w:t>5/26</w:t>
      </w:r>
      <w:r w:rsidR="001B645A" w:rsidRPr="00870092">
        <w:rPr>
          <w:sz w:val="22"/>
          <w:szCs w:val="22"/>
        </w:rPr>
        <w:t xml:space="preserve"> is drawn from a range of sources across the three lines of defence, as summarised </w:t>
      </w:r>
      <w:r w:rsidR="0035496F" w:rsidRPr="00870092">
        <w:rPr>
          <w:sz w:val="22"/>
          <w:szCs w:val="22"/>
        </w:rPr>
        <w:t>below</w:t>
      </w:r>
      <w:r w:rsidR="001B645A" w:rsidRPr="00870092">
        <w:rPr>
          <w:sz w:val="22"/>
          <w:szCs w:val="22"/>
        </w:rPr>
        <w:t>.</w:t>
      </w:r>
    </w:p>
    <w:p w14:paraId="45AF8721" w14:textId="59FB5C8F" w:rsidR="0035496F" w:rsidRDefault="0035496F" w:rsidP="00343D87">
      <w:pPr>
        <w:jc w:val="both"/>
        <w:rPr>
          <w:sz w:val="22"/>
          <w:szCs w:val="22"/>
        </w:rPr>
      </w:pPr>
    </w:p>
    <w:p w14:paraId="7ABEF6DD" w14:textId="1B1ABA62" w:rsidR="0035496F" w:rsidRDefault="0035496F" w:rsidP="00343D87">
      <w:pPr>
        <w:jc w:val="both"/>
        <w:rPr>
          <w:sz w:val="22"/>
          <w:szCs w:val="22"/>
        </w:rPr>
      </w:pPr>
      <w:r>
        <w:rPr>
          <w:noProof/>
          <w:szCs w:val="24"/>
        </w:rPr>
        <mc:AlternateContent>
          <mc:Choice Requires="wps">
            <w:drawing>
              <wp:anchor distT="0" distB="0" distL="114300" distR="114300" simplePos="0" relativeHeight="251660288" behindDoc="0" locked="0" layoutInCell="1" allowOverlap="1" wp14:anchorId="0D1E699E" wp14:editId="483B4311">
                <wp:simplePos x="0" y="0"/>
                <wp:positionH relativeFrom="margin">
                  <wp:posOffset>57150</wp:posOffset>
                </wp:positionH>
                <wp:positionV relativeFrom="paragraph">
                  <wp:posOffset>4445</wp:posOffset>
                </wp:positionV>
                <wp:extent cx="2514600" cy="990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514600" cy="99060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2A8C7A" w14:textId="77777777" w:rsidR="00F566CB" w:rsidRPr="00A867C3" w:rsidRDefault="00F566CB" w:rsidP="001B645A">
                            <w:pPr>
                              <w:jc w:val="center"/>
                              <w:rPr>
                                <w:b/>
                                <w:color w:val="000000" w:themeColor="text1"/>
                                <w:sz w:val="28"/>
                                <w:szCs w:val="28"/>
                                <w:u w:val="single"/>
                              </w:rPr>
                            </w:pPr>
                            <w:r w:rsidRPr="00A867C3">
                              <w:rPr>
                                <w:b/>
                                <w:color w:val="000000" w:themeColor="text1"/>
                                <w:sz w:val="28"/>
                                <w:szCs w:val="28"/>
                                <w:u w:val="single"/>
                              </w:rPr>
                              <w:t>1</w:t>
                            </w:r>
                            <w:r w:rsidRPr="00A867C3">
                              <w:rPr>
                                <w:b/>
                                <w:color w:val="000000" w:themeColor="text1"/>
                                <w:sz w:val="28"/>
                                <w:szCs w:val="28"/>
                                <w:u w:val="single"/>
                                <w:vertAlign w:val="superscript"/>
                              </w:rPr>
                              <w:t>st</w:t>
                            </w:r>
                            <w:r w:rsidRPr="00A867C3">
                              <w:rPr>
                                <w:b/>
                                <w:color w:val="000000" w:themeColor="text1"/>
                                <w:sz w:val="28"/>
                                <w:szCs w:val="28"/>
                                <w:u w:val="single"/>
                              </w:rPr>
                              <w:t xml:space="preserve"> Line</w:t>
                            </w:r>
                          </w:p>
                          <w:p w14:paraId="035BE9B5" w14:textId="4B971975" w:rsidR="00F566CB" w:rsidRPr="006F4882" w:rsidRDefault="00F566CB" w:rsidP="001B645A">
                            <w:pPr>
                              <w:pStyle w:val="ListParagraph"/>
                              <w:numPr>
                                <w:ilvl w:val="0"/>
                                <w:numId w:val="5"/>
                              </w:numPr>
                              <w:ind w:left="284"/>
                              <w:rPr>
                                <w:color w:val="000000" w:themeColor="text1"/>
                                <w:sz w:val="20"/>
                              </w:rPr>
                            </w:pPr>
                            <w:r w:rsidRPr="006F4882">
                              <w:rPr>
                                <w:color w:val="000000" w:themeColor="text1"/>
                                <w:sz w:val="20"/>
                              </w:rPr>
                              <w:t xml:space="preserve">Assurance statements from </w:t>
                            </w:r>
                            <w:r w:rsidR="00DC2AE1">
                              <w:rPr>
                                <w:color w:val="000000" w:themeColor="text1"/>
                                <w:sz w:val="20"/>
                              </w:rPr>
                              <w:t>Executive</w:t>
                            </w:r>
                            <w:r w:rsidRPr="006F4882">
                              <w:rPr>
                                <w:color w:val="000000" w:themeColor="text1"/>
                                <w:sz w:val="20"/>
                              </w:rPr>
                              <w:t xml:space="preserve"> Directors concerning the application of key governance controls in their areas of </w:t>
                            </w:r>
                            <w:r w:rsidR="003A7225" w:rsidRPr="006F4882">
                              <w:rPr>
                                <w:color w:val="000000" w:themeColor="text1"/>
                                <w:sz w:val="20"/>
                              </w:rPr>
                              <w:t>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E699E" id="Rectangle 4" o:spid="_x0000_s1026" style="position:absolute;left:0;text-align:left;margin-left:4.5pt;margin-top:.35pt;width:198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" fillcolor="#d5dce4 [671]" strokecolor="#1f3763 [1604]" strokeweight="1pt">
                <v:textbox>
                  <w:txbxContent>
                    <w:p w14:paraId="282A8C7A" w14:textId="77777777" w:rsidR="00F566CB" w:rsidRPr="00A867C3" w:rsidRDefault="00F566CB" w:rsidP="001B645A">
                      <w:pPr>
                        <w:jc w:val="center"/>
                        <w:rPr>
                          <w:b/>
                          <w:color w:val="000000" w:themeColor="text1"/>
                          <w:sz w:val="28"/>
                          <w:szCs w:val="28"/>
                          <w:u w:val="single"/>
                        </w:rPr>
                      </w:pPr>
                      <w:r w:rsidRPr="00A867C3">
                        <w:rPr>
                          <w:b/>
                          <w:color w:val="000000" w:themeColor="text1"/>
                          <w:sz w:val="28"/>
                          <w:szCs w:val="28"/>
                          <w:u w:val="single"/>
                        </w:rPr>
                        <w:t>1</w:t>
                      </w:r>
                      <w:r w:rsidRPr="00A867C3">
                        <w:rPr>
                          <w:b/>
                          <w:color w:val="000000" w:themeColor="text1"/>
                          <w:sz w:val="28"/>
                          <w:szCs w:val="28"/>
                          <w:u w:val="single"/>
                          <w:vertAlign w:val="superscript"/>
                        </w:rPr>
                        <w:t>st</w:t>
                      </w:r>
                      <w:r w:rsidRPr="00A867C3">
                        <w:rPr>
                          <w:b/>
                          <w:color w:val="000000" w:themeColor="text1"/>
                          <w:sz w:val="28"/>
                          <w:szCs w:val="28"/>
                          <w:u w:val="single"/>
                        </w:rPr>
                        <w:t xml:space="preserve"> Line</w:t>
                      </w:r>
                    </w:p>
                    <w:p w14:paraId="035BE9B5" w14:textId="4B971975" w:rsidR="00F566CB" w:rsidRPr="006F4882" w:rsidRDefault="00F566CB" w:rsidP="001B645A">
                      <w:pPr>
                        <w:pStyle w:val="ListParagraph"/>
                        <w:numPr>
                          <w:ilvl w:val="0"/>
                          <w:numId w:val="5"/>
                        </w:numPr>
                        <w:ind w:left="284"/>
                        <w:rPr>
                          <w:color w:val="000000" w:themeColor="text1"/>
                          <w:sz w:val="20"/>
                        </w:rPr>
                      </w:pPr>
                      <w:r w:rsidRPr="006F4882">
                        <w:rPr>
                          <w:color w:val="000000" w:themeColor="text1"/>
                          <w:sz w:val="20"/>
                        </w:rPr>
                        <w:t xml:space="preserve">Assurance statements from </w:t>
                      </w:r>
                      <w:r w:rsidR="00DC2AE1">
                        <w:rPr>
                          <w:color w:val="000000" w:themeColor="text1"/>
                          <w:sz w:val="20"/>
                        </w:rPr>
                        <w:t>Executive</w:t>
                      </w:r>
                      <w:r w:rsidRPr="006F4882">
                        <w:rPr>
                          <w:color w:val="000000" w:themeColor="text1"/>
                          <w:sz w:val="20"/>
                        </w:rPr>
                        <w:t xml:space="preserve"> Directors concerning the application of key governance controls in their areas of </w:t>
                      </w:r>
                      <w:r w:rsidR="003A7225" w:rsidRPr="006F4882">
                        <w:rPr>
                          <w:color w:val="000000" w:themeColor="text1"/>
                          <w:sz w:val="20"/>
                        </w:rPr>
                        <w:t>service.</w:t>
                      </w:r>
                    </w:p>
                  </w:txbxContent>
                </v:textbox>
                <w10:wrap anchorx="margin"/>
              </v:rect>
            </w:pict>
          </mc:Fallback>
        </mc:AlternateContent>
      </w:r>
    </w:p>
    <w:p w14:paraId="35CB1CA6" w14:textId="4C16D416" w:rsidR="0035496F" w:rsidRDefault="0035496F" w:rsidP="00343D87">
      <w:pPr>
        <w:jc w:val="both"/>
        <w:rPr>
          <w:sz w:val="22"/>
          <w:szCs w:val="22"/>
        </w:rPr>
      </w:pPr>
    </w:p>
    <w:p w14:paraId="22D32A48" w14:textId="0D472F14" w:rsidR="0035496F" w:rsidRDefault="0035496F" w:rsidP="00343D87">
      <w:pPr>
        <w:jc w:val="both"/>
        <w:rPr>
          <w:sz w:val="22"/>
          <w:szCs w:val="22"/>
        </w:rPr>
      </w:pPr>
    </w:p>
    <w:p w14:paraId="08142176" w14:textId="341EF59B" w:rsidR="0035496F" w:rsidRDefault="0035496F" w:rsidP="00343D87">
      <w:pPr>
        <w:jc w:val="both"/>
        <w:rPr>
          <w:sz w:val="22"/>
          <w:szCs w:val="22"/>
        </w:rPr>
      </w:pPr>
    </w:p>
    <w:p w14:paraId="497334CE" w14:textId="77777777" w:rsidR="0035496F" w:rsidRPr="0035496F" w:rsidRDefault="0035496F" w:rsidP="00343D87">
      <w:pPr>
        <w:jc w:val="both"/>
        <w:rPr>
          <w:sz w:val="22"/>
          <w:szCs w:val="22"/>
        </w:rPr>
      </w:pPr>
    </w:p>
    <w:p w14:paraId="715C5EBA" w14:textId="6540D9DF" w:rsidR="001B645A" w:rsidRDefault="001B645A" w:rsidP="00343D87">
      <w:pPr>
        <w:jc w:val="both"/>
        <w:rPr>
          <w:sz w:val="22"/>
          <w:szCs w:val="22"/>
        </w:rPr>
      </w:pPr>
    </w:p>
    <w:p w14:paraId="03F320C0" w14:textId="2F20BBCD" w:rsidR="0035496F" w:rsidRDefault="0035496F" w:rsidP="00343D87">
      <w:pPr>
        <w:jc w:val="both"/>
        <w:rPr>
          <w:sz w:val="22"/>
          <w:szCs w:val="22"/>
        </w:rPr>
      </w:pPr>
    </w:p>
    <w:p w14:paraId="7D530737" w14:textId="72237C47" w:rsidR="0035496F" w:rsidRDefault="0035496F" w:rsidP="00343D87">
      <w:pPr>
        <w:jc w:val="both"/>
        <w:rPr>
          <w:sz w:val="22"/>
          <w:szCs w:val="22"/>
        </w:rPr>
      </w:pPr>
      <w:r>
        <w:rPr>
          <w:noProof/>
          <w:szCs w:val="24"/>
        </w:rPr>
        <mc:AlternateContent>
          <mc:Choice Requires="wps">
            <w:drawing>
              <wp:anchor distT="0" distB="0" distL="114300" distR="114300" simplePos="0" relativeHeight="251659264" behindDoc="0" locked="0" layoutInCell="1" allowOverlap="1" wp14:anchorId="1DFA1834" wp14:editId="37143498">
                <wp:simplePos x="0" y="0"/>
                <wp:positionH relativeFrom="margin">
                  <wp:posOffset>596900</wp:posOffset>
                </wp:positionH>
                <wp:positionV relativeFrom="paragraph">
                  <wp:posOffset>69850</wp:posOffset>
                </wp:positionV>
                <wp:extent cx="2541814" cy="2046514"/>
                <wp:effectExtent l="0" t="0" r="11430" b="11430"/>
                <wp:wrapNone/>
                <wp:docPr id="3" name="Rectangle 3"/>
                <wp:cNvGraphicFramePr/>
                <a:graphic xmlns:a="http://schemas.openxmlformats.org/drawingml/2006/main">
                  <a:graphicData uri="http://schemas.microsoft.com/office/word/2010/wordprocessingShape">
                    <wps:wsp>
                      <wps:cNvSpPr/>
                      <wps:spPr>
                        <a:xfrm>
                          <a:off x="0" y="0"/>
                          <a:ext cx="2541814" cy="2046514"/>
                        </a:xfrm>
                        <a:prstGeom prst="rect">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06D762" w14:textId="77777777" w:rsidR="00F566CB" w:rsidRPr="00A867C3" w:rsidRDefault="00F566CB" w:rsidP="001B645A">
                            <w:pPr>
                              <w:jc w:val="center"/>
                              <w:rPr>
                                <w:b/>
                                <w:sz w:val="28"/>
                                <w:szCs w:val="28"/>
                                <w:u w:val="single"/>
                              </w:rPr>
                            </w:pPr>
                            <w:r w:rsidRPr="00A867C3">
                              <w:rPr>
                                <w:b/>
                                <w:sz w:val="28"/>
                                <w:szCs w:val="28"/>
                                <w:u w:val="single"/>
                              </w:rPr>
                              <w:t>2</w:t>
                            </w:r>
                            <w:r w:rsidRPr="00A867C3">
                              <w:rPr>
                                <w:b/>
                                <w:sz w:val="28"/>
                                <w:szCs w:val="28"/>
                                <w:u w:val="single"/>
                                <w:vertAlign w:val="superscript"/>
                              </w:rPr>
                              <w:t>nd</w:t>
                            </w:r>
                            <w:r w:rsidRPr="00A867C3">
                              <w:rPr>
                                <w:b/>
                                <w:sz w:val="28"/>
                                <w:szCs w:val="28"/>
                                <w:u w:val="single"/>
                              </w:rPr>
                              <w:t xml:space="preserve"> Line</w:t>
                            </w:r>
                          </w:p>
                          <w:p w14:paraId="6C819E25" w14:textId="2952451E" w:rsidR="00F566CB" w:rsidRPr="006F4882" w:rsidRDefault="0035496F" w:rsidP="001B645A">
                            <w:pPr>
                              <w:pStyle w:val="ListParagraph"/>
                              <w:numPr>
                                <w:ilvl w:val="0"/>
                                <w:numId w:val="3"/>
                              </w:numPr>
                              <w:ind w:left="284"/>
                              <w:rPr>
                                <w:sz w:val="20"/>
                              </w:rPr>
                            </w:pPr>
                            <w:r>
                              <w:rPr>
                                <w:sz w:val="20"/>
                              </w:rPr>
                              <w:t>In-year</w:t>
                            </w:r>
                            <w:r w:rsidR="00F566CB" w:rsidRPr="006F4882">
                              <w:rPr>
                                <w:sz w:val="20"/>
                              </w:rPr>
                              <w:t xml:space="preserve"> governance updates to the Governance &amp; Ethics Committee</w:t>
                            </w:r>
                          </w:p>
                          <w:p w14:paraId="439CDF96" w14:textId="77777777" w:rsidR="00F566CB" w:rsidRPr="006F4882" w:rsidRDefault="00F566CB" w:rsidP="001B645A">
                            <w:pPr>
                              <w:pStyle w:val="ListParagraph"/>
                              <w:ind w:left="284"/>
                              <w:rPr>
                                <w:sz w:val="20"/>
                              </w:rPr>
                            </w:pPr>
                          </w:p>
                          <w:p w14:paraId="743A57EE" w14:textId="18437F90" w:rsidR="00F566CB" w:rsidRPr="006F4882" w:rsidRDefault="00F566CB" w:rsidP="001B645A">
                            <w:pPr>
                              <w:pStyle w:val="ListParagraph"/>
                              <w:numPr>
                                <w:ilvl w:val="0"/>
                                <w:numId w:val="3"/>
                              </w:numPr>
                              <w:ind w:left="284"/>
                              <w:rPr>
                                <w:sz w:val="20"/>
                              </w:rPr>
                            </w:pPr>
                            <w:r w:rsidRPr="006F4882">
                              <w:rPr>
                                <w:sz w:val="20"/>
                              </w:rPr>
                              <w:t xml:space="preserve">Review of core governance issues dealt with by the Council and its committee </w:t>
                            </w:r>
                            <w:r w:rsidR="003A7225" w:rsidRPr="006F4882">
                              <w:rPr>
                                <w:sz w:val="20"/>
                              </w:rPr>
                              <w:t>structure.</w:t>
                            </w:r>
                          </w:p>
                          <w:p w14:paraId="7D4C2883" w14:textId="77777777" w:rsidR="00F566CB" w:rsidRPr="006F4882" w:rsidRDefault="00F566CB" w:rsidP="001B645A">
                            <w:pPr>
                              <w:pStyle w:val="ListParagraph"/>
                              <w:rPr>
                                <w:sz w:val="20"/>
                              </w:rPr>
                            </w:pPr>
                          </w:p>
                          <w:p w14:paraId="6DBB2EE3" w14:textId="1B1CCB7D" w:rsidR="00F566CB" w:rsidRPr="006F4882" w:rsidRDefault="00F566CB" w:rsidP="001B645A">
                            <w:pPr>
                              <w:pStyle w:val="ListParagraph"/>
                              <w:numPr>
                                <w:ilvl w:val="0"/>
                                <w:numId w:val="3"/>
                              </w:numPr>
                              <w:ind w:left="284"/>
                              <w:rPr>
                                <w:sz w:val="20"/>
                              </w:rPr>
                            </w:pPr>
                            <w:r w:rsidRPr="006F4882">
                              <w:rPr>
                                <w:sz w:val="20"/>
                              </w:rPr>
                              <w:t>Assurance mapping</w:t>
                            </w:r>
                          </w:p>
                          <w:p w14:paraId="410299B3" w14:textId="77777777" w:rsidR="00F566CB" w:rsidRPr="006F4882" w:rsidRDefault="00F566CB" w:rsidP="001B645A">
                            <w:pPr>
                              <w:pStyle w:val="ListParagraph"/>
                              <w:rPr>
                                <w:sz w:val="20"/>
                              </w:rPr>
                            </w:pPr>
                          </w:p>
                          <w:p w14:paraId="1BCF3CC6" w14:textId="7D0AAF5A" w:rsidR="00F566CB" w:rsidRPr="006F4882" w:rsidRDefault="00F566CB" w:rsidP="001B645A">
                            <w:pPr>
                              <w:pStyle w:val="ListParagraph"/>
                              <w:numPr>
                                <w:ilvl w:val="0"/>
                                <w:numId w:val="3"/>
                              </w:numPr>
                              <w:ind w:left="284"/>
                              <w:rPr>
                                <w:sz w:val="20"/>
                              </w:rPr>
                            </w:pPr>
                            <w:r w:rsidRPr="006F4882">
                              <w:rPr>
                                <w:sz w:val="20"/>
                              </w:rPr>
                              <w:t>Governance &amp; Ethics Committee’s annual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A1834" id="Rectangle 3" o:spid="_x0000_s1027" style="position:absolute;left:0;text-align:left;margin-left:47pt;margin-top:5.5pt;width:200.15pt;height:16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" fillcolor="#8496b0 [1951]" strokecolor="#1f3763 [1604]" strokeweight="1pt">
                <v:textbox>
                  <w:txbxContent>
                    <w:p w14:paraId="4706D762" w14:textId="77777777" w:rsidR="00F566CB" w:rsidRPr="00A867C3" w:rsidRDefault="00F566CB" w:rsidP="001B645A">
                      <w:pPr>
                        <w:jc w:val="center"/>
                        <w:rPr>
                          <w:b/>
                          <w:sz w:val="28"/>
                          <w:szCs w:val="28"/>
                          <w:u w:val="single"/>
                        </w:rPr>
                      </w:pPr>
                      <w:r w:rsidRPr="00A867C3">
                        <w:rPr>
                          <w:b/>
                          <w:sz w:val="28"/>
                          <w:szCs w:val="28"/>
                          <w:u w:val="single"/>
                        </w:rPr>
                        <w:t>2</w:t>
                      </w:r>
                      <w:r w:rsidRPr="00A867C3">
                        <w:rPr>
                          <w:b/>
                          <w:sz w:val="28"/>
                          <w:szCs w:val="28"/>
                          <w:u w:val="single"/>
                          <w:vertAlign w:val="superscript"/>
                        </w:rPr>
                        <w:t>nd</w:t>
                      </w:r>
                      <w:r w:rsidRPr="00A867C3">
                        <w:rPr>
                          <w:b/>
                          <w:sz w:val="28"/>
                          <w:szCs w:val="28"/>
                          <w:u w:val="single"/>
                        </w:rPr>
                        <w:t xml:space="preserve"> Line</w:t>
                      </w:r>
                    </w:p>
                    <w:p w14:paraId="6C819E25" w14:textId="2952451E" w:rsidR="00F566CB" w:rsidRPr="006F4882" w:rsidRDefault="0035496F" w:rsidP="001B645A">
                      <w:pPr>
                        <w:pStyle w:val="ListParagraph"/>
                        <w:numPr>
                          <w:ilvl w:val="0"/>
                          <w:numId w:val="3"/>
                        </w:numPr>
                        <w:ind w:left="284"/>
                        <w:rPr>
                          <w:sz w:val="20"/>
                        </w:rPr>
                      </w:pPr>
                      <w:r>
                        <w:rPr>
                          <w:sz w:val="20"/>
                        </w:rPr>
                        <w:t>In-year</w:t>
                      </w:r>
                      <w:r w:rsidR="00F566CB" w:rsidRPr="006F4882">
                        <w:rPr>
                          <w:sz w:val="20"/>
                        </w:rPr>
                        <w:t xml:space="preserve"> governance updates to the Governance &amp; Ethics Committee</w:t>
                      </w:r>
                    </w:p>
                    <w:p w14:paraId="439CDF96" w14:textId="77777777" w:rsidR="00F566CB" w:rsidRPr="006F4882" w:rsidRDefault="00F566CB" w:rsidP="001B645A">
                      <w:pPr>
                        <w:pStyle w:val="ListParagraph"/>
                        <w:ind w:left="284"/>
                        <w:rPr>
                          <w:sz w:val="20"/>
                        </w:rPr>
                      </w:pPr>
                    </w:p>
                    <w:p w14:paraId="743A57EE" w14:textId="18437F90" w:rsidR="00F566CB" w:rsidRPr="006F4882" w:rsidRDefault="00F566CB" w:rsidP="001B645A">
                      <w:pPr>
                        <w:pStyle w:val="ListParagraph"/>
                        <w:numPr>
                          <w:ilvl w:val="0"/>
                          <w:numId w:val="3"/>
                        </w:numPr>
                        <w:ind w:left="284"/>
                        <w:rPr>
                          <w:sz w:val="20"/>
                        </w:rPr>
                      </w:pPr>
                      <w:r w:rsidRPr="006F4882">
                        <w:rPr>
                          <w:sz w:val="20"/>
                        </w:rPr>
                        <w:t xml:space="preserve">Review of core governance issues dealt with by the Council and its committee </w:t>
                      </w:r>
                      <w:r w:rsidR="003A7225" w:rsidRPr="006F4882">
                        <w:rPr>
                          <w:sz w:val="20"/>
                        </w:rPr>
                        <w:t>structure.</w:t>
                      </w:r>
                    </w:p>
                    <w:p w14:paraId="7D4C2883" w14:textId="77777777" w:rsidR="00F566CB" w:rsidRPr="006F4882" w:rsidRDefault="00F566CB" w:rsidP="001B645A">
                      <w:pPr>
                        <w:pStyle w:val="ListParagraph"/>
                        <w:rPr>
                          <w:sz w:val="20"/>
                        </w:rPr>
                      </w:pPr>
                    </w:p>
                    <w:p w14:paraId="6DBB2EE3" w14:textId="1B1CCB7D" w:rsidR="00F566CB" w:rsidRPr="006F4882" w:rsidRDefault="00F566CB" w:rsidP="001B645A">
                      <w:pPr>
                        <w:pStyle w:val="ListParagraph"/>
                        <w:numPr>
                          <w:ilvl w:val="0"/>
                          <w:numId w:val="3"/>
                        </w:numPr>
                        <w:ind w:left="284"/>
                        <w:rPr>
                          <w:sz w:val="20"/>
                        </w:rPr>
                      </w:pPr>
                      <w:r w:rsidRPr="006F4882">
                        <w:rPr>
                          <w:sz w:val="20"/>
                        </w:rPr>
                        <w:t>Assurance mapping</w:t>
                      </w:r>
                    </w:p>
                    <w:p w14:paraId="410299B3" w14:textId="77777777" w:rsidR="00F566CB" w:rsidRPr="006F4882" w:rsidRDefault="00F566CB" w:rsidP="001B645A">
                      <w:pPr>
                        <w:pStyle w:val="ListParagraph"/>
                        <w:rPr>
                          <w:sz w:val="20"/>
                        </w:rPr>
                      </w:pPr>
                    </w:p>
                    <w:p w14:paraId="1BCF3CC6" w14:textId="7D0AAF5A" w:rsidR="00F566CB" w:rsidRPr="006F4882" w:rsidRDefault="00F566CB" w:rsidP="001B645A">
                      <w:pPr>
                        <w:pStyle w:val="ListParagraph"/>
                        <w:numPr>
                          <w:ilvl w:val="0"/>
                          <w:numId w:val="3"/>
                        </w:numPr>
                        <w:ind w:left="284"/>
                        <w:rPr>
                          <w:sz w:val="20"/>
                        </w:rPr>
                      </w:pPr>
                      <w:r w:rsidRPr="006F4882">
                        <w:rPr>
                          <w:sz w:val="20"/>
                        </w:rPr>
                        <w:t>Governance &amp; Ethics Committee’s annual report</w:t>
                      </w:r>
                    </w:p>
                  </w:txbxContent>
                </v:textbox>
                <w10:wrap anchorx="margin"/>
              </v:rect>
            </w:pict>
          </mc:Fallback>
        </mc:AlternateContent>
      </w:r>
    </w:p>
    <w:p w14:paraId="027DB74B" w14:textId="4D1C5FBE" w:rsidR="0035496F" w:rsidRDefault="0035496F" w:rsidP="00343D87">
      <w:pPr>
        <w:jc w:val="both"/>
        <w:rPr>
          <w:sz w:val="22"/>
          <w:szCs w:val="22"/>
        </w:rPr>
      </w:pPr>
    </w:p>
    <w:p w14:paraId="4E50299F" w14:textId="7459A0E9" w:rsidR="0035496F" w:rsidRDefault="0035496F" w:rsidP="00343D87">
      <w:pPr>
        <w:jc w:val="both"/>
        <w:rPr>
          <w:sz w:val="22"/>
          <w:szCs w:val="22"/>
        </w:rPr>
      </w:pPr>
    </w:p>
    <w:p w14:paraId="2D7EF6EB" w14:textId="487275B9" w:rsidR="0035496F" w:rsidRDefault="0035496F" w:rsidP="00343D87">
      <w:pPr>
        <w:jc w:val="both"/>
        <w:rPr>
          <w:sz w:val="22"/>
          <w:szCs w:val="22"/>
        </w:rPr>
      </w:pPr>
    </w:p>
    <w:p w14:paraId="19561F36" w14:textId="17F80DCC" w:rsidR="0035496F" w:rsidRDefault="0035496F" w:rsidP="00343D87">
      <w:pPr>
        <w:jc w:val="both"/>
        <w:rPr>
          <w:sz w:val="22"/>
          <w:szCs w:val="22"/>
        </w:rPr>
      </w:pPr>
    </w:p>
    <w:p w14:paraId="223600E9" w14:textId="23FB93D0" w:rsidR="0035496F" w:rsidRDefault="0035496F" w:rsidP="00343D87">
      <w:pPr>
        <w:jc w:val="both"/>
        <w:rPr>
          <w:sz w:val="22"/>
          <w:szCs w:val="22"/>
        </w:rPr>
      </w:pPr>
    </w:p>
    <w:p w14:paraId="499F0142" w14:textId="74001AD0" w:rsidR="0035496F" w:rsidRDefault="0035496F" w:rsidP="00343D87">
      <w:pPr>
        <w:jc w:val="both"/>
        <w:rPr>
          <w:sz w:val="22"/>
          <w:szCs w:val="22"/>
        </w:rPr>
      </w:pPr>
    </w:p>
    <w:p w14:paraId="43119599" w14:textId="0A8317F6" w:rsidR="0035496F" w:rsidRDefault="0035496F" w:rsidP="00343D87">
      <w:pPr>
        <w:jc w:val="both"/>
        <w:rPr>
          <w:sz w:val="22"/>
          <w:szCs w:val="22"/>
        </w:rPr>
      </w:pPr>
    </w:p>
    <w:p w14:paraId="1569C96D" w14:textId="16611E1C" w:rsidR="0035496F" w:rsidRDefault="0035496F" w:rsidP="00343D87">
      <w:pPr>
        <w:jc w:val="both"/>
        <w:rPr>
          <w:sz w:val="22"/>
          <w:szCs w:val="22"/>
        </w:rPr>
      </w:pPr>
    </w:p>
    <w:p w14:paraId="26CCE4E6" w14:textId="49CB5CDA" w:rsidR="0035496F" w:rsidRDefault="0035496F" w:rsidP="00343D87">
      <w:pPr>
        <w:jc w:val="both"/>
        <w:rPr>
          <w:sz w:val="22"/>
          <w:szCs w:val="22"/>
        </w:rPr>
      </w:pPr>
    </w:p>
    <w:p w14:paraId="5885655D" w14:textId="443D9C85" w:rsidR="0035496F" w:rsidRDefault="0035496F" w:rsidP="00343D87">
      <w:pPr>
        <w:jc w:val="both"/>
        <w:rPr>
          <w:sz w:val="22"/>
          <w:szCs w:val="22"/>
        </w:rPr>
      </w:pPr>
    </w:p>
    <w:p w14:paraId="44F1DE93" w14:textId="7AB2267D" w:rsidR="0035496F" w:rsidRDefault="0035496F" w:rsidP="00343D87">
      <w:pPr>
        <w:jc w:val="both"/>
        <w:rPr>
          <w:sz w:val="22"/>
          <w:szCs w:val="22"/>
        </w:rPr>
      </w:pPr>
    </w:p>
    <w:p w14:paraId="76D8BF81" w14:textId="7437BF1B" w:rsidR="0035496F" w:rsidRDefault="0035496F" w:rsidP="00343D87">
      <w:pPr>
        <w:jc w:val="both"/>
        <w:rPr>
          <w:sz w:val="22"/>
          <w:szCs w:val="22"/>
        </w:rPr>
      </w:pPr>
    </w:p>
    <w:p w14:paraId="19AB69C5" w14:textId="539B5239" w:rsidR="0035496F" w:rsidRDefault="0035496F" w:rsidP="00343D87">
      <w:pPr>
        <w:jc w:val="both"/>
        <w:rPr>
          <w:sz w:val="22"/>
          <w:szCs w:val="22"/>
        </w:rPr>
      </w:pPr>
    </w:p>
    <w:p w14:paraId="4962D8C1" w14:textId="2FD912B5" w:rsidR="0035496F" w:rsidRDefault="0035496F" w:rsidP="00343D87">
      <w:pPr>
        <w:jc w:val="both"/>
        <w:rPr>
          <w:sz w:val="22"/>
          <w:szCs w:val="22"/>
        </w:rPr>
      </w:pPr>
      <w:r>
        <w:rPr>
          <w:noProof/>
          <w:szCs w:val="24"/>
        </w:rPr>
        <mc:AlternateContent>
          <mc:Choice Requires="wps">
            <w:drawing>
              <wp:anchor distT="0" distB="0" distL="114300" distR="114300" simplePos="0" relativeHeight="251661312" behindDoc="0" locked="0" layoutInCell="1" allowOverlap="1" wp14:anchorId="733908FF" wp14:editId="3005F055">
                <wp:simplePos x="0" y="0"/>
                <wp:positionH relativeFrom="margin">
                  <wp:posOffset>1309370</wp:posOffset>
                </wp:positionH>
                <wp:positionV relativeFrom="paragraph">
                  <wp:posOffset>13970</wp:posOffset>
                </wp:positionV>
                <wp:extent cx="2569029" cy="1821180"/>
                <wp:effectExtent l="0" t="0" r="22225" b="26670"/>
                <wp:wrapNone/>
                <wp:docPr id="5" name="Rectangle 5"/>
                <wp:cNvGraphicFramePr/>
                <a:graphic xmlns:a="http://schemas.openxmlformats.org/drawingml/2006/main">
                  <a:graphicData uri="http://schemas.microsoft.com/office/word/2010/wordprocessingShape">
                    <wps:wsp>
                      <wps:cNvSpPr/>
                      <wps:spPr>
                        <a:xfrm>
                          <a:off x="0" y="0"/>
                          <a:ext cx="2569029" cy="1821180"/>
                        </a:xfrm>
                        <a:prstGeom prst="rect">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3373EA" w14:textId="77777777" w:rsidR="00F566CB" w:rsidRPr="00A867C3" w:rsidRDefault="00F566CB" w:rsidP="001B645A">
                            <w:pPr>
                              <w:jc w:val="center"/>
                              <w:rPr>
                                <w:b/>
                                <w:sz w:val="28"/>
                                <w:szCs w:val="28"/>
                                <w:u w:val="single"/>
                              </w:rPr>
                            </w:pPr>
                            <w:r w:rsidRPr="00A867C3">
                              <w:rPr>
                                <w:b/>
                                <w:sz w:val="28"/>
                                <w:szCs w:val="28"/>
                                <w:u w:val="single"/>
                              </w:rPr>
                              <w:t>3</w:t>
                            </w:r>
                            <w:r w:rsidRPr="00A867C3">
                              <w:rPr>
                                <w:b/>
                                <w:sz w:val="28"/>
                                <w:szCs w:val="28"/>
                                <w:u w:val="single"/>
                                <w:vertAlign w:val="superscript"/>
                              </w:rPr>
                              <w:t>rd</w:t>
                            </w:r>
                            <w:r w:rsidRPr="00A867C3">
                              <w:rPr>
                                <w:b/>
                                <w:sz w:val="28"/>
                                <w:szCs w:val="28"/>
                                <w:u w:val="single"/>
                              </w:rPr>
                              <w:t xml:space="preserve"> Line</w:t>
                            </w:r>
                          </w:p>
                          <w:p w14:paraId="28F2B30C" w14:textId="77777777" w:rsidR="00F566CB" w:rsidRPr="006F4882" w:rsidRDefault="00F566CB" w:rsidP="001B645A">
                            <w:pPr>
                              <w:pStyle w:val="ListParagraph"/>
                              <w:numPr>
                                <w:ilvl w:val="0"/>
                                <w:numId w:val="4"/>
                              </w:numPr>
                              <w:ind w:left="284"/>
                              <w:rPr>
                                <w:sz w:val="20"/>
                              </w:rPr>
                            </w:pPr>
                            <w:r w:rsidRPr="006F4882">
                              <w:rPr>
                                <w:sz w:val="20"/>
                              </w:rPr>
                              <w:t>Head of Internal Audit’s annual report (draft report)</w:t>
                            </w:r>
                          </w:p>
                          <w:p w14:paraId="01CBA170" w14:textId="77777777" w:rsidR="00F566CB" w:rsidRPr="006F4882" w:rsidRDefault="00F566CB" w:rsidP="001B645A">
                            <w:pPr>
                              <w:pStyle w:val="ListParagraph"/>
                              <w:ind w:left="284"/>
                              <w:rPr>
                                <w:sz w:val="20"/>
                              </w:rPr>
                            </w:pPr>
                          </w:p>
                          <w:p w14:paraId="7106086D" w14:textId="72A03EA1" w:rsidR="00F566CB" w:rsidRPr="006F4882" w:rsidRDefault="00F566CB" w:rsidP="001B645A">
                            <w:pPr>
                              <w:pStyle w:val="ListParagraph"/>
                              <w:numPr>
                                <w:ilvl w:val="0"/>
                                <w:numId w:val="4"/>
                              </w:numPr>
                              <w:ind w:left="284"/>
                              <w:rPr>
                                <w:sz w:val="20"/>
                              </w:rPr>
                            </w:pPr>
                            <w:r w:rsidRPr="006F4882">
                              <w:rPr>
                                <w:sz w:val="20"/>
                              </w:rPr>
                              <w:t>Reports of External Auditor</w:t>
                            </w:r>
                          </w:p>
                          <w:p w14:paraId="0984CB6E" w14:textId="77777777" w:rsidR="00F566CB" w:rsidRPr="006F4882" w:rsidRDefault="00F566CB" w:rsidP="003E6D4C">
                            <w:pPr>
                              <w:pStyle w:val="ListParagraph"/>
                              <w:rPr>
                                <w:sz w:val="20"/>
                              </w:rPr>
                            </w:pPr>
                          </w:p>
                          <w:p w14:paraId="088FA39F" w14:textId="379E5A8B" w:rsidR="00F566CB" w:rsidRPr="006F4882" w:rsidRDefault="00F566CB" w:rsidP="001B645A">
                            <w:pPr>
                              <w:pStyle w:val="ListParagraph"/>
                              <w:numPr>
                                <w:ilvl w:val="0"/>
                                <w:numId w:val="4"/>
                              </w:numPr>
                              <w:ind w:left="284"/>
                              <w:rPr>
                                <w:sz w:val="20"/>
                              </w:rPr>
                            </w:pPr>
                            <w:r>
                              <w:rPr>
                                <w:sz w:val="20"/>
                              </w:rPr>
                              <w:t>Other external inspections (</w:t>
                            </w:r>
                            <w:r w:rsidRPr="006F4882">
                              <w:rPr>
                                <w:sz w:val="20"/>
                              </w:rPr>
                              <w:t>risk management</w:t>
                            </w:r>
                            <w:r>
                              <w:rPr>
                                <w:sz w:val="20"/>
                              </w:rPr>
                              <w:t xml:space="preserve"> review, BACS bureau inspection, BSI health &amp; safety accreditation)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908FF" id="Rectangle 5" o:spid="_x0000_s1028" style="position:absolute;left:0;text-align:left;margin-left:103.1pt;margin-top:1.1pt;width:202.3pt;height:14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" fillcolor="#212934 [1615]" strokecolor="#1f3763 [1604]" strokeweight="1pt">
                <v:textbox>
                  <w:txbxContent>
                    <w:p w14:paraId="383373EA" w14:textId="77777777" w:rsidR="00F566CB" w:rsidRPr="00A867C3" w:rsidRDefault="00F566CB" w:rsidP="001B645A">
                      <w:pPr>
                        <w:jc w:val="center"/>
                        <w:rPr>
                          <w:b/>
                          <w:sz w:val="28"/>
                          <w:szCs w:val="28"/>
                          <w:u w:val="single"/>
                        </w:rPr>
                      </w:pPr>
                      <w:r w:rsidRPr="00A867C3">
                        <w:rPr>
                          <w:b/>
                          <w:sz w:val="28"/>
                          <w:szCs w:val="28"/>
                          <w:u w:val="single"/>
                        </w:rPr>
                        <w:t>3</w:t>
                      </w:r>
                      <w:r w:rsidRPr="00A867C3">
                        <w:rPr>
                          <w:b/>
                          <w:sz w:val="28"/>
                          <w:szCs w:val="28"/>
                          <w:u w:val="single"/>
                          <w:vertAlign w:val="superscript"/>
                        </w:rPr>
                        <w:t>rd</w:t>
                      </w:r>
                      <w:r w:rsidRPr="00A867C3">
                        <w:rPr>
                          <w:b/>
                          <w:sz w:val="28"/>
                          <w:szCs w:val="28"/>
                          <w:u w:val="single"/>
                        </w:rPr>
                        <w:t xml:space="preserve"> Line</w:t>
                      </w:r>
                    </w:p>
                    <w:p w14:paraId="28F2B30C" w14:textId="77777777" w:rsidR="00F566CB" w:rsidRPr="006F4882" w:rsidRDefault="00F566CB" w:rsidP="001B645A">
                      <w:pPr>
                        <w:pStyle w:val="ListParagraph"/>
                        <w:numPr>
                          <w:ilvl w:val="0"/>
                          <w:numId w:val="4"/>
                        </w:numPr>
                        <w:ind w:left="284"/>
                        <w:rPr>
                          <w:sz w:val="20"/>
                        </w:rPr>
                      </w:pPr>
                      <w:r w:rsidRPr="006F4882">
                        <w:rPr>
                          <w:sz w:val="20"/>
                        </w:rPr>
                        <w:t>Head of Internal Audit’s annual report (draft report)</w:t>
                      </w:r>
                    </w:p>
                    <w:p w14:paraId="01CBA170" w14:textId="77777777" w:rsidR="00F566CB" w:rsidRPr="006F4882" w:rsidRDefault="00F566CB" w:rsidP="001B645A">
                      <w:pPr>
                        <w:pStyle w:val="ListParagraph"/>
                        <w:ind w:left="284"/>
                        <w:rPr>
                          <w:sz w:val="20"/>
                        </w:rPr>
                      </w:pPr>
                    </w:p>
                    <w:p w14:paraId="7106086D" w14:textId="72A03EA1" w:rsidR="00F566CB" w:rsidRPr="006F4882" w:rsidRDefault="00F566CB" w:rsidP="001B645A">
                      <w:pPr>
                        <w:pStyle w:val="ListParagraph"/>
                        <w:numPr>
                          <w:ilvl w:val="0"/>
                          <w:numId w:val="4"/>
                        </w:numPr>
                        <w:ind w:left="284"/>
                        <w:rPr>
                          <w:sz w:val="20"/>
                        </w:rPr>
                      </w:pPr>
                      <w:r w:rsidRPr="006F4882">
                        <w:rPr>
                          <w:sz w:val="20"/>
                        </w:rPr>
                        <w:t>Reports of External Auditor</w:t>
                      </w:r>
                    </w:p>
                    <w:p w14:paraId="0984CB6E" w14:textId="77777777" w:rsidR="00F566CB" w:rsidRPr="006F4882" w:rsidRDefault="00F566CB" w:rsidP="003E6D4C">
                      <w:pPr>
                        <w:pStyle w:val="ListParagraph"/>
                        <w:rPr>
                          <w:sz w:val="20"/>
                        </w:rPr>
                      </w:pPr>
                    </w:p>
                    <w:p w14:paraId="088FA39F" w14:textId="379E5A8B" w:rsidR="00F566CB" w:rsidRPr="006F4882" w:rsidRDefault="00F566CB" w:rsidP="001B645A">
                      <w:pPr>
                        <w:pStyle w:val="ListParagraph"/>
                        <w:numPr>
                          <w:ilvl w:val="0"/>
                          <w:numId w:val="4"/>
                        </w:numPr>
                        <w:ind w:left="284"/>
                        <w:rPr>
                          <w:sz w:val="20"/>
                        </w:rPr>
                      </w:pPr>
                      <w:r>
                        <w:rPr>
                          <w:sz w:val="20"/>
                        </w:rPr>
                        <w:t>Other external inspections (</w:t>
                      </w:r>
                      <w:r w:rsidRPr="006F4882">
                        <w:rPr>
                          <w:sz w:val="20"/>
                        </w:rPr>
                        <w:t>risk management</w:t>
                      </w:r>
                      <w:r>
                        <w:rPr>
                          <w:sz w:val="20"/>
                        </w:rPr>
                        <w:t xml:space="preserve"> review, BACS bureau inspection, BSI health &amp; safety accreditation)</w:t>
                      </w:r>
                    </w:p>
                  </w:txbxContent>
                </v:textbox>
                <w10:wrap anchorx="margin"/>
              </v:rect>
            </w:pict>
          </mc:Fallback>
        </mc:AlternateContent>
      </w:r>
    </w:p>
    <w:p w14:paraId="6C259185" w14:textId="324D677D" w:rsidR="0035496F" w:rsidRDefault="0035496F" w:rsidP="00343D87">
      <w:pPr>
        <w:jc w:val="both"/>
        <w:rPr>
          <w:sz w:val="22"/>
          <w:szCs w:val="22"/>
        </w:rPr>
      </w:pPr>
    </w:p>
    <w:p w14:paraId="2911C773" w14:textId="4D54186A" w:rsidR="0035496F" w:rsidRDefault="0035496F" w:rsidP="00343D87">
      <w:pPr>
        <w:jc w:val="both"/>
        <w:rPr>
          <w:sz w:val="22"/>
          <w:szCs w:val="22"/>
        </w:rPr>
      </w:pPr>
    </w:p>
    <w:p w14:paraId="441BDE8E" w14:textId="7C35B67D" w:rsidR="0035496F" w:rsidRDefault="0035496F" w:rsidP="00343D87">
      <w:pPr>
        <w:jc w:val="both"/>
        <w:rPr>
          <w:sz w:val="22"/>
          <w:szCs w:val="22"/>
        </w:rPr>
      </w:pPr>
    </w:p>
    <w:p w14:paraId="33A6CF80" w14:textId="10874119" w:rsidR="0035496F" w:rsidRDefault="0035496F" w:rsidP="00343D87">
      <w:pPr>
        <w:jc w:val="both"/>
        <w:rPr>
          <w:sz w:val="22"/>
          <w:szCs w:val="22"/>
        </w:rPr>
      </w:pPr>
    </w:p>
    <w:p w14:paraId="587F7AE7" w14:textId="2D9AD84B" w:rsidR="0035496F" w:rsidRDefault="0035496F" w:rsidP="00343D87">
      <w:pPr>
        <w:jc w:val="both"/>
        <w:rPr>
          <w:sz w:val="22"/>
          <w:szCs w:val="22"/>
        </w:rPr>
      </w:pPr>
    </w:p>
    <w:p w14:paraId="28689010" w14:textId="55F3D232" w:rsidR="0035496F" w:rsidRDefault="0035496F" w:rsidP="00343D87">
      <w:pPr>
        <w:jc w:val="both"/>
        <w:rPr>
          <w:sz w:val="22"/>
          <w:szCs w:val="22"/>
        </w:rPr>
      </w:pPr>
    </w:p>
    <w:p w14:paraId="0A8D83BB" w14:textId="720349AA" w:rsidR="0035496F" w:rsidRDefault="0035496F" w:rsidP="00343D87">
      <w:pPr>
        <w:jc w:val="both"/>
        <w:rPr>
          <w:sz w:val="22"/>
          <w:szCs w:val="22"/>
        </w:rPr>
      </w:pPr>
    </w:p>
    <w:p w14:paraId="032DE976" w14:textId="472E4D49" w:rsidR="0035496F" w:rsidRDefault="0035496F" w:rsidP="00343D87">
      <w:pPr>
        <w:jc w:val="both"/>
        <w:rPr>
          <w:sz w:val="22"/>
          <w:szCs w:val="22"/>
        </w:rPr>
      </w:pPr>
    </w:p>
    <w:p w14:paraId="4B73B3FC" w14:textId="6E921D73" w:rsidR="00E4050F" w:rsidRPr="00870092" w:rsidRDefault="00E4050F" w:rsidP="00343D87">
      <w:pPr>
        <w:ind w:left="709"/>
        <w:jc w:val="both"/>
        <w:rPr>
          <w:b/>
          <w:i/>
          <w:szCs w:val="24"/>
        </w:rPr>
      </w:pPr>
      <w:r w:rsidRPr="00870092">
        <w:rPr>
          <w:b/>
          <w:i/>
          <w:szCs w:val="24"/>
        </w:rPr>
        <w:t>Assessment of compliance</w:t>
      </w:r>
    </w:p>
    <w:p w14:paraId="34894A1F" w14:textId="77777777" w:rsidR="00E4050F" w:rsidRPr="00870092" w:rsidRDefault="00E4050F" w:rsidP="00343D87">
      <w:pPr>
        <w:pStyle w:val="ListParagraph"/>
        <w:jc w:val="both"/>
        <w:rPr>
          <w:sz w:val="22"/>
          <w:szCs w:val="22"/>
        </w:rPr>
      </w:pPr>
    </w:p>
    <w:p w14:paraId="55C4EB21" w14:textId="27B6902A" w:rsidR="00E4050F" w:rsidRPr="00870092" w:rsidRDefault="00E4050F" w:rsidP="00343D87">
      <w:pPr>
        <w:pStyle w:val="ListParagraph"/>
        <w:numPr>
          <w:ilvl w:val="1"/>
          <w:numId w:val="1"/>
        </w:numPr>
        <w:ind w:left="709" w:hanging="709"/>
        <w:jc w:val="both"/>
        <w:rPr>
          <w:sz w:val="22"/>
          <w:szCs w:val="22"/>
        </w:rPr>
      </w:pPr>
      <w:r w:rsidRPr="00870092">
        <w:rPr>
          <w:sz w:val="22"/>
          <w:szCs w:val="22"/>
        </w:rPr>
        <w:t>The following pages set out a concise assessment of compliance with the Local Code of Corporate Governance.</w:t>
      </w:r>
    </w:p>
    <w:p w14:paraId="2037217B" w14:textId="77777777" w:rsidR="00E4050F" w:rsidRPr="00870092" w:rsidRDefault="00E4050F" w:rsidP="00343D87">
      <w:pPr>
        <w:jc w:val="both"/>
        <w:rPr>
          <w:sz w:val="22"/>
          <w:szCs w:val="22"/>
        </w:rPr>
      </w:pPr>
    </w:p>
    <w:p w14:paraId="019DDDA1" w14:textId="4892278E" w:rsidR="00E4050F" w:rsidRPr="00870092" w:rsidRDefault="00E4050F" w:rsidP="00343D87">
      <w:pPr>
        <w:pStyle w:val="ListParagraph"/>
        <w:numPr>
          <w:ilvl w:val="1"/>
          <w:numId w:val="1"/>
        </w:numPr>
        <w:ind w:left="709" w:hanging="709"/>
        <w:jc w:val="both"/>
        <w:rPr>
          <w:sz w:val="22"/>
          <w:szCs w:val="22"/>
        </w:rPr>
      </w:pPr>
      <w:r w:rsidRPr="00870092">
        <w:rPr>
          <w:sz w:val="22"/>
          <w:szCs w:val="22"/>
        </w:rPr>
        <w:t>For each aspect of governance in the Local Code, the assessment is framed in terms of the following:</w:t>
      </w:r>
    </w:p>
    <w:p w14:paraId="01E943CA" w14:textId="77777777" w:rsidR="00E4050F" w:rsidRPr="00870092" w:rsidRDefault="00E4050F" w:rsidP="00343D87">
      <w:pPr>
        <w:pStyle w:val="ListParagraph"/>
        <w:jc w:val="both"/>
        <w:rPr>
          <w:sz w:val="22"/>
          <w:szCs w:val="22"/>
        </w:rPr>
      </w:pPr>
    </w:p>
    <w:p w14:paraId="2A044C20" w14:textId="154CF786" w:rsidR="00E4050F" w:rsidRPr="00870092" w:rsidRDefault="00E4050F" w:rsidP="00343D87">
      <w:pPr>
        <w:pStyle w:val="ListParagraph"/>
        <w:numPr>
          <w:ilvl w:val="0"/>
          <w:numId w:val="20"/>
        </w:numPr>
        <w:ind w:left="1134"/>
        <w:jc w:val="both"/>
        <w:rPr>
          <w:sz w:val="22"/>
          <w:szCs w:val="22"/>
        </w:rPr>
      </w:pPr>
      <w:r w:rsidRPr="00870092">
        <w:rPr>
          <w:sz w:val="22"/>
          <w:szCs w:val="22"/>
        </w:rPr>
        <w:t>The evidence for compliance with the Code in 202</w:t>
      </w:r>
      <w:r w:rsidR="00E81964">
        <w:rPr>
          <w:sz w:val="22"/>
          <w:szCs w:val="22"/>
        </w:rPr>
        <w:t>5/26</w:t>
      </w:r>
    </w:p>
    <w:p w14:paraId="620E08D5" w14:textId="3E491857" w:rsidR="00E4050F" w:rsidRPr="00870092" w:rsidRDefault="00E4050F" w:rsidP="00343D87">
      <w:pPr>
        <w:pStyle w:val="ListParagraph"/>
        <w:numPr>
          <w:ilvl w:val="0"/>
          <w:numId w:val="20"/>
        </w:numPr>
        <w:ind w:left="1134"/>
        <w:jc w:val="both"/>
        <w:rPr>
          <w:sz w:val="22"/>
          <w:szCs w:val="22"/>
        </w:rPr>
      </w:pPr>
      <w:r w:rsidRPr="00870092">
        <w:rPr>
          <w:sz w:val="22"/>
          <w:szCs w:val="22"/>
        </w:rPr>
        <w:t>Brief details of any improvements and developments during the year</w:t>
      </w:r>
    </w:p>
    <w:p w14:paraId="153789C4" w14:textId="72F86CDE" w:rsidR="00E4050F" w:rsidRPr="00870092" w:rsidRDefault="00E4050F" w:rsidP="00343D87">
      <w:pPr>
        <w:pStyle w:val="ListParagraph"/>
        <w:numPr>
          <w:ilvl w:val="0"/>
          <w:numId w:val="20"/>
        </w:numPr>
        <w:ind w:left="1134"/>
        <w:jc w:val="both"/>
        <w:rPr>
          <w:sz w:val="22"/>
          <w:szCs w:val="22"/>
        </w:rPr>
      </w:pPr>
      <w:r w:rsidRPr="00870092">
        <w:rPr>
          <w:sz w:val="22"/>
          <w:szCs w:val="22"/>
        </w:rPr>
        <w:t xml:space="preserve">Identifying any gaps in compliance or areas in which there are significant </w:t>
      </w:r>
      <w:r w:rsidR="00B35D80" w:rsidRPr="00870092">
        <w:rPr>
          <w:sz w:val="22"/>
          <w:szCs w:val="22"/>
        </w:rPr>
        <w:t>challenges.</w:t>
      </w:r>
    </w:p>
    <w:p w14:paraId="4EF2FD1B" w14:textId="484DDAB2" w:rsidR="00E4050F" w:rsidRPr="00870092" w:rsidRDefault="00E4050F" w:rsidP="00343D87">
      <w:pPr>
        <w:pStyle w:val="ListParagraph"/>
        <w:numPr>
          <w:ilvl w:val="0"/>
          <w:numId w:val="20"/>
        </w:numPr>
        <w:ind w:left="1134"/>
        <w:jc w:val="both"/>
        <w:rPr>
          <w:sz w:val="22"/>
          <w:szCs w:val="22"/>
        </w:rPr>
      </w:pPr>
      <w:r w:rsidRPr="00870092">
        <w:rPr>
          <w:sz w:val="22"/>
          <w:szCs w:val="22"/>
        </w:rPr>
        <w:t xml:space="preserve">The focus in the year ahead, to address gaps, to meet challenges or to continue with current </w:t>
      </w:r>
      <w:r w:rsidR="00B35D80" w:rsidRPr="00870092">
        <w:rPr>
          <w:sz w:val="22"/>
          <w:szCs w:val="22"/>
        </w:rPr>
        <w:t>developments.</w:t>
      </w:r>
    </w:p>
    <w:p w14:paraId="0520E74D" w14:textId="77777777" w:rsidR="001B645A" w:rsidRDefault="001B645A" w:rsidP="00343D87">
      <w:pPr>
        <w:pStyle w:val="ListParagraph"/>
        <w:ind w:left="709"/>
        <w:jc w:val="both"/>
        <w:rPr>
          <w:szCs w:val="24"/>
        </w:rPr>
      </w:pPr>
    </w:p>
    <w:p w14:paraId="5A56303D" w14:textId="77777777" w:rsidR="001B645A" w:rsidRDefault="001B645A">
      <w:pPr>
        <w:sectPr w:rsidR="001B645A" w:rsidSect="00A17F59">
          <w:headerReference w:type="even" r:id="rId10"/>
          <w:headerReference w:type="default" r:id="rId11"/>
          <w:footerReference w:type="even" r:id="rId12"/>
          <w:footerReference w:type="default" r:id="rId13"/>
          <w:headerReference w:type="first" r:id="rId14"/>
          <w:footerReference w:type="first" r:id="rId15"/>
          <w:pgSz w:w="16838" w:h="11906" w:orient="landscape"/>
          <w:pgMar w:top="964" w:right="1440" w:bottom="907" w:left="1440" w:header="709" w:footer="709" w:gutter="0"/>
          <w:cols w:num="2" w:space="708"/>
          <w:docGrid w:linePitch="360"/>
        </w:sectPr>
      </w:pPr>
    </w:p>
    <w:p w14:paraId="37858800" w14:textId="06F7E2AC" w:rsidR="005A6BB0" w:rsidRPr="00625FE3" w:rsidRDefault="00A05E4F" w:rsidP="00343D87">
      <w:pPr>
        <w:jc w:val="both"/>
        <w:rPr>
          <w:b/>
          <w:bCs/>
          <w:sz w:val="28"/>
          <w:szCs w:val="28"/>
        </w:rPr>
      </w:pPr>
      <w:r w:rsidRPr="00625FE3">
        <w:rPr>
          <w:b/>
          <w:bCs/>
          <w:sz w:val="28"/>
          <w:szCs w:val="28"/>
        </w:rPr>
        <w:lastRenderedPageBreak/>
        <w:t>Compliance with the Local Code</w:t>
      </w:r>
      <w:r w:rsidR="00D75F4E">
        <w:rPr>
          <w:b/>
          <w:bCs/>
          <w:sz w:val="28"/>
          <w:szCs w:val="28"/>
        </w:rPr>
        <w:t xml:space="preserve"> during 202</w:t>
      </w:r>
      <w:r w:rsidR="00C00B12">
        <w:rPr>
          <w:b/>
          <w:bCs/>
          <w:sz w:val="28"/>
          <w:szCs w:val="28"/>
        </w:rPr>
        <w:t>5/26</w:t>
      </w:r>
    </w:p>
    <w:p w14:paraId="5F8909D0" w14:textId="415B3470" w:rsidR="00107EB8" w:rsidRPr="00625FE3" w:rsidRDefault="00107EB8" w:rsidP="00343D87">
      <w:pPr>
        <w:jc w:val="both"/>
        <w:rPr>
          <w:sz w:val="22"/>
          <w:szCs w:val="22"/>
        </w:rPr>
      </w:pPr>
      <w:r w:rsidRPr="00625FE3">
        <w:rPr>
          <w:sz w:val="22"/>
          <w:szCs w:val="22"/>
        </w:rPr>
        <w:t xml:space="preserve">The policies, procedures and practices set out in the Local Code of Corporate Governance remained in force during </w:t>
      </w:r>
      <w:r w:rsidR="007A7C35" w:rsidRPr="00625FE3">
        <w:rPr>
          <w:sz w:val="22"/>
          <w:szCs w:val="22"/>
        </w:rPr>
        <w:t>202</w:t>
      </w:r>
      <w:r w:rsidR="00C00B12">
        <w:rPr>
          <w:sz w:val="22"/>
          <w:szCs w:val="22"/>
        </w:rPr>
        <w:t>5/26</w:t>
      </w:r>
      <w:r w:rsidRPr="00625FE3">
        <w:rPr>
          <w:sz w:val="22"/>
          <w:szCs w:val="22"/>
        </w:rPr>
        <w:t xml:space="preserve">. </w:t>
      </w:r>
      <w:r w:rsidR="00681F1F">
        <w:rPr>
          <w:sz w:val="22"/>
          <w:szCs w:val="22"/>
        </w:rPr>
        <w:t>Executive</w:t>
      </w:r>
      <w:r w:rsidRPr="00625FE3">
        <w:rPr>
          <w:sz w:val="22"/>
          <w:szCs w:val="22"/>
        </w:rPr>
        <w:t xml:space="preserve"> Directors report</w:t>
      </w:r>
      <w:r w:rsidR="007A7C35" w:rsidRPr="00625FE3">
        <w:rPr>
          <w:sz w:val="22"/>
          <w:szCs w:val="22"/>
        </w:rPr>
        <w:t xml:space="preserve"> the following levels of compliance </w:t>
      </w:r>
      <w:r w:rsidRPr="00625FE3">
        <w:rPr>
          <w:sz w:val="22"/>
          <w:szCs w:val="22"/>
        </w:rPr>
        <w:t xml:space="preserve">with </w:t>
      </w:r>
      <w:r w:rsidR="00DB053F" w:rsidRPr="00625FE3">
        <w:rPr>
          <w:sz w:val="22"/>
          <w:szCs w:val="22"/>
        </w:rPr>
        <w:t xml:space="preserve">key </w:t>
      </w:r>
      <w:r w:rsidRPr="00625FE3">
        <w:rPr>
          <w:sz w:val="22"/>
          <w:szCs w:val="22"/>
        </w:rPr>
        <w:t>Council procedures</w:t>
      </w:r>
      <w:r w:rsidR="00982E34" w:rsidRPr="00625FE3">
        <w:rPr>
          <w:sz w:val="22"/>
          <w:szCs w:val="22"/>
        </w:rPr>
        <w:t xml:space="preserve"> </w:t>
      </w:r>
      <w:r w:rsidR="00506510" w:rsidRPr="00625FE3">
        <w:rPr>
          <w:sz w:val="22"/>
          <w:szCs w:val="22"/>
        </w:rPr>
        <w:t xml:space="preserve">relevant to </w:t>
      </w:r>
      <w:r w:rsidR="00982E34" w:rsidRPr="00625FE3">
        <w:rPr>
          <w:sz w:val="22"/>
          <w:szCs w:val="22"/>
        </w:rPr>
        <w:t>this aspect of governance:</w:t>
      </w:r>
      <w:r w:rsidRPr="00625FE3">
        <w:rPr>
          <w:sz w:val="22"/>
          <w:szCs w:val="22"/>
        </w:rPr>
        <w:t xml:space="preserve"> </w:t>
      </w:r>
    </w:p>
    <w:p w14:paraId="274A5B69" w14:textId="57CC2011" w:rsidR="00A05E4F" w:rsidRDefault="00A05E4F" w:rsidP="00343D87">
      <w:pPr>
        <w:jc w:val="both"/>
      </w:pPr>
    </w:p>
    <w:tbl>
      <w:tblPr>
        <w:tblStyle w:val="TableGrid"/>
        <w:tblW w:w="0" w:type="auto"/>
        <w:tblLayout w:type="fixed"/>
        <w:tblLook w:val="04A0" w:firstRow="1" w:lastRow="0" w:firstColumn="1" w:lastColumn="0" w:noHBand="0" w:noVBand="1"/>
      </w:tblPr>
      <w:tblGrid>
        <w:gridCol w:w="1276"/>
        <w:gridCol w:w="709"/>
        <w:gridCol w:w="1134"/>
        <w:gridCol w:w="1134"/>
        <w:gridCol w:w="1134"/>
        <w:gridCol w:w="1134"/>
      </w:tblGrid>
      <w:tr w:rsidR="00C00B12" w:rsidRPr="00C00B12" w14:paraId="1FF00FF9" w14:textId="77777777" w:rsidTr="00483E3C">
        <w:tc>
          <w:tcPr>
            <w:tcW w:w="1276" w:type="dxa"/>
            <w:tcBorders>
              <w:top w:val="nil"/>
              <w:left w:val="nil"/>
            </w:tcBorders>
          </w:tcPr>
          <w:p w14:paraId="3761731A" w14:textId="77777777" w:rsidR="00233AD6" w:rsidRPr="00692B95" w:rsidRDefault="00233AD6" w:rsidP="00343D87">
            <w:pPr>
              <w:jc w:val="both"/>
              <w:rPr>
                <w:rFonts w:cs="Arial"/>
                <w:sz w:val="20"/>
              </w:rPr>
            </w:pPr>
            <w:r w:rsidRPr="00692B95">
              <w:rPr>
                <w:sz w:val="20"/>
              </w:rPr>
              <w:t>Procedure</w:t>
            </w:r>
          </w:p>
          <w:p w14:paraId="64F32A99" w14:textId="201B2D6D" w:rsidR="00233AD6" w:rsidRPr="00692B95" w:rsidRDefault="00233AD6" w:rsidP="00343D87">
            <w:pPr>
              <w:jc w:val="both"/>
              <w:rPr>
                <w:sz w:val="20"/>
              </w:rPr>
            </w:pPr>
            <w:r w:rsidRPr="00692B95">
              <w:rPr>
                <w:rFonts w:cs="Arial"/>
                <w:sz w:val="20"/>
              </w:rPr>
              <w:t xml:space="preserve">       ↓</w:t>
            </w:r>
          </w:p>
        </w:tc>
        <w:tc>
          <w:tcPr>
            <w:tcW w:w="709" w:type="dxa"/>
            <w:tcBorders>
              <w:top w:val="nil"/>
              <w:left w:val="nil"/>
            </w:tcBorders>
          </w:tcPr>
          <w:p w14:paraId="429C2283" w14:textId="2FF2AEE7" w:rsidR="00233AD6" w:rsidRPr="00692B95" w:rsidRDefault="00625196" w:rsidP="00343D87">
            <w:pPr>
              <w:jc w:val="both"/>
              <w:rPr>
                <w:sz w:val="20"/>
              </w:rPr>
            </w:pPr>
            <w:r w:rsidRPr="00692B95">
              <w:rPr>
                <w:sz w:val="20"/>
              </w:rPr>
              <w:t>Dept</w:t>
            </w:r>
            <w:r w:rsidR="00233AD6" w:rsidRPr="00692B95">
              <w:rPr>
                <w:rFonts w:cs="Arial"/>
                <w:sz w:val="20"/>
              </w:rPr>
              <w:t>→</w:t>
            </w:r>
          </w:p>
        </w:tc>
        <w:tc>
          <w:tcPr>
            <w:tcW w:w="1134" w:type="dxa"/>
          </w:tcPr>
          <w:p w14:paraId="7AE4C817" w14:textId="01CCDF2F" w:rsidR="00233AD6" w:rsidRPr="00692B95" w:rsidRDefault="00233AD6" w:rsidP="00343D87">
            <w:pPr>
              <w:jc w:val="both"/>
              <w:rPr>
                <w:sz w:val="20"/>
              </w:rPr>
            </w:pPr>
            <w:r w:rsidRPr="00692B95">
              <w:rPr>
                <w:sz w:val="20"/>
              </w:rPr>
              <w:t>ASC</w:t>
            </w:r>
            <w:r w:rsidR="00692B95" w:rsidRPr="00692B95">
              <w:rPr>
                <w:sz w:val="20"/>
              </w:rPr>
              <w:t>H</w:t>
            </w:r>
          </w:p>
        </w:tc>
        <w:tc>
          <w:tcPr>
            <w:tcW w:w="1134" w:type="dxa"/>
          </w:tcPr>
          <w:p w14:paraId="35DD05A7" w14:textId="3FF2E0F9" w:rsidR="00233AD6" w:rsidRPr="00692B95" w:rsidRDefault="00233AD6" w:rsidP="00343D87">
            <w:pPr>
              <w:jc w:val="both"/>
              <w:rPr>
                <w:sz w:val="20"/>
              </w:rPr>
            </w:pPr>
            <w:r w:rsidRPr="00692B95">
              <w:rPr>
                <w:sz w:val="20"/>
              </w:rPr>
              <w:t>C&amp;F</w:t>
            </w:r>
          </w:p>
        </w:tc>
        <w:tc>
          <w:tcPr>
            <w:tcW w:w="1134" w:type="dxa"/>
          </w:tcPr>
          <w:p w14:paraId="7B2EB5B3" w14:textId="298F3C6A" w:rsidR="00233AD6" w:rsidRPr="00692B95" w:rsidRDefault="00233AD6" w:rsidP="00343D87">
            <w:pPr>
              <w:jc w:val="both"/>
              <w:rPr>
                <w:sz w:val="20"/>
              </w:rPr>
            </w:pPr>
            <w:r w:rsidRPr="00692B95">
              <w:rPr>
                <w:sz w:val="20"/>
              </w:rPr>
              <w:t>Place</w:t>
            </w:r>
          </w:p>
        </w:tc>
        <w:tc>
          <w:tcPr>
            <w:tcW w:w="1134" w:type="dxa"/>
          </w:tcPr>
          <w:p w14:paraId="49FD92A8" w14:textId="775233B8" w:rsidR="00233AD6" w:rsidRPr="00692B95" w:rsidRDefault="00233AD6" w:rsidP="00343D87">
            <w:pPr>
              <w:jc w:val="both"/>
              <w:rPr>
                <w:sz w:val="20"/>
              </w:rPr>
            </w:pPr>
            <w:r w:rsidRPr="00692B95">
              <w:rPr>
                <w:sz w:val="20"/>
              </w:rPr>
              <w:t>C</w:t>
            </w:r>
            <w:r w:rsidR="00625196" w:rsidRPr="00692B95">
              <w:rPr>
                <w:sz w:val="20"/>
              </w:rPr>
              <w:t>EX</w:t>
            </w:r>
          </w:p>
        </w:tc>
      </w:tr>
      <w:tr w:rsidR="00C00B12" w:rsidRPr="00C00B12" w14:paraId="0ADBDC53" w14:textId="77777777" w:rsidTr="001F7911">
        <w:tc>
          <w:tcPr>
            <w:tcW w:w="1985" w:type="dxa"/>
            <w:gridSpan w:val="2"/>
          </w:tcPr>
          <w:p w14:paraId="57A18E3C" w14:textId="29F58D8C" w:rsidR="00506510" w:rsidRPr="00692B95" w:rsidRDefault="00506510" w:rsidP="00343D87">
            <w:pPr>
              <w:jc w:val="both"/>
              <w:rPr>
                <w:sz w:val="20"/>
              </w:rPr>
            </w:pPr>
            <w:r w:rsidRPr="00692B95">
              <w:rPr>
                <w:sz w:val="20"/>
              </w:rPr>
              <w:t>Staff code of conduct</w:t>
            </w:r>
          </w:p>
        </w:tc>
        <w:tc>
          <w:tcPr>
            <w:tcW w:w="1134" w:type="dxa"/>
            <w:shd w:val="clear" w:color="auto" w:fill="92D050"/>
          </w:tcPr>
          <w:p w14:paraId="6BDA7846" w14:textId="1A05FDF7" w:rsidR="00506510" w:rsidRPr="00692B95" w:rsidRDefault="001F7911" w:rsidP="00343D87">
            <w:pPr>
              <w:jc w:val="both"/>
              <w:rPr>
                <w:sz w:val="16"/>
                <w:szCs w:val="16"/>
              </w:rPr>
            </w:pPr>
            <w:r w:rsidRPr="00692B95">
              <w:rPr>
                <w:sz w:val="16"/>
                <w:szCs w:val="16"/>
              </w:rPr>
              <w:t>Substantial</w:t>
            </w:r>
          </w:p>
        </w:tc>
        <w:tc>
          <w:tcPr>
            <w:tcW w:w="1134" w:type="dxa"/>
            <w:shd w:val="clear" w:color="auto" w:fill="92D050"/>
          </w:tcPr>
          <w:p w14:paraId="37450586" w14:textId="5B36CBCF" w:rsidR="00506510" w:rsidRPr="00692B95" w:rsidRDefault="001B54CD" w:rsidP="00343D87">
            <w:pPr>
              <w:jc w:val="both"/>
              <w:rPr>
                <w:sz w:val="16"/>
                <w:szCs w:val="16"/>
              </w:rPr>
            </w:pPr>
            <w:r w:rsidRPr="00692B95">
              <w:rPr>
                <w:sz w:val="16"/>
                <w:szCs w:val="16"/>
              </w:rPr>
              <w:t>Substantial</w:t>
            </w:r>
          </w:p>
        </w:tc>
        <w:tc>
          <w:tcPr>
            <w:tcW w:w="1134" w:type="dxa"/>
            <w:shd w:val="clear" w:color="auto" w:fill="92D050"/>
          </w:tcPr>
          <w:p w14:paraId="6DF1B553" w14:textId="03A2D727" w:rsidR="00506510" w:rsidRPr="00692B95" w:rsidRDefault="00506510" w:rsidP="00343D87">
            <w:pPr>
              <w:jc w:val="both"/>
              <w:rPr>
                <w:sz w:val="16"/>
                <w:szCs w:val="16"/>
              </w:rPr>
            </w:pPr>
            <w:r w:rsidRPr="00692B95">
              <w:rPr>
                <w:sz w:val="16"/>
                <w:szCs w:val="16"/>
              </w:rPr>
              <w:t>Substantial</w:t>
            </w:r>
          </w:p>
        </w:tc>
        <w:tc>
          <w:tcPr>
            <w:tcW w:w="1134" w:type="dxa"/>
            <w:shd w:val="clear" w:color="auto" w:fill="92D050"/>
          </w:tcPr>
          <w:p w14:paraId="6CC63493" w14:textId="617AE3C9" w:rsidR="00506510" w:rsidRPr="00692B95" w:rsidRDefault="00506510" w:rsidP="00343D87">
            <w:pPr>
              <w:jc w:val="both"/>
              <w:rPr>
                <w:sz w:val="16"/>
                <w:szCs w:val="16"/>
              </w:rPr>
            </w:pPr>
            <w:r w:rsidRPr="00692B95">
              <w:rPr>
                <w:sz w:val="16"/>
                <w:szCs w:val="16"/>
              </w:rPr>
              <w:t>Substantial</w:t>
            </w:r>
          </w:p>
        </w:tc>
      </w:tr>
      <w:tr w:rsidR="00C00B12" w:rsidRPr="00C00B12" w14:paraId="6B20657F" w14:textId="77777777" w:rsidTr="00483E3C">
        <w:tc>
          <w:tcPr>
            <w:tcW w:w="1985" w:type="dxa"/>
            <w:gridSpan w:val="2"/>
          </w:tcPr>
          <w:p w14:paraId="66C929D5" w14:textId="3FFAA519" w:rsidR="00233AD6" w:rsidRPr="00692B95" w:rsidRDefault="00233AD6" w:rsidP="00343D87">
            <w:pPr>
              <w:jc w:val="both"/>
              <w:rPr>
                <w:sz w:val="20"/>
              </w:rPr>
            </w:pPr>
            <w:r w:rsidRPr="00692B95">
              <w:rPr>
                <w:sz w:val="20"/>
              </w:rPr>
              <w:t>Scheme of delegation</w:t>
            </w:r>
          </w:p>
        </w:tc>
        <w:tc>
          <w:tcPr>
            <w:tcW w:w="1134" w:type="dxa"/>
            <w:shd w:val="clear" w:color="auto" w:fill="92D050"/>
          </w:tcPr>
          <w:p w14:paraId="4E56B0F6" w14:textId="130ADF2B" w:rsidR="00233AD6" w:rsidRPr="00692B95" w:rsidRDefault="00233AD6" w:rsidP="00343D87">
            <w:pPr>
              <w:jc w:val="both"/>
            </w:pPr>
            <w:r w:rsidRPr="00692B95">
              <w:rPr>
                <w:sz w:val="16"/>
                <w:szCs w:val="16"/>
              </w:rPr>
              <w:t>Substantial</w:t>
            </w:r>
          </w:p>
        </w:tc>
        <w:tc>
          <w:tcPr>
            <w:tcW w:w="1134" w:type="dxa"/>
            <w:shd w:val="clear" w:color="auto" w:fill="92D050"/>
          </w:tcPr>
          <w:p w14:paraId="6ECFAC60" w14:textId="2F3144D9" w:rsidR="00233AD6" w:rsidRPr="00692B95" w:rsidRDefault="009051F5" w:rsidP="00343D87">
            <w:pPr>
              <w:jc w:val="both"/>
            </w:pPr>
            <w:r w:rsidRPr="00692B95">
              <w:rPr>
                <w:sz w:val="16"/>
                <w:szCs w:val="16"/>
              </w:rPr>
              <w:t>Substantial</w:t>
            </w:r>
          </w:p>
        </w:tc>
        <w:tc>
          <w:tcPr>
            <w:tcW w:w="1134" w:type="dxa"/>
            <w:shd w:val="clear" w:color="auto" w:fill="92D050"/>
          </w:tcPr>
          <w:p w14:paraId="3014C501" w14:textId="08E7ADAB" w:rsidR="00233AD6" w:rsidRPr="00692B95" w:rsidRDefault="00233AD6" w:rsidP="00343D87">
            <w:pPr>
              <w:jc w:val="both"/>
            </w:pPr>
            <w:r w:rsidRPr="00692B95">
              <w:rPr>
                <w:sz w:val="16"/>
                <w:szCs w:val="16"/>
              </w:rPr>
              <w:t>Substantial</w:t>
            </w:r>
          </w:p>
        </w:tc>
        <w:tc>
          <w:tcPr>
            <w:tcW w:w="1134" w:type="dxa"/>
            <w:shd w:val="clear" w:color="auto" w:fill="92D050"/>
          </w:tcPr>
          <w:p w14:paraId="27D68105" w14:textId="2BA28AEB" w:rsidR="00233AD6" w:rsidRPr="00692B95" w:rsidRDefault="00233AD6" w:rsidP="00343D87">
            <w:pPr>
              <w:jc w:val="both"/>
            </w:pPr>
            <w:r w:rsidRPr="00692B95">
              <w:rPr>
                <w:sz w:val="16"/>
                <w:szCs w:val="16"/>
              </w:rPr>
              <w:t>Substantial</w:t>
            </w:r>
          </w:p>
        </w:tc>
      </w:tr>
      <w:tr w:rsidR="00C00B12" w:rsidRPr="00C00B12" w14:paraId="74C012A6" w14:textId="77777777" w:rsidTr="00780933">
        <w:tc>
          <w:tcPr>
            <w:tcW w:w="1985" w:type="dxa"/>
            <w:gridSpan w:val="2"/>
          </w:tcPr>
          <w:p w14:paraId="54E29A51" w14:textId="12659C93" w:rsidR="00233AD6" w:rsidRPr="00692B95" w:rsidRDefault="00233AD6" w:rsidP="00343D87">
            <w:pPr>
              <w:jc w:val="both"/>
              <w:rPr>
                <w:sz w:val="20"/>
              </w:rPr>
            </w:pPr>
            <w:r w:rsidRPr="00692B95">
              <w:rPr>
                <w:sz w:val="20"/>
              </w:rPr>
              <w:t>Staff register of interests</w:t>
            </w:r>
          </w:p>
        </w:tc>
        <w:tc>
          <w:tcPr>
            <w:tcW w:w="1134" w:type="dxa"/>
            <w:shd w:val="clear" w:color="auto" w:fill="FFC000"/>
          </w:tcPr>
          <w:p w14:paraId="144705E5" w14:textId="1AC552E9" w:rsidR="00233AD6" w:rsidRPr="00692B95" w:rsidRDefault="00870092" w:rsidP="00343D87">
            <w:pPr>
              <w:jc w:val="both"/>
            </w:pPr>
            <w:r w:rsidRPr="00692B95">
              <w:rPr>
                <w:sz w:val="16"/>
                <w:szCs w:val="16"/>
              </w:rPr>
              <w:t>Reasonable</w:t>
            </w:r>
          </w:p>
        </w:tc>
        <w:tc>
          <w:tcPr>
            <w:tcW w:w="1134" w:type="dxa"/>
            <w:shd w:val="clear" w:color="auto" w:fill="92D050"/>
          </w:tcPr>
          <w:p w14:paraId="03B9EE53" w14:textId="602850FD" w:rsidR="00233AD6" w:rsidRPr="00692B95" w:rsidRDefault="001B54CD" w:rsidP="00343D87">
            <w:pPr>
              <w:jc w:val="both"/>
            </w:pPr>
            <w:r w:rsidRPr="00692B95">
              <w:rPr>
                <w:sz w:val="16"/>
                <w:szCs w:val="16"/>
              </w:rPr>
              <w:t>Substantial</w:t>
            </w:r>
          </w:p>
        </w:tc>
        <w:tc>
          <w:tcPr>
            <w:tcW w:w="1134" w:type="dxa"/>
            <w:shd w:val="clear" w:color="auto" w:fill="92D050"/>
          </w:tcPr>
          <w:p w14:paraId="0EF8883F" w14:textId="55FE4875" w:rsidR="00233AD6" w:rsidRPr="00692B95" w:rsidRDefault="00780933" w:rsidP="00343D87">
            <w:pPr>
              <w:jc w:val="both"/>
            </w:pPr>
            <w:r w:rsidRPr="00692B95">
              <w:rPr>
                <w:sz w:val="16"/>
                <w:szCs w:val="16"/>
              </w:rPr>
              <w:t>Substantial</w:t>
            </w:r>
          </w:p>
        </w:tc>
        <w:tc>
          <w:tcPr>
            <w:tcW w:w="1134" w:type="dxa"/>
            <w:shd w:val="clear" w:color="auto" w:fill="FFC000"/>
          </w:tcPr>
          <w:p w14:paraId="6F8FA529" w14:textId="6EB6E584" w:rsidR="00233AD6" w:rsidRPr="00692B95" w:rsidRDefault="00780933" w:rsidP="00343D87">
            <w:pPr>
              <w:jc w:val="both"/>
            </w:pPr>
            <w:r w:rsidRPr="00692B95">
              <w:rPr>
                <w:sz w:val="16"/>
                <w:szCs w:val="16"/>
              </w:rPr>
              <w:t>Reasonable</w:t>
            </w:r>
          </w:p>
        </w:tc>
      </w:tr>
      <w:tr w:rsidR="00C00B12" w:rsidRPr="00C00B12" w14:paraId="1B9D1D29" w14:textId="77777777" w:rsidTr="00780933">
        <w:tc>
          <w:tcPr>
            <w:tcW w:w="1985" w:type="dxa"/>
            <w:gridSpan w:val="2"/>
          </w:tcPr>
          <w:p w14:paraId="54F35D87" w14:textId="12031D82" w:rsidR="003816C4" w:rsidRPr="00692B95" w:rsidRDefault="003816C4" w:rsidP="00343D87">
            <w:pPr>
              <w:jc w:val="both"/>
              <w:rPr>
                <w:sz w:val="20"/>
              </w:rPr>
            </w:pPr>
            <w:r w:rsidRPr="00692B95">
              <w:rPr>
                <w:sz w:val="20"/>
              </w:rPr>
              <w:t>Register of gifts and hospitality</w:t>
            </w:r>
          </w:p>
        </w:tc>
        <w:tc>
          <w:tcPr>
            <w:tcW w:w="1134" w:type="dxa"/>
            <w:shd w:val="clear" w:color="auto" w:fill="FFC000"/>
          </w:tcPr>
          <w:p w14:paraId="1757DE7C" w14:textId="66890E8C" w:rsidR="003816C4" w:rsidRPr="00692B95" w:rsidRDefault="00870092" w:rsidP="00343D87">
            <w:pPr>
              <w:jc w:val="both"/>
              <w:rPr>
                <w:sz w:val="16"/>
                <w:szCs w:val="16"/>
              </w:rPr>
            </w:pPr>
            <w:r w:rsidRPr="00692B95">
              <w:rPr>
                <w:sz w:val="16"/>
                <w:szCs w:val="16"/>
              </w:rPr>
              <w:t>Reasonable</w:t>
            </w:r>
          </w:p>
        </w:tc>
        <w:tc>
          <w:tcPr>
            <w:tcW w:w="1134" w:type="dxa"/>
            <w:shd w:val="clear" w:color="auto" w:fill="92D050"/>
          </w:tcPr>
          <w:p w14:paraId="20FEF7BE" w14:textId="7F8644D3" w:rsidR="003816C4" w:rsidRPr="00692B95" w:rsidRDefault="003816C4" w:rsidP="00343D87">
            <w:pPr>
              <w:jc w:val="both"/>
              <w:rPr>
                <w:sz w:val="16"/>
                <w:szCs w:val="16"/>
              </w:rPr>
            </w:pPr>
            <w:r w:rsidRPr="00692B95">
              <w:rPr>
                <w:sz w:val="16"/>
                <w:szCs w:val="16"/>
              </w:rPr>
              <w:t>Substantial</w:t>
            </w:r>
          </w:p>
        </w:tc>
        <w:tc>
          <w:tcPr>
            <w:tcW w:w="1134" w:type="dxa"/>
            <w:shd w:val="clear" w:color="auto" w:fill="92D050"/>
          </w:tcPr>
          <w:p w14:paraId="7072EC71" w14:textId="62845D2B" w:rsidR="003816C4" w:rsidRPr="00692B95" w:rsidRDefault="003816C4" w:rsidP="00343D87">
            <w:pPr>
              <w:jc w:val="both"/>
              <w:rPr>
                <w:sz w:val="16"/>
                <w:szCs w:val="16"/>
              </w:rPr>
            </w:pPr>
            <w:r w:rsidRPr="00692B95">
              <w:rPr>
                <w:sz w:val="16"/>
                <w:szCs w:val="16"/>
              </w:rPr>
              <w:t>Substantial</w:t>
            </w:r>
          </w:p>
        </w:tc>
        <w:tc>
          <w:tcPr>
            <w:tcW w:w="1134" w:type="dxa"/>
            <w:shd w:val="clear" w:color="auto" w:fill="FFC000"/>
          </w:tcPr>
          <w:p w14:paraId="03E5A2A4" w14:textId="127FC709" w:rsidR="003816C4" w:rsidRPr="00692B95" w:rsidRDefault="00780933" w:rsidP="00343D87">
            <w:pPr>
              <w:jc w:val="both"/>
              <w:rPr>
                <w:sz w:val="16"/>
                <w:szCs w:val="16"/>
              </w:rPr>
            </w:pPr>
            <w:r w:rsidRPr="00692B95">
              <w:rPr>
                <w:sz w:val="16"/>
                <w:szCs w:val="16"/>
              </w:rPr>
              <w:t>Reasonable</w:t>
            </w:r>
          </w:p>
        </w:tc>
      </w:tr>
    </w:tbl>
    <w:p w14:paraId="46025872" w14:textId="77777777" w:rsidR="00625904" w:rsidRPr="00625904" w:rsidRDefault="00625904" w:rsidP="00343D87">
      <w:pPr>
        <w:jc w:val="both"/>
        <w:rPr>
          <w:sz w:val="16"/>
          <w:szCs w:val="16"/>
        </w:rPr>
      </w:pPr>
    </w:p>
    <w:p w14:paraId="385145A4" w14:textId="6A28344F" w:rsidR="00A05E4F" w:rsidRPr="00FC73AD" w:rsidRDefault="00A05E4F" w:rsidP="00343D87">
      <w:pPr>
        <w:jc w:val="both"/>
        <w:rPr>
          <w:b/>
          <w:bCs/>
          <w:sz w:val="28"/>
          <w:szCs w:val="28"/>
        </w:rPr>
      </w:pPr>
      <w:r w:rsidRPr="00FC73AD">
        <w:rPr>
          <w:b/>
          <w:bCs/>
          <w:sz w:val="28"/>
          <w:szCs w:val="28"/>
        </w:rPr>
        <w:t xml:space="preserve">Improvements </w:t>
      </w:r>
      <w:r w:rsidR="00107EB8" w:rsidRPr="00FC73AD">
        <w:rPr>
          <w:b/>
          <w:bCs/>
          <w:sz w:val="28"/>
          <w:szCs w:val="28"/>
        </w:rPr>
        <w:t xml:space="preserve">&amp; developments </w:t>
      </w:r>
      <w:r w:rsidRPr="00FC73AD">
        <w:rPr>
          <w:b/>
          <w:bCs/>
          <w:sz w:val="28"/>
          <w:szCs w:val="28"/>
        </w:rPr>
        <w:t xml:space="preserve">during </w:t>
      </w:r>
      <w:r w:rsidR="00B22C19" w:rsidRPr="00FC73AD">
        <w:rPr>
          <w:b/>
          <w:bCs/>
          <w:sz w:val="28"/>
          <w:szCs w:val="28"/>
        </w:rPr>
        <w:t>202</w:t>
      </w:r>
      <w:r w:rsidR="00C00B12" w:rsidRPr="00FC73AD">
        <w:rPr>
          <w:b/>
          <w:bCs/>
          <w:sz w:val="28"/>
          <w:szCs w:val="28"/>
        </w:rPr>
        <w:t>5/26</w:t>
      </w:r>
    </w:p>
    <w:p w14:paraId="02F2ED5D" w14:textId="3C6E0D47" w:rsidR="00FC73AD" w:rsidRDefault="00FC73AD" w:rsidP="00FF00B1">
      <w:pPr>
        <w:jc w:val="both"/>
        <w:rPr>
          <w:sz w:val="22"/>
          <w:szCs w:val="22"/>
        </w:rPr>
      </w:pPr>
      <w:r w:rsidRPr="00FC73AD">
        <w:rPr>
          <w:sz w:val="22"/>
          <w:szCs w:val="22"/>
        </w:rPr>
        <w:t>The Leader and Cabinet model has continued to imbed and become increasingly familiar to officers and members. Following the elections in May 2025, changes to the report preparation process were made to ensure better awareness and preparation of reports by giving increased exposure to comment from senior officers and members prior to decisions being taken by Cabinet or Cabinet Members.</w:t>
      </w:r>
    </w:p>
    <w:p w14:paraId="54F78E1E" w14:textId="77777777" w:rsidR="00FB549A" w:rsidRDefault="00FB549A" w:rsidP="00FF00B1">
      <w:pPr>
        <w:jc w:val="both"/>
        <w:rPr>
          <w:sz w:val="22"/>
          <w:szCs w:val="22"/>
        </w:rPr>
      </w:pPr>
    </w:p>
    <w:p w14:paraId="2F92C5F1" w14:textId="77777777" w:rsidR="00FB549A" w:rsidRDefault="00FB549A" w:rsidP="00FB549A">
      <w:pPr>
        <w:jc w:val="both"/>
        <w:rPr>
          <w:sz w:val="22"/>
          <w:szCs w:val="22"/>
        </w:rPr>
      </w:pPr>
      <w:r w:rsidRPr="00FB549A">
        <w:rPr>
          <w:sz w:val="22"/>
          <w:szCs w:val="22"/>
        </w:rPr>
        <w:t>A comprehensive induction programme was in place post elections which is now developing into an ongoing member development programme driven by members.</w:t>
      </w:r>
      <w:r>
        <w:rPr>
          <w:sz w:val="22"/>
          <w:szCs w:val="22"/>
        </w:rPr>
        <w:t xml:space="preserve"> </w:t>
      </w:r>
    </w:p>
    <w:p w14:paraId="6FC339F1" w14:textId="77777777" w:rsidR="00FB549A" w:rsidRPr="00FC73AD" w:rsidRDefault="00FB549A" w:rsidP="00FF00B1">
      <w:pPr>
        <w:jc w:val="both"/>
        <w:rPr>
          <w:sz w:val="22"/>
          <w:szCs w:val="22"/>
        </w:rPr>
      </w:pPr>
    </w:p>
    <w:p w14:paraId="1AD69E53" w14:textId="05A74F35" w:rsidR="00FF00B1" w:rsidRDefault="00FC73AD" w:rsidP="00FF00B1">
      <w:pPr>
        <w:jc w:val="both"/>
        <w:rPr>
          <w:rFonts w:eastAsia="Calibri" w:cs="Arial"/>
          <w:sz w:val="22"/>
          <w:szCs w:val="22"/>
        </w:rPr>
      </w:pPr>
      <w:r w:rsidRPr="00FC73AD">
        <w:rPr>
          <w:rFonts w:eastAsia="Calibri" w:cs="Arial"/>
          <w:sz w:val="22"/>
          <w:szCs w:val="22"/>
        </w:rPr>
        <w:t xml:space="preserve">The Council has been undertaking a review of its constitution in accordance with the constitutional requirement for regular review. This process has involved a cross-party working group, regular reports to the Governance &amp; Ethics Committee, consideration of the outcome of the LGA Corporate Peer Challenge and referral to Full </w:t>
      </w:r>
      <w:r w:rsidRPr="00FC73AD">
        <w:rPr>
          <w:rFonts w:eastAsia="Calibri" w:cs="Arial"/>
          <w:sz w:val="22"/>
          <w:szCs w:val="22"/>
        </w:rPr>
        <w:t xml:space="preserve">Council for determination. The process of review is ongoing and includes a focus on improving </w:t>
      </w:r>
      <w:r w:rsidR="00FB549A">
        <w:rPr>
          <w:rFonts w:eastAsia="Calibri" w:cs="Arial"/>
          <w:sz w:val="22"/>
          <w:szCs w:val="22"/>
        </w:rPr>
        <w:t>robustness and efficiency of decision making</w:t>
      </w:r>
      <w:r w:rsidRPr="00FC73AD">
        <w:rPr>
          <w:rFonts w:eastAsia="Calibri" w:cs="Arial"/>
          <w:sz w:val="22"/>
          <w:szCs w:val="22"/>
        </w:rPr>
        <w:t>, as well as strengthening the terms of reference for the Governance &amp; Ethics Committee.</w:t>
      </w:r>
    </w:p>
    <w:p w14:paraId="5B1CDD38" w14:textId="77777777" w:rsidR="00FB549A" w:rsidRPr="00FC73AD" w:rsidRDefault="00FB549A" w:rsidP="00FF00B1">
      <w:pPr>
        <w:jc w:val="both"/>
        <w:rPr>
          <w:sz w:val="22"/>
          <w:szCs w:val="22"/>
        </w:rPr>
      </w:pPr>
    </w:p>
    <w:p w14:paraId="7BAA6EA9" w14:textId="77777777" w:rsidR="0008079E" w:rsidRPr="00FC73AD" w:rsidRDefault="0008079E" w:rsidP="00343D87">
      <w:pPr>
        <w:jc w:val="both"/>
        <w:rPr>
          <w:b/>
          <w:bCs/>
          <w:sz w:val="28"/>
          <w:szCs w:val="28"/>
        </w:rPr>
      </w:pPr>
      <w:r w:rsidRPr="00FC73AD">
        <w:rPr>
          <w:b/>
          <w:bCs/>
          <w:sz w:val="28"/>
          <w:szCs w:val="28"/>
        </w:rPr>
        <w:t>Gaps and challenges</w:t>
      </w:r>
    </w:p>
    <w:p w14:paraId="23E74118" w14:textId="467E9FF7" w:rsidR="0008079E" w:rsidRPr="00FC73AD" w:rsidRDefault="00FC73AD" w:rsidP="00343D87">
      <w:pPr>
        <w:jc w:val="both"/>
        <w:rPr>
          <w:sz w:val="22"/>
          <w:szCs w:val="22"/>
        </w:rPr>
      </w:pPr>
      <w:r w:rsidRPr="00FC73AD">
        <w:rPr>
          <w:sz w:val="22"/>
          <w:szCs w:val="22"/>
        </w:rPr>
        <w:t xml:space="preserve">The change of political control brought </w:t>
      </w:r>
      <w:proofErr w:type="gramStart"/>
      <w:r w:rsidRPr="00FC73AD">
        <w:rPr>
          <w:sz w:val="22"/>
          <w:szCs w:val="22"/>
        </w:rPr>
        <w:t>a large number of</w:t>
      </w:r>
      <w:proofErr w:type="gramEnd"/>
      <w:r w:rsidRPr="00FC73AD">
        <w:rPr>
          <w:sz w:val="22"/>
          <w:szCs w:val="22"/>
        </w:rPr>
        <w:t xml:space="preserve"> new elected members to the Council, who have had to learn the Council’s existing working arrangements before considering any appropriate improvements or other changes. The proposed reorganisation of local government will pose a challenge around the working capacity of the Council in supporting business as usual as well as the development of new unitary authorities and the disaggregation of services.</w:t>
      </w:r>
    </w:p>
    <w:p w14:paraId="0FFC051D" w14:textId="77777777" w:rsidR="00FC73AD" w:rsidRPr="00625FE3" w:rsidRDefault="00FC73AD" w:rsidP="00343D87">
      <w:pPr>
        <w:jc w:val="both"/>
      </w:pPr>
    </w:p>
    <w:p w14:paraId="79B90D62" w14:textId="5812CF0E" w:rsidR="0008079E" w:rsidRPr="00FC73AD" w:rsidRDefault="00D75F4E" w:rsidP="00343D87">
      <w:pPr>
        <w:jc w:val="both"/>
        <w:rPr>
          <w:b/>
          <w:bCs/>
          <w:sz w:val="28"/>
          <w:szCs w:val="28"/>
        </w:rPr>
      </w:pPr>
      <w:r>
        <w:rPr>
          <w:b/>
          <w:bCs/>
          <w:sz w:val="28"/>
          <w:szCs w:val="28"/>
        </w:rPr>
        <w:t xml:space="preserve">Current </w:t>
      </w:r>
      <w:r w:rsidRPr="00FC73AD">
        <w:rPr>
          <w:b/>
          <w:bCs/>
          <w:sz w:val="28"/>
          <w:szCs w:val="28"/>
        </w:rPr>
        <w:t xml:space="preserve">Key </w:t>
      </w:r>
      <w:r w:rsidR="0008079E" w:rsidRPr="00FC73AD">
        <w:rPr>
          <w:b/>
          <w:bCs/>
          <w:sz w:val="28"/>
          <w:szCs w:val="28"/>
        </w:rPr>
        <w:t>Focus for 202</w:t>
      </w:r>
      <w:r w:rsidR="00C00B12" w:rsidRPr="00FC73AD">
        <w:rPr>
          <w:b/>
          <w:bCs/>
          <w:sz w:val="28"/>
          <w:szCs w:val="28"/>
        </w:rPr>
        <w:t>6</w:t>
      </w:r>
      <w:r w:rsidR="00016087" w:rsidRPr="00FC73AD">
        <w:rPr>
          <w:b/>
          <w:bCs/>
          <w:sz w:val="28"/>
          <w:szCs w:val="28"/>
        </w:rPr>
        <w:t>/2</w:t>
      </w:r>
      <w:r w:rsidR="00C00B12" w:rsidRPr="00FC73AD">
        <w:rPr>
          <w:b/>
          <w:bCs/>
          <w:sz w:val="28"/>
          <w:szCs w:val="28"/>
        </w:rPr>
        <w:t>7</w:t>
      </w:r>
    </w:p>
    <w:p w14:paraId="7A9410D5" w14:textId="77777777" w:rsidR="002E7B5E" w:rsidRPr="00FC73AD" w:rsidRDefault="002E7B5E" w:rsidP="00172569"/>
    <w:p w14:paraId="1D56C70C" w14:textId="221777A9" w:rsidR="00FC73AD" w:rsidRPr="00FC73AD" w:rsidRDefault="00FB549A" w:rsidP="00FC73AD">
      <w:pPr>
        <w:jc w:val="both"/>
        <w:rPr>
          <w:rFonts w:eastAsia="Calibri" w:cs="Arial"/>
          <w:szCs w:val="24"/>
        </w:rPr>
      </w:pPr>
      <w:r>
        <w:rPr>
          <w:sz w:val="22"/>
          <w:szCs w:val="22"/>
        </w:rPr>
        <w:t xml:space="preserve">Implementing </w:t>
      </w:r>
      <w:r w:rsidR="00FC73AD" w:rsidRPr="00FC73AD">
        <w:rPr>
          <w:sz w:val="22"/>
          <w:szCs w:val="22"/>
        </w:rPr>
        <w:t xml:space="preserve">the work of the constitutional review </w:t>
      </w:r>
      <w:r>
        <w:rPr>
          <w:sz w:val="22"/>
          <w:szCs w:val="22"/>
        </w:rPr>
        <w:t xml:space="preserve">and undertaking the next phases </w:t>
      </w:r>
      <w:r w:rsidR="00FC73AD" w:rsidRPr="00FC73AD">
        <w:rPr>
          <w:sz w:val="22"/>
          <w:szCs w:val="22"/>
        </w:rPr>
        <w:t>will allow the Council to continue to improve its decision-making structures. A focus will also need to be maintained on ensuring proper support for local government reorganisation.</w:t>
      </w:r>
    </w:p>
    <w:p w14:paraId="54004A25" w14:textId="09C3D1F3" w:rsidR="00FC73AD" w:rsidRPr="00172569" w:rsidRDefault="00FC73AD" w:rsidP="00172569">
      <w:pPr>
        <w:sectPr w:rsidR="00FC73AD" w:rsidRPr="00172569" w:rsidSect="001F1561">
          <w:headerReference w:type="default" r:id="rId16"/>
          <w:pgSz w:w="16838" w:h="11906" w:orient="landscape"/>
          <w:pgMar w:top="1440" w:right="1440" w:bottom="1440" w:left="1440" w:header="708" w:footer="708" w:gutter="0"/>
          <w:cols w:num="2" w:space="708"/>
          <w:docGrid w:linePitch="360"/>
        </w:sectPr>
      </w:pPr>
    </w:p>
    <w:p w14:paraId="74ED7768" w14:textId="1148E9ED" w:rsidR="00A05E4F" w:rsidRPr="00625FE3" w:rsidRDefault="00A05E4F" w:rsidP="00A05E4F">
      <w:pPr>
        <w:rPr>
          <w:b/>
          <w:bCs/>
          <w:sz w:val="28"/>
          <w:szCs w:val="28"/>
        </w:rPr>
      </w:pPr>
      <w:r w:rsidRPr="00625FE3">
        <w:rPr>
          <w:b/>
          <w:bCs/>
          <w:sz w:val="28"/>
          <w:szCs w:val="28"/>
        </w:rPr>
        <w:lastRenderedPageBreak/>
        <w:t>Compliance with the</w:t>
      </w:r>
      <w:r w:rsidR="000030F1">
        <w:rPr>
          <w:b/>
          <w:bCs/>
          <w:sz w:val="28"/>
          <w:szCs w:val="28"/>
        </w:rPr>
        <w:t xml:space="preserve"> </w:t>
      </w:r>
      <w:r w:rsidR="000030F1" w:rsidRPr="00625FE3">
        <w:rPr>
          <w:b/>
          <w:bCs/>
          <w:sz w:val="28"/>
          <w:szCs w:val="28"/>
        </w:rPr>
        <w:t>Local Code</w:t>
      </w:r>
      <w:r w:rsidR="000030F1">
        <w:rPr>
          <w:b/>
          <w:bCs/>
          <w:sz w:val="28"/>
          <w:szCs w:val="28"/>
        </w:rPr>
        <w:t xml:space="preserve"> </w:t>
      </w:r>
      <w:bookmarkStart w:id="0" w:name="_Hlk198619957"/>
      <w:r w:rsidR="000030F1">
        <w:rPr>
          <w:b/>
          <w:bCs/>
          <w:sz w:val="28"/>
          <w:szCs w:val="28"/>
        </w:rPr>
        <w:t>during 202</w:t>
      </w:r>
      <w:r w:rsidR="00265ACA">
        <w:rPr>
          <w:b/>
          <w:bCs/>
          <w:sz w:val="28"/>
          <w:szCs w:val="28"/>
        </w:rPr>
        <w:t>5/26</w:t>
      </w:r>
      <w:bookmarkEnd w:id="0"/>
    </w:p>
    <w:p w14:paraId="11F80000" w14:textId="1F346599" w:rsidR="00746F36" w:rsidRPr="00FB549A" w:rsidRDefault="000827BD" w:rsidP="008725B0">
      <w:pPr>
        <w:jc w:val="both"/>
        <w:rPr>
          <w:sz w:val="22"/>
          <w:szCs w:val="22"/>
        </w:rPr>
      </w:pPr>
      <w:r w:rsidRPr="00625FE3">
        <w:rPr>
          <w:sz w:val="22"/>
          <w:szCs w:val="22"/>
        </w:rPr>
        <w:t>T</w:t>
      </w:r>
      <w:r w:rsidR="00097B54" w:rsidRPr="00625FE3">
        <w:rPr>
          <w:sz w:val="22"/>
          <w:szCs w:val="22"/>
        </w:rPr>
        <w:t xml:space="preserve">he </w:t>
      </w:r>
      <w:r w:rsidR="00496AF5" w:rsidRPr="00625FE3">
        <w:rPr>
          <w:sz w:val="22"/>
          <w:szCs w:val="22"/>
        </w:rPr>
        <w:t>‘</w:t>
      </w:r>
      <w:r w:rsidR="00265ACA">
        <w:rPr>
          <w:sz w:val="22"/>
          <w:szCs w:val="22"/>
        </w:rPr>
        <w:t>Our Council Plan</w:t>
      </w:r>
      <w:r w:rsidR="00496AF5" w:rsidRPr="00625FE3">
        <w:rPr>
          <w:sz w:val="22"/>
          <w:szCs w:val="22"/>
        </w:rPr>
        <w:t>’</w:t>
      </w:r>
      <w:r w:rsidR="00746F36" w:rsidRPr="00625FE3">
        <w:rPr>
          <w:sz w:val="22"/>
          <w:szCs w:val="22"/>
        </w:rPr>
        <w:t xml:space="preserve"> </w:t>
      </w:r>
      <w:r w:rsidR="00CE502E" w:rsidRPr="00625FE3">
        <w:rPr>
          <w:sz w:val="22"/>
          <w:szCs w:val="22"/>
        </w:rPr>
        <w:t xml:space="preserve">is established </w:t>
      </w:r>
      <w:r w:rsidR="00265ACA">
        <w:rPr>
          <w:sz w:val="22"/>
          <w:szCs w:val="22"/>
        </w:rPr>
        <w:t>s</w:t>
      </w:r>
      <w:r w:rsidR="00097B54" w:rsidRPr="00625FE3">
        <w:rPr>
          <w:sz w:val="22"/>
          <w:szCs w:val="22"/>
        </w:rPr>
        <w:t>etting out a</w:t>
      </w:r>
      <w:r w:rsidR="00496AF5" w:rsidRPr="00625FE3">
        <w:rPr>
          <w:sz w:val="22"/>
          <w:szCs w:val="22"/>
        </w:rPr>
        <w:t xml:space="preserve"> </w:t>
      </w:r>
      <w:r w:rsidR="00265ACA">
        <w:rPr>
          <w:sz w:val="22"/>
          <w:szCs w:val="22"/>
        </w:rPr>
        <w:t xml:space="preserve">bold and ambitious vision for Nottinghamshire, with the aim to build stronger families, thriving communities, and a connected </w:t>
      </w:r>
      <w:r w:rsidR="00265ACA" w:rsidRPr="00FB549A">
        <w:rPr>
          <w:sz w:val="22"/>
          <w:szCs w:val="22"/>
        </w:rPr>
        <w:t xml:space="preserve">county and progress is reported </w:t>
      </w:r>
      <w:r w:rsidRPr="00FB549A">
        <w:rPr>
          <w:sz w:val="22"/>
          <w:szCs w:val="22"/>
        </w:rPr>
        <w:t>in the Councils Annual Report.</w:t>
      </w:r>
    </w:p>
    <w:p w14:paraId="061734B6" w14:textId="77777777" w:rsidR="00746F36" w:rsidRPr="00FB549A" w:rsidRDefault="00746F36" w:rsidP="008725B0">
      <w:pPr>
        <w:jc w:val="both"/>
        <w:rPr>
          <w:sz w:val="22"/>
          <w:szCs w:val="22"/>
        </w:rPr>
      </w:pPr>
    </w:p>
    <w:p w14:paraId="1950F8B2" w14:textId="3423E5D3" w:rsidR="008725B0" w:rsidRPr="00FB549A" w:rsidRDefault="008725B0" w:rsidP="008725B0">
      <w:pPr>
        <w:jc w:val="both"/>
        <w:rPr>
          <w:sz w:val="22"/>
          <w:szCs w:val="22"/>
        </w:rPr>
      </w:pPr>
      <w:r w:rsidRPr="00FB549A">
        <w:rPr>
          <w:sz w:val="22"/>
          <w:szCs w:val="22"/>
        </w:rPr>
        <w:t>The Council complied with the requirements of the Transparency Code in 20</w:t>
      </w:r>
      <w:r w:rsidR="00746F36" w:rsidRPr="00FB549A">
        <w:rPr>
          <w:sz w:val="22"/>
          <w:szCs w:val="22"/>
        </w:rPr>
        <w:t>2</w:t>
      </w:r>
      <w:r w:rsidR="00265ACA" w:rsidRPr="00FB549A">
        <w:rPr>
          <w:sz w:val="22"/>
          <w:szCs w:val="22"/>
        </w:rPr>
        <w:t>5/26</w:t>
      </w:r>
      <w:r w:rsidR="00746F36" w:rsidRPr="00FB549A">
        <w:rPr>
          <w:sz w:val="22"/>
          <w:szCs w:val="22"/>
        </w:rPr>
        <w:t xml:space="preserve">, and all other requirements of the Local Code for this aspect of governance were maintained during the year. </w:t>
      </w:r>
    </w:p>
    <w:p w14:paraId="31B86B8B" w14:textId="77777777" w:rsidR="00A05E4F" w:rsidRPr="00FB549A" w:rsidRDefault="00A05E4F" w:rsidP="00A05E4F"/>
    <w:p w14:paraId="1C0833BE" w14:textId="088A0336" w:rsidR="00806C65" w:rsidRPr="00FB549A" w:rsidRDefault="00E2345F" w:rsidP="00343D87">
      <w:pPr>
        <w:jc w:val="both"/>
        <w:rPr>
          <w:b/>
          <w:bCs/>
          <w:sz w:val="28"/>
          <w:szCs w:val="28"/>
        </w:rPr>
      </w:pPr>
      <w:r w:rsidRPr="00FB549A">
        <w:rPr>
          <w:b/>
          <w:bCs/>
          <w:sz w:val="28"/>
          <w:szCs w:val="28"/>
        </w:rPr>
        <w:t>Improvements &amp; developments during 202</w:t>
      </w:r>
      <w:r w:rsidR="00265ACA" w:rsidRPr="00FB549A">
        <w:rPr>
          <w:b/>
          <w:bCs/>
          <w:sz w:val="28"/>
          <w:szCs w:val="28"/>
        </w:rPr>
        <w:t>5/26</w:t>
      </w:r>
    </w:p>
    <w:p w14:paraId="58EB5654" w14:textId="77777777" w:rsidR="00E2345F" w:rsidRPr="00FB549A" w:rsidRDefault="00E2345F" w:rsidP="00343D87">
      <w:pPr>
        <w:jc w:val="both"/>
        <w:rPr>
          <w:sz w:val="22"/>
          <w:szCs w:val="22"/>
        </w:rPr>
      </w:pPr>
    </w:p>
    <w:p w14:paraId="05D628E7" w14:textId="77777777" w:rsidR="00FB549A" w:rsidRPr="00FB549A" w:rsidRDefault="00FB549A" w:rsidP="00FB549A">
      <w:pPr>
        <w:jc w:val="both"/>
        <w:rPr>
          <w:sz w:val="22"/>
          <w:szCs w:val="22"/>
        </w:rPr>
      </w:pPr>
      <w:r w:rsidRPr="00FB549A">
        <w:rPr>
          <w:sz w:val="22"/>
          <w:szCs w:val="22"/>
        </w:rPr>
        <w:t xml:space="preserve">The review of the Constitution to date has focussed on improving the robustness and efficiency of decision making. This has included incorporating best practice from councils across the country and ensuring that issues which are most important to </w:t>
      </w:r>
      <w:proofErr w:type="gramStart"/>
      <w:r w:rsidRPr="00FB549A">
        <w:rPr>
          <w:sz w:val="22"/>
          <w:szCs w:val="22"/>
        </w:rPr>
        <w:t>local residents</w:t>
      </w:r>
      <w:proofErr w:type="gramEnd"/>
      <w:r w:rsidRPr="00FB549A">
        <w:rPr>
          <w:sz w:val="22"/>
          <w:szCs w:val="22"/>
        </w:rPr>
        <w:t xml:space="preserve"> and their communities are appropriately reflected in the work of the Council. </w:t>
      </w:r>
    </w:p>
    <w:p w14:paraId="03EBE589" w14:textId="77777777" w:rsidR="00FB549A" w:rsidRPr="00FB549A" w:rsidRDefault="00FB549A" w:rsidP="00FB549A">
      <w:pPr>
        <w:jc w:val="both"/>
        <w:rPr>
          <w:color w:val="000000" w:themeColor="text1"/>
          <w:sz w:val="22"/>
          <w:szCs w:val="22"/>
        </w:rPr>
      </w:pPr>
    </w:p>
    <w:p w14:paraId="0BD1746A" w14:textId="77777777" w:rsidR="00FB549A" w:rsidRPr="00FB549A" w:rsidRDefault="00FB549A" w:rsidP="00FB549A">
      <w:pPr>
        <w:jc w:val="both"/>
        <w:rPr>
          <w:color w:val="000000" w:themeColor="text1"/>
          <w:sz w:val="22"/>
          <w:szCs w:val="22"/>
        </w:rPr>
      </w:pPr>
      <w:r w:rsidRPr="00FB549A">
        <w:rPr>
          <w:color w:val="000000" w:themeColor="text1"/>
          <w:sz w:val="22"/>
          <w:szCs w:val="22"/>
        </w:rPr>
        <w:t xml:space="preserve">The Constitution Review has also developed and is implementing changes to ensure more consistent and robust strategic oversight of the Council’s Arm’s Length Companies. </w:t>
      </w:r>
    </w:p>
    <w:p w14:paraId="743E7406" w14:textId="77777777" w:rsidR="00A61C75" w:rsidRPr="00FB549A" w:rsidRDefault="00A61C75" w:rsidP="00A61C75">
      <w:pPr>
        <w:jc w:val="both"/>
        <w:rPr>
          <w:color w:val="FF0000"/>
          <w:sz w:val="22"/>
          <w:szCs w:val="22"/>
        </w:rPr>
      </w:pPr>
    </w:p>
    <w:p w14:paraId="1AF61254" w14:textId="77777777" w:rsidR="00A61C75" w:rsidRPr="00FB549A" w:rsidRDefault="00A61C75" w:rsidP="00A61C75">
      <w:pPr>
        <w:jc w:val="both"/>
        <w:rPr>
          <w:color w:val="000000" w:themeColor="text1"/>
          <w:sz w:val="22"/>
          <w:szCs w:val="22"/>
        </w:rPr>
      </w:pPr>
      <w:r w:rsidRPr="00FB549A">
        <w:rPr>
          <w:color w:val="000000" w:themeColor="text1"/>
          <w:sz w:val="22"/>
          <w:szCs w:val="22"/>
        </w:rPr>
        <w:t xml:space="preserve">The Council has strengthened its commitment to stakeholder engagement in 2025/26, with a commitment in the Council Plan to being ‘A council that leads, a council that listens’. This includes a focus on being community-led, as well as collaborating with partners to achieve best outcomes for residents. </w:t>
      </w:r>
    </w:p>
    <w:p w14:paraId="6D29D5A3" w14:textId="77777777" w:rsidR="00A61C75" w:rsidRPr="00FB549A" w:rsidRDefault="00A61C75" w:rsidP="00A61C75">
      <w:pPr>
        <w:jc w:val="both"/>
        <w:rPr>
          <w:color w:val="000000" w:themeColor="text1"/>
          <w:sz w:val="22"/>
          <w:szCs w:val="22"/>
        </w:rPr>
      </w:pPr>
    </w:p>
    <w:p w14:paraId="78F5C619" w14:textId="51B1A8F7" w:rsidR="00A61C75" w:rsidRPr="00FB549A" w:rsidRDefault="00A61C75" w:rsidP="00A61C75">
      <w:pPr>
        <w:jc w:val="both"/>
        <w:rPr>
          <w:color w:val="000000" w:themeColor="text1"/>
          <w:sz w:val="22"/>
          <w:szCs w:val="22"/>
        </w:rPr>
      </w:pPr>
      <w:r w:rsidRPr="00FB549A">
        <w:rPr>
          <w:color w:val="000000" w:themeColor="text1"/>
          <w:sz w:val="22"/>
          <w:szCs w:val="22"/>
        </w:rPr>
        <w:t xml:space="preserve">Coproduction has continued to </w:t>
      </w:r>
      <w:r w:rsidR="00890383" w:rsidRPr="00FB549A">
        <w:rPr>
          <w:color w:val="000000" w:themeColor="text1"/>
          <w:sz w:val="22"/>
          <w:szCs w:val="22"/>
        </w:rPr>
        <w:t>strengthen;</w:t>
      </w:r>
      <w:r w:rsidRPr="00FB549A">
        <w:rPr>
          <w:color w:val="000000" w:themeColor="text1"/>
          <w:sz w:val="22"/>
          <w:szCs w:val="22"/>
        </w:rPr>
        <w:t xml:space="preserve"> </w:t>
      </w:r>
      <w:r w:rsidR="00421E65">
        <w:rPr>
          <w:color w:val="000000" w:themeColor="text1"/>
          <w:sz w:val="22"/>
          <w:szCs w:val="22"/>
        </w:rPr>
        <w:t>with an example of impact being the work of Our Voice, shaping the way that adult social care is provided within the county.</w:t>
      </w:r>
    </w:p>
    <w:p w14:paraId="07BD9EE7" w14:textId="77777777" w:rsidR="00A61C75" w:rsidRPr="00FB549A" w:rsidRDefault="00A61C75" w:rsidP="00A61C75">
      <w:pPr>
        <w:jc w:val="both"/>
        <w:rPr>
          <w:color w:val="000000" w:themeColor="text1"/>
          <w:sz w:val="22"/>
          <w:szCs w:val="22"/>
        </w:rPr>
      </w:pPr>
    </w:p>
    <w:p w14:paraId="1085B41A" w14:textId="77777777" w:rsidR="00A61C75" w:rsidRPr="00FB549A" w:rsidRDefault="00A61C75" w:rsidP="00A61C75">
      <w:pPr>
        <w:jc w:val="both"/>
        <w:rPr>
          <w:color w:val="000000" w:themeColor="text1"/>
          <w:sz w:val="22"/>
          <w:szCs w:val="22"/>
        </w:rPr>
      </w:pPr>
      <w:r w:rsidRPr="00FB549A">
        <w:rPr>
          <w:color w:val="000000" w:themeColor="text1"/>
          <w:sz w:val="22"/>
          <w:szCs w:val="22"/>
        </w:rPr>
        <w:t xml:space="preserve">In terms of communicating with the community and stakeholders, two examples of improvements in 2025/26 are the publication of the new “Life in Nottinghamshire” magazine for households, and the introduction of the “Your Notts” Community Directory, which provides accessible information, advice and guidance about support available in Nottingham and Nottinghamshire. </w:t>
      </w:r>
    </w:p>
    <w:p w14:paraId="3FB01BB9" w14:textId="77777777" w:rsidR="00A61C75" w:rsidRPr="00FB549A" w:rsidRDefault="00A61C75" w:rsidP="00343D87">
      <w:pPr>
        <w:jc w:val="both"/>
        <w:rPr>
          <w:sz w:val="22"/>
          <w:szCs w:val="22"/>
        </w:rPr>
      </w:pPr>
    </w:p>
    <w:p w14:paraId="7B558562" w14:textId="7F1B79BE" w:rsidR="00E2345F" w:rsidRPr="00FB549A" w:rsidRDefault="00E2345F" w:rsidP="00343D87">
      <w:pPr>
        <w:jc w:val="both"/>
        <w:rPr>
          <w:b/>
          <w:bCs/>
          <w:sz w:val="28"/>
          <w:szCs w:val="28"/>
        </w:rPr>
      </w:pPr>
      <w:r w:rsidRPr="00FB549A">
        <w:rPr>
          <w:b/>
          <w:bCs/>
          <w:sz w:val="28"/>
          <w:szCs w:val="28"/>
        </w:rPr>
        <w:t>Gaps and challenges</w:t>
      </w:r>
    </w:p>
    <w:p w14:paraId="3E81D9E1" w14:textId="07D20CD5" w:rsidR="001940A3" w:rsidRPr="00FB549A" w:rsidRDefault="00171C04" w:rsidP="00343D87">
      <w:pPr>
        <w:jc w:val="both"/>
        <w:rPr>
          <w:sz w:val="22"/>
          <w:szCs w:val="22"/>
        </w:rPr>
      </w:pPr>
      <w:r w:rsidRPr="00FB549A">
        <w:rPr>
          <w:sz w:val="22"/>
          <w:szCs w:val="22"/>
        </w:rPr>
        <w:t>Compliance with the Local Code and the work developed throughout the year provide</w:t>
      </w:r>
      <w:r w:rsidR="00AB3AF6" w:rsidRPr="00FB549A">
        <w:rPr>
          <w:sz w:val="22"/>
          <w:szCs w:val="22"/>
        </w:rPr>
        <w:t>s</w:t>
      </w:r>
      <w:r w:rsidRPr="00FB549A">
        <w:rPr>
          <w:sz w:val="22"/>
          <w:szCs w:val="22"/>
        </w:rPr>
        <w:t xml:space="preserve"> evidence of substantial assurance. To ensure this level of assurance is maintained t</w:t>
      </w:r>
      <w:r w:rsidR="00E2345F" w:rsidRPr="00FB549A">
        <w:rPr>
          <w:sz w:val="22"/>
          <w:szCs w:val="22"/>
        </w:rPr>
        <w:t xml:space="preserve">he Council continues to strengthen the ways in which we engage residents and support them to access timely information, advice and guidance. </w:t>
      </w:r>
    </w:p>
    <w:p w14:paraId="2D42A054" w14:textId="77777777" w:rsidR="00120BCC" w:rsidRPr="00FB549A" w:rsidRDefault="00120BCC" w:rsidP="00343D87">
      <w:pPr>
        <w:jc w:val="both"/>
        <w:rPr>
          <w:sz w:val="22"/>
          <w:szCs w:val="22"/>
        </w:rPr>
      </w:pPr>
    </w:p>
    <w:p w14:paraId="0B35BECA" w14:textId="77777777" w:rsidR="00E2345F" w:rsidRPr="00FB549A" w:rsidRDefault="00E2345F" w:rsidP="00343D87">
      <w:pPr>
        <w:jc w:val="both"/>
      </w:pPr>
    </w:p>
    <w:p w14:paraId="27E508AD" w14:textId="4D8FC50F" w:rsidR="00E2345F" w:rsidRPr="00FB549A" w:rsidRDefault="000030F1" w:rsidP="00343D87">
      <w:pPr>
        <w:jc w:val="both"/>
        <w:rPr>
          <w:b/>
          <w:bCs/>
          <w:sz w:val="28"/>
          <w:szCs w:val="28"/>
        </w:rPr>
      </w:pPr>
      <w:r w:rsidRPr="00FB549A">
        <w:rPr>
          <w:b/>
          <w:bCs/>
          <w:sz w:val="28"/>
          <w:szCs w:val="28"/>
        </w:rPr>
        <w:t xml:space="preserve">Current Key </w:t>
      </w:r>
      <w:r w:rsidR="00E2345F" w:rsidRPr="00FB549A">
        <w:rPr>
          <w:b/>
          <w:bCs/>
          <w:sz w:val="28"/>
          <w:szCs w:val="28"/>
        </w:rPr>
        <w:t>Focus for 202</w:t>
      </w:r>
      <w:r w:rsidR="00265ACA" w:rsidRPr="00FB549A">
        <w:rPr>
          <w:b/>
          <w:bCs/>
          <w:sz w:val="28"/>
          <w:szCs w:val="28"/>
        </w:rPr>
        <w:t>6/27</w:t>
      </w:r>
    </w:p>
    <w:p w14:paraId="32277512" w14:textId="77777777" w:rsidR="007032A0" w:rsidRPr="00FB549A" w:rsidRDefault="007032A0" w:rsidP="007032A0">
      <w:pPr>
        <w:rPr>
          <w:sz w:val="22"/>
          <w:szCs w:val="22"/>
        </w:rPr>
      </w:pPr>
    </w:p>
    <w:p w14:paraId="2EC2F687" w14:textId="77777777" w:rsidR="00A61C75" w:rsidRPr="00FB549A" w:rsidRDefault="00A61C75" w:rsidP="00A61C75">
      <w:pPr>
        <w:jc w:val="both"/>
        <w:rPr>
          <w:color w:val="000000" w:themeColor="text1"/>
          <w:sz w:val="22"/>
          <w:szCs w:val="22"/>
        </w:rPr>
      </w:pPr>
      <w:r w:rsidRPr="00FB549A">
        <w:rPr>
          <w:color w:val="000000" w:themeColor="text1"/>
          <w:sz w:val="22"/>
          <w:szCs w:val="22"/>
        </w:rPr>
        <w:t xml:space="preserve">Priorities included within the Council’s Annual Delivery Plan for 2026/27 to strengthen consultation and engagement, and wider communication with the community and stakeholders include: </w:t>
      </w:r>
    </w:p>
    <w:p w14:paraId="08785B5C" w14:textId="77777777" w:rsidR="00A61C75" w:rsidRPr="00FB549A" w:rsidRDefault="00A61C75" w:rsidP="00A61C75">
      <w:pPr>
        <w:pStyle w:val="ListParagraph"/>
        <w:numPr>
          <w:ilvl w:val="0"/>
          <w:numId w:val="31"/>
        </w:numPr>
        <w:jc w:val="both"/>
        <w:rPr>
          <w:color w:val="000000" w:themeColor="text1"/>
          <w:sz w:val="22"/>
          <w:szCs w:val="22"/>
        </w:rPr>
      </w:pPr>
      <w:r w:rsidRPr="00FB549A">
        <w:rPr>
          <w:color w:val="000000" w:themeColor="text1"/>
          <w:sz w:val="22"/>
          <w:szCs w:val="22"/>
        </w:rPr>
        <w:t>Developing a new Communications and Engagement Strategy, ensuring that people and communities have more opportunities to have their say and hear how the Council is responding; and</w:t>
      </w:r>
    </w:p>
    <w:p w14:paraId="0C558263" w14:textId="77777777" w:rsidR="00A61C75" w:rsidRPr="00FB549A" w:rsidRDefault="00A61C75" w:rsidP="00A61C75">
      <w:pPr>
        <w:pStyle w:val="ListParagraph"/>
        <w:numPr>
          <w:ilvl w:val="0"/>
          <w:numId w:val="31"/>
        </w:numPr>
        <w:jc w:val="both"/>
        <w:rPr>
          <w:color w:val="000000" w:themeColor="text1"/>
          <w:sz w:val="22"/>
          <w:szCs w:val="22"/>
        </w:rPr>
      </w:pPr>
      <w:r w:rsidRPr="00FB549A">
        <w:rPr>
          <w:color w:val="000000" w:themeColor="text1"/>
          <w:sz w:val="22"/>
          <w:szCs w:val="22"/>
        </w:rPr>
        <w:t>Setting out a clear, council-wide approach to engagement, co-design and co-production, showing how local people can be involved in shaping services that matter to them.</w:t>
      </w:r>
    </w:p>
    <w:p w14:paraId="61A443A1" w14:textId="77777777" w:rsidR="00A61C75" w:rsidRPr="00FB549A" w:rsidRDefault="00A61C75" w:rsidP="007032A0">
      <w:pPr>
        <w:rPr>
          <w:sz w:val="22"/>
          <w:szCs w:val="22"/>
        </w:rPr>
      </w:pPr>
    </w:p>
    <w:p w14:paraId="60D777E7" w14:textId="36648FC4" w:rsidR="00FB549A" w:rsidRDefault="00FB549A" w:rsidP="00FB549A">
      <w:pPr>
        <w:jc w:val="both"/>
        <w:rPr>
          <w:sz w:val="22"/>
          <w:szCs w:val="22"/>
        </w:rPr>
      </w:pPr>
      <w:r w:rsidRPr="00FB549A">
        <w:rPr>
          <w:sz w:val="22"/>
          <w:szCs w:val="22"/>
        </w:rPr>
        <w:t>The next phase of the Constitution review includes members and officers reviewing best practice and developing proposals for consideration in relation to the Council’s approach to Access to Information to ensure that the Council achieves the expected standards of openness and transparency.</w:t>
      </w:r>
    </w:p>
    <w:p w14:paraId="77A87DA0" w14:textId="2A1CA940" w:rsidR="00FB549A" w:rsidRPr="007032A0" w:rsidRDefault="00FB549A" w:rsidP="007032A0">
      <w:pPr>
        <w:rPr>
          <w:sz w:val="22"/>
          <w:szCs w:val="22"/>
        </w:rPr>
        <w:sectPr w:rsidR="00FB549A" w:rsidRPr="007032A0" w:rsidSect="001F1561">
          <w:headerReference w:type="default" r:id="rId17"/>
          <w:pgSz w:w="16838" w:h="11906" w:orient="landscape"/>
          <w:pgMar w:top="1440" w:right="1440" w:bottom="1440" w:left="1440" w:header="708" w:footer="708" w:gutter="0"/>
          <w:cols w:num="2" w:space="708"/>
          <w:docGrid w:linePitch="360"/>
        </w:sectPr>
      </w:pPr>
    </w:p>
    <w:tbl>
      <w:tblPr>
        <w:tblStyle w:val="TableGrid"/>
        <w:tblpPr w:leftFromText="180" w:rightFromText="180" w:vertAnchor="page" w:horzAnchor="margin" w:tblpY="645"/>
        <w:tblW w:w="14029" w:type="dxa"/>
        <w:tblLook w:val="04A0" w:firstRow="1" w:lastRow="0" w:firstColumn="1" w:lastColumn="0" w:noHBand="0" w:noVBand="1"/>
      </w:tblPr>
      <w:tblGrid>
        <w:gridCol w:w="14029"/>
      </w:tblGrid>
      <w:tr w:rsidR="005449E9" w14:paraId="6288F633" w14:textId="77777777" w:rsidTr="008F0E67">
        <w:tc>
          <w:tcPr>
            <w:tcW w:w="14029" w:type="dxa"/>
            <w:shd w:val="clear" w:color="auto" w:fill="B4C6E7" w:themeFill="accent1" w:themeFillTint="66"/>
          </w:tcPr>
          <w:p w14:paraId="2395021B" w14:textId="7616CEBF" w:rsidR="00321BB6" w:rsidRDefault="00321BB6" w:rsidP="008F0E67">
            <w:pPr>
              <w:pStyle w:val="Header"/>
              <w:rPr>
                <w:rStyle w:val="cf01"/>
                <w:rFonts w:ascii="Arial" w:hAnsi="Arial" w:cs="Arial"/>
                <w:b/>
                <w:bCs/>
                <w:sz w:val="28"/>
                <w:szCs w:val="28"/>
              </w:rPr>
            </w:pPr>
            <w:r w:rsidRPr="00321BB6">
              <w:rPr>
                <w:rStyle w:val="cf01"/>
                <w:rFonts w:ascii="Arial" w:hAnsi="Arial" w:cs="Arial"/>
                <w:b/>
                <w:bCs/>
                <w:sz w:val="28"/>
                <w:szCs w:val="28"/>
              </w:rPr>
              <w:lastRenderedPageBreak/>
              <w:t xml:space="preserve">C. Defining outcomes in terms of sustainable economic, social, and environmental </w:t>
            </w:r>
            <w:r w:rsidR="00B35D80" w:rsidRPr="00321BB6">
              <w:rPr>
                <w:rStyle w:val="cf01"/>
                <w:rFonts w:ascii="Arial" w:hAnsi="Arial" w:cs="Arial"/>
                <w:b/>
                <w:bCs/>
                <w:sz w:val="28"/>
                <w:szCs w:val="28"/>
              </w:rPr>
              <w:t>benefits.</w:t>
            </w:r>
          </w:p>
          <w:p w14:paraId="317932A7" w14:textId="77777777" w:rsidR="00061978" w:rsidRDefault="00061978" w:rsidP="008F0E67">
            <w:pPr>
              <w:pStyle w:val="Header"/>
              <w:rPr>
                <w:rStyle w:val="cf01"/>
                <w:rFonts w:ascii="Arial" w:hAnsi="Arial"/>
                <w:bCs/>
              </w:rPr>
            </w:pPr>
          </w:p>
          <w:p w14:paraId="1658AA46" w14:textId="61C1F890" w:rsidR="005449E9" w:rsidRPr="006172FC" w:rsidRDefault="005449E9" w:rsidP="008F0E67">
            <w:pPr>
              <w:pStyle w:val="Header"/>
            </w:pPr>
            <w:r w:rsidRPr="00321BB6">
              <w:rPr>
                <w:rFonts w:cs="Arial"/>
                <w:b/>
                <w:bCs/>
                <w:sz w:val="28"/>
                <w:szCs w:val="28"/>
              </w:rPr>
              <w:t xml:space="preserve"> </w:t>
            </w:r>
            <w:r>
              <w:rPr>
                <w:b/>
                <w:szCs w:val="24"/>
              </w:rPr>
              <w:t xml:space="preserve">                                           </w:t>
            </w:r>
            <w:r w:rsidRPr="003E6D4C">
              <w:rPr>
                <w:b/>
                <w:szCs w:val="24"/>
              </w:rPr>
              <w:t xml:space="preserve">Assessed assurance level for compliance with the Code of Corporate Governance: </w:t>
            </w:r>
            <w:r w:rsidR="005D5D03" w:rsidRPr="00220D03">
              <w:rPr>
                <w:b/>
                <w:szCs w:val="24"/>
                <w:shd w:val="clear" w:color="auto" w:fill="FFC000"/>
              </w:rPr>
              <w:t>Reasonable</w:t>
            </w:r>
          </w:p>
        </w:tc>
      </w:tr>
    </w:tbl>
    <w:p w14:paraId="2990135A" w14:textId="77777777" w:rsidR="008D150A" w:rsidRDefault="008D150A" w:rsidP="008D150A">
      <w:pPr>
        <w:pStyle w:val="Header"/>
        <w:rPr>
          <w:b/>
          <w:szCs w:val="24"/>
        </w:rPr>
      </w:pPr>
    </w:p>
    <w:p w14:paraId="762D1D24" w14:textId="0C6EFE05" w:rsidR="00A05E4F" w:rsidRPr="00A21221" w:rsidRDefault="00A05E4F" w:rsidP="00343D87">
      <w:pPr>
        <w:jc w:val="both"/>
        <w:rPr>
          <w:b/>
          <w:bCs/>
          <w:sz w:val="28"/>
          <w:szCs w:val="28"/>
        </w:rPr>
      </w:pPr>
      <w:r w:rsidRPr="00A21221">
        <w:rPr>
          <w:b/>
          <w:bCs/>
          <w:sz w:val="28"/>
          <w:szCs w:val="28"/>
        </w:rPr>
        <w:t>Compliance with the Local Code</w:t>
      </w:r>
      <w:r w:rsidR="000030F1">
        <w:rPr>
          <w:b/>
          <w:bCs/>
          <w:sz w:val="28"/>
          <w:szCs w:val="28"/>
        </w:rPr>
        <w:t xml:space="preserve"> during 202</w:t>
      </w:r>
      <w:r w:rsidR="00AF0424">
        <w:rPr>
          <w:b/>
          <w:bCs/>
          <w:sz w:val="28"/>
          <w:szCs w:val="28"/>
        </w:rPr>
        <w:t>5/26</w:t>
      </w:r>
    </w:p>
    <w:p w14:paraId="02CF7922" w14:textId="77B5CA3C" w:rsidR="00E56835" w:rsidRPr="00A21221" w:rsidRDefault="00871844" w:rsidP="00343D87">
      <w:pPr>
        <w:jc w:val="both"/>
        <w:rPr>
          <w:sz w:val="22"/>
          <w:szCs w:val="22"/>
        </w:rPr>
      </w:pPr>
      <w:r w:rsidRPr="00A21221">
        <w:rPr>
          <w:sz w:val="22"/>
          <w:szCs w:val="22"/>
        </w:rPr>
        <w:t xml:space="preserve">The Council maintained </w:t>
      </w:r>
      <w:r w:rsidR="002A5A3B" w:rsidRPr="00A21221">
        <w:rPr>
          <w:sz w:val="22"/>
          <w:szCs w:val="22"/>
        </w:rPr>
        <w:t xml:space="preserve">its </w:t>
      </w:r>
      <w:r w:rsidRPr="00A21221">
        <w:rPr>
          <w:sz w:val="22"/>
          <w:szCs w:val="22"/>
        </w:rPr>
        <w:t xml:space="preserve">focus during </w:t>
      </w:r>
      <w:r w:rsidR="00B35D80">
        <w:rPr>
          <w:sz w:val="22"/>
          <w:szCs w:val="22"/>
        </w:rPr>
        <w:t>202</w:t>
      </w:r>
      <w:r w:rsidR="00AF0424">
        <w:rPr>
          <w:sz w:val="22"/>
          <w:szCs w:val="22"/>
        </w:rPr>
        <w:t>5/26</w:t>
      </w:r>
      <w:r w:rsidRPr="00A21221">
        <w:rPr>
          <w:sz w:val="22"/>
          <w:szCs w:val="22"/>
        </w:rPr>
        <w:t xml:space="preserve"> o</w:t>
      </w:r>
      <w:r w:rsidR="0023487E" w:rsidRPr="00A21221">
        <w:rPr>
          <w:sz w:val="22"/>
          <w:szCs w:val="22"/>
        </w:rPr>
        <w:t>n</w:t>
      </w:r>
      <w:r w:rsidRPr="00A21221">
        <w:rPr>
          <w:sz w:val="22"/>
          <w:szCs w:val="22"/>
        </w:rPr>
        <w:t xml:space="preserve"> meeting </w:t>
      </w:r>
      <w:r w:rsidR="00997DA9" w:rsidRPr="00A21221">
        <w:rPr>
          <w:sz w:val="22"/>
          <w:szCs w:val="22"/>
        </w:rPr>
        <w:t>its</w:t>
      </w:r>
      <w:r w:rsidRPr="00A21221">
        <w:rPr>
          <w:sz w:val="22"/>
          <w:szCs w:val="22"/>
        </w:rPr>
        <w:t xml:space="preserve"> short-term priorities</w:t>
      </w:r>
      <w:r w:rsidR="00997DA9" w:rsidRPr="00A21221">
        <w:rPr>
          <w:sz w:val="22"/>
          <w:szCs w:val="22"/>
        </w:rPr>
        <w:t xml:space="preserve">, alongside </w:t>
      </w:r>
      <w:r w:rsidR="002A5A3B" w:rsidRPr="00A21221">
        <w:rPr>
          <w:sz w:val="22"/>
          <w:szCs w:val="22"/>
        </w:rPr>
        <w:t xml:space="preserve">long-term </w:t>
      </w:r>
      <w:r w:rsidR="00AF0424">
        <w:rPr>
          <w:sz w:val="22"/>
          <w:szCs w:val="22"/>
        </w:rPr>
        <w:t xml:space="preserve">objectives </w:t>
      </w:r>
      <w:r w:rsidR="00997DA9" w:rsidRPr="00A21221">
        <w:rPr>
          <w:sz w:val="22"/>
          <w:szCs w:val="22"/>
        </w:rPr>
        <w:t>through the</w:t>
      </w:r>
      <w:r w:rsidR="00AF0424">
        <w:rPr>
          <w:sz w:val="22"/>
          <w:szCs w:val="22"/>
        </w:rPr>
        <w:t xml:space="preserve"> ‘Our Council Plan’ and preparations for Local Government R</w:t>
      </w:r>
      <w:r w:rsidR="007113B8">
        <w:rPr>
          <w:sz w:val="22"/>
          <w:szCs w:val="22"/>
        </w:rPr>
        <w:t>eorganisation</w:t>
      </w:r>
      <w:r w:rsidR="00AF0424">
        <w:rPr>
          <w:sz w:val="22"/>
          <w:szCs w:val="22"/>
        </w:rPr>
        <w:t>.</w:t>
      </w:r>
      <w:r w:rsidR="00997DA9" w:rsidRPr="00A21221">
        <w:rPr>
          <w:sz w:val="22"/>
          <w:szCs w:val="22"/>
        </w:rPr>
        <w:t xml:space="preserve"> The Council </w:t>
      </w:r>
      <w:r w:rsidR="000827BD" w:rsidRPr="00A21221">
        <w:rPr>
          <w:sz w:val="22"/>
          <w:szCs w:val="22"/>
        </w:rPr>
        <w:t xml:space="preserve">continued </w:t>
      </w:r>
      <w:r w:rsidR="00660131" w:rsidRPr="00A21221">
        <w:rPr>
          <w:sz w:val="22"/>
          <w:szCs w:val="22"/>
        </w:rPr>
        <w:t xml:space="preserve">to implement </w:t>
      </w:r>
      <w:r w:rsidR="002A5A3B" w:rsidRPr="00A21221">
        <w:rPr>
          <w:sz w:val="22"/>
          <w:szCs w:val="22"/>
        </w:rPr>
        <w:t xml:space="preserve">and monitor the achievement of ambitions </w:t>
      </w:r>
      <w:r w:rsidR="0023487E" w:rsidRPr="00A21221">
        <w:rPr>
          <w:sz w:val="22"/>
          <w:szCs w:val="22"/>
        </w:rPr>
        <w:t xml:space="preserve">across the Council </w:t>
      </w:r>
      <w:r w:rsidR="002A5A3B" w:rsidRPr="00A21221">
        <w:rPr>
          <w:sz w:val="22"/>
          <w:szCs w:val="22"/>
        </w:rPr>
        <w:t xml:space="preserve">to support the </w:t>
      </w:r>
      <w:r w:rsidR="00AF0424">
        <w:rPr>
          <w:sz w:val="22"/>
          <w:szCs w:val="22"/>
        </w:rPr>
        <w:t>‘Our Council Plan’.</w:t>
      </w:r>
      <w:r w:rsidR="00997DA9" w:rsidRPr="00A21221">
        <w:rPr>
          <w:sz w:val="22"/>
          <w:szCs w:val="22"/>
        </w:rPr>
        <w:t xml:space="preserve"> </w:t>
      </w:r>
    </w:p>
    <w:p w14:paraId="5C8C461B" w14:textId="539B3FBB" w:rsidR="00290DEB" w:rsidRPr="00A21221" w:rsidRDefault="00290DEB" w:rsidP="00343D87">
      <w:pPr>
        <w:jc w:val="both"/>
        <w:rPr>
          <w:sz w:val="22"/>
          <w:szCs w:val="22"/>
        </w:rPr>
      </w:pPr>
    </w:p>
    <w:p w14:paraId="05E8CF70" w14:textId="5D4D8AFD" w:rsidR="00E56835" w:rsidRPr="00FB549A" w:rsidRDefault="00E56835" w:rsidP="00343D87">
      <w:pPr>
        <w:jc w:val="both"/>
        <w:rPr>
          <w:sz w:val="22"/>
          <w:szCs w:val="22"/>
        </w:rPr>
      </w:pPr>
      <w:r w:rsidRPr="00A21221">
        <w:rPr>
          <w:sz w:val="22"/>
          <w:szCs w:val="22"/>
        </w:rPr>
        <w:t xml:space="preserve">The Council’s Medium-Term Financial Strategy (MTFS) </w:t>
      </w:r>
      <w:r w:rsidR="002A5A3B" w:rsidRPr="00A21221">
        <w:rPr>
          <w:sz w:val="22"/>
          <w:szCs w:val="22"/>
        </w:rPr>
        <w:t>r</w:t>
      </w:r>
      <w:r w:rsidRPr="00A21221">
        <w:rPr>
          <w:sz w:val="22"/>
          <w:szCs w:val="22"/>
        </w:rPr>
        <w:t>emained in place</w:t>
      </w:r>
      <w:r w:rsidR="002A5A3B" w:rsidRPr="00A21221">
        <w:rPr>
          <w:sz w:val="22"/>
          <w:szCs w:val="22"/>
        </w:rPr>
        <w:t xml:space="preserve"> and was </w:t>
      </w:r>
      <w:r w:rsidRPr="00A21221">
        <w:rPr>
          <w:sz w:val="22"/>
          <w:szCs w:val="22"/>
        </w:rPr>
        <w:t xml:space="preserve">keep under regular review </w:t>
      </w:r>
      <w:r w:rsidR="002A5A3B" w:rsidRPr="00A21221">
        <w:rPr>
          <w:sz w:val="22"/>
          <w:szCs w:val="22"/>
        </w:rPr>
        <w:t xml:space="preserve">to monitor </w:t>
      </w:r>
      <w:r w:rsidRPr="00A21221">
        <w:rPr>
          <w:sz w:val="22"/>
          <w:szCs w:val="22"/>
        </w:rPr>
        <w:t xml:space="preserve">the financial impact of </w:t>
      </w:r>
      <w:r w:rsidR="0023487E" w:rsidRPr="00A21221">
        <w:rPr>
          <w:sz w:val="22"/>
          <w:szCs w:val="22"/>
        </w:rPr>
        <w:t xml:space="preserve">significant </w:t>
      </w:r>
      <w:r w:rsidR="000827BD" w:rsidRPr="00A21221">
        <w:rPr>
          <w:sz w:val="22"/>
          <w:szCs w:val="22"/>
        </w:rPr>
        <w:t xml:space="preserve">budget </w:t>
      </w:r>
      <w:r w:rsidR="0023487E" w:rsidRPr="00A21221">
        <w:rPr>
          <w:sz w:val="22"/>
          <w:szCs w:val="22"/>
        </w:rPr>
        <w:t xml:space="preserve">pressures </w:t>
      </w:r>
      <w:r w:rsidRPr="00A21221">
        <w:rPr>
          <w:sz w:val="22"/>
          <w:szCs w:val="22"/>
        </w:rPr>
        <w:t>for the Council.</w:t>
      </w:r>
      <w:r w:rsidR="006B4DDE" w:rsidRPr="00A21221">
        <w:rPr>
          <w:sz w:val="22"/>
          <w:szCs w:val="22"/>
        </w:rPr>
        <w:t xml:space="preserve"> The Council received a</w:t>
      </w:r>
      <w:r w:rsidR="00AF0424">
        <w:rPr>
          <w:sz w:val="22"/>
          <w:szCs w:val="22"/>
        </w:rPr>
        <w:t>n</w:t>
      </w:r>
      <w:r w:rsidR="006B4DDE" w:rsidRPr="00A21221">
        <w:rPr>
          <w:sz w:val="22"/>
          <w:szCs w:val="22"/>
        </w:rPr>
        <w:t xml:space="preserve"> </w:t>
      </w:r>
      <w:r w:rsidR="00AF0424">
        <w:rPr>
          <w:sz w:val="22"/>
          <w:szCs w:val="22"/>
        </w:rPr>
        <w:t xml:space="preserve">unqualified </w:t>
      </w:r>
      <w:r w:rsidR="006B4DDE" w:rsidRPr="00A21221">
        <w:rPr>
          <w:sz w:val="22"/>
          <w:szCs w:val="22"/>
        </w:rPr>
        <w:t xml:space="preserve">external audit opinion </w:t>
      </w:r>
      <w:r w:rsidR="00AF0424">
        <w:rPr>
          <w:sz w:val="22"/>
          <w:szCs w:val="22"/>
        </w:rPr>
        <w:t xml:space="preserve">for the </w:t>
      </w:r>
      <w:r w:rsidR="006B4DDE" w:rsidRPr="00A21221">
        <w:rPr>
          <w:sz w:val="22"/>
          <w:szCs w:val="22"/>
        </w:rPr>
        <w:t>202</w:t>
      </w:r>
      <w:r w:rsidR="00AF0424">
        <w:rPr>
          <w:sz w:val="22"/>
          <w:szCs w:val="22"/>
        </w:rPr>
        <w:t>4/25</w:t>
      </w:r>
      <w:r w:rsidR="006B4DDE" w:rsidRPr="00A21221">
        <w:rPr>
          <w:sz w:val="22"/>
          <w:szCs w:val="22"/>
        </w:rPr>
        <w:t xml:space="preserve"> audit.  The Council </w:t>
      </w:r>
      <w:r w:rsidR="00AF0424">
        <w:rPr>
          <w:sz w:val="22"/>
          <w:szCs w:val="22"/>
        </w:rPr>
        <w:t>remains</w:t>
      </w:r>
      <w:r w:rsidR="006B4DDE" w:rsidRPr="00A21221">
        <w:rPr>
          <w:sz w:val="22"/>
          <w:szCs w:val="22"/>
        </w:rPr>
        <w:t xml:space="preserve"> one of few who have not experienced </w:t>
      </w:r>
      <w:r w:rsidR="00AF0424" w:rsidRPr="00FB549A">
        <w:rPr>
          <w:sz w:val="22"/>
          <w:szCs w:val="22"/>
        </w:rPr>
        <w:t>significant i</w:t>
      </w:r>
      <w:r w:rsidR="006B4DDE" w:rsidRPr="00FB549A">
        <w:rPr>
          <w:sz w:val="22"/>
          <w:szCs w:val="22"/>
        </w:rPr>
        <w:t>ssues relating to the external audit.</w:t>
      </w:r>
    </w:p>
    <w:p w14:paraId="491A8D77" w14:textId="44318D54" w:rsidR="00A05E4F" w:rsidRPr="00FB549A" w:rsidRDefault="00A05E4F" w:rsidP="00343D87">
      <w:pPr>
        <w:jc w:val="both"/>
      </w:pPr>
    </w:p>
    <w:p w14:paraId="3E58D4BC" w14:textId="64722F44" w:rsidR="007032A0" w:rsidRPr="00FB549A" w:rsidRDefault="007032A0" w:rsidP="00343D87">
      <w:pPr>
        <w:jc w:val="both"/>
        <w:rPr>
          <w:b/>
          <w:bCs/>
          <w:sz w:val="28"/>
          <w:szCs w:val="28"/>
        </w:rPr>
      </w:pPr>
      <w:r w:rsidRPr="00FB549A">
        <w:rPr>
          <w:b/>
          <w:bCs/>
          <w:sz w:val="28"/>
          <w:szCs w:val="28"/>
        </w:rPr>
        <w:t>Improvements &amp; developments during 202</w:t>
      </w:r>
      <w:r w:rsidR="00AF0424" w:rsidRPr="00FB549A">
        <w:rPr>
          <w:b/>
          <w:bCs/>
          <w:sz w:val="28"/>
          <w:szCs w:val="28"/>
        </w:rPr>
        <w:t>5/26</w:t>
      </w:r>
    </w:p>
    <w:p w14:paraId="06C9FA98" w14:textId="77777777" w:rsidR="00A61C75" w:rsidRPr="00FB549A" w:rsidRDefault="00A61C75" w:rsidP="00A61C75">
      <w:pPr>
        <w:jc w:val="both"/>
        <w:rPr>
          <w:color w:val="000000" w:themeColor="text1"/>
          <w:sz w:val="22"/>
          <w:szCs w:val="22"/>
        </w:rPr>
      </w:pPr>
      <w:r w:rsidRPr="00FB549A">
        <w:rPr>
          <w:color w:val="000000" w:themeColor="text1"/>
          <w:sz w:val="22"/>
          <w:szCs w:val="22"/>
        </w:rPr>
        <w:t xml:space="preserve">The Council adopted a new Council Plan at its meeting in November 2025. This sets out the authority’s vision, target outcomes and long-term plans for delivering sustainable outcomes. The outcomes to be prioritised and areas of focus for delivery identified within the plan were developed drawing from data, insights and intelligence, including joint strategic needs assessments. </w:t>
      </w:r>
    </w:p>
    <w:p w14:paraId="0D9F4428" w14:textId="77777777" w:rsidR="00A61C75" w:rsidRPr="00FB549A" w:rsidRDefault="00A61C75" w:rsidP="00A61C75">
      <w:pPr>
        <w:jc w:val="both"/>
        <w:rPr>
          <w:color w:val="000000" w:themeColor="text1"/>
          <w:sz w:val="22"/>
          <w:szCs w:val="22"/>
        </w:rPr>
      </w:pPr>
    </w:p>
    <w:p w14:paraId="32066915" w14:textId="77777777" w:rsidR="00A61C75" w:rsidRPr="00FB549A" w:rsidRDefault="00A61C75" w:rsidP="00A61C75">
      <w:pPr>
        <w:jc w:val="both"/>
        <w:rPr>
          <w:color w:val="000000" w:themeColor="text1"/>
          <w:sz w:val="22"/>
          <w:szCs w:val="22"/>
        </w:rPr>
      </w:pPr>
      <w:r w:rsidRPr="00FB549A">
        <w:rPr>
          <w:color w:val="000000" w:themeColor="text1"/>
          <w:sz w:val="22"/>
          <w:szCs w:val="22"/>
        </w:rPr>
        <w:t>Decision reports that are prepared to drive forwards the ambitions within the plan include consideration of the implications for residents, with the aim of ensuring fair access to services.</w:t>
      </w:r>
    </w:p>
    <w:p w14:paraId="3AFA0719" w14:textId="77777777" w:rsidR="00A61C75" w:rsidRPr="00FB549A" w:rsidRDefault="00A61C75" w:rsidP="00A61C75">
      <w:pPr>
        <w:jc w:val="both"/>
        <w:rPr>
          <w:color w:val="000000" w:themeColor="text1"/>
          <w:sz w:val="22"/>
          <w:szCs w:val="22"/>
        </w:rPr>
      </w:pPr>
    </w:p>
    <w:p w14:paraId="24EF13F7" w14:textId="77777777" w:rsidR="00A61C75" w:rsidRPr="00FB549A" w:rsidRDefault="00A61C75" w:rsidP="00A61C75">
      <w:pPr>
        <w:jc w:val="both"/>
        <w:rPr>
          <w:color w:val="000000" w:themeColor="text1"/>
          <w:sz w:val="22"/>
          <w:szCs w:val="22"/>
        </w:rPr>
      </w:pPr>
      <w:r w:rsidRPr="00FB549A">
        <w:rPr>
          <w:color w:val="000000" w:themeColor="text1"/>
          <w:sz w:val="22"/>
          <w:szCs w:val="22"/>
        </w:rPr>
        <w:t xml:space="preserve">As part of the Council’s work to prepare for Local Government Reorganisation, a significant amount of analysis was undertaken to shape the proposal submitted to Government, ensuring it was grounded in an ambition to improve outcomes for residents, whilst also establishing a vision for how future unitary councils can best operate in order to meet needs fairly and achieve best value. </w:t>
      </w:r>
    </w:p>
    <w:p w14:paraId="6E6B7F32" w14:textId="694A2D25" w:rsidR="00806C65" w:rsidRPr="00FB549A" w:rsidRDefault="00806C65" w:rsidP="00343D87">
      <w:pPr>
        <w:jc w:val="both"/>
        <w:rPr>
          <w:color w:val="FF0000"/>
          <w:sz w:val="22"/>
          <w:szCs w:val="22"/>
        </w:rPr>
      </w:pPr>
      <w:r w:rsidRPr="00FB549A">
        <w:rPr>
          <w:color w:val="FF0000"/>
          <w:sz w:val="22"/>
          <w:szCs w:val="22"/>
        </w:rPr>
        <w:t xml:space="preserve"> </w:t>
      </w:r>
    </w:p>
    <w:p w14:paraId="2CFB8BA3" w14:textId="77777777" w:rsidR="00806C65" w:rsidRPr="00FB549A" w:rsidRDefault="00806C65" w:rsidP="00343D87">
      <w:pPr>
        <w:jc w:val="both"/>
        <w:rPr>
          <w:color w:val="FF0000"/>
          <w:sz w:val="22"/>
          <w:szCs w:val="22"/>
        </w:rPr>
      </w:pPr>
    </w:p>
    <w:p w14:paraId="59166FB6" w14:textId="77777777" w:rsidR="005776F7" w:rsidRPr="00FB549A" w:rsidRDefault="005776F7" w:rsidP="00343D87">
      <w:pPr>
        <w:jc w:val="both"/>
        <w:rPr>
          <w:b/>
          <w:bCs/>
          <w:sz w:val="28"/>
          <w:szCs w:val="28"/>
        </w:rPr>
      </w:pPr>
      <w:r w:rsidRPr="00FB549A">
        <w:rPr>
          <w:b/>
          <w:bCs/>
          <w:sz w:val="28"/>
          <w:szCs w:val="28"/>
        </w:rPr>
        <w:t>Gaps and challenges</w:t>
      </w:r>
    </w:p>
    <w:p w14:paraId="77A8A050" w14:textId="77777777" w:rsidR="00A61C75" w:rsidRPr="00FB549A" w:rsidRDefault="00A61C75" w:rsidP="00A61C75">
      <w:pPr>
        <w:jc w:val="both"/>
        <w:rPr>
          <w:color w:val="000000" w:themeColor="text1"/>
          <w:sz w:val="22"/>
          <w:szCs w:val="22"/>
        </w:rPr>
      </w:pPr>
      <w:r w:rsidRPr="00FB549A">
        <w:rPr>
          <w:color w:val="000000" w:themeColor="text1"/>
          <w:sz w:val="22"/>
          <w:szCs w:val="22"/>
        </w:rPr>
        <w:t>The corporate peer review undertaken in November 2025 identified opportunities to strengthen the following areas:</w:t>
      </w:r>
    </w:p>
    <w:p w14:paraId="1B1B1793" w14:textId="77777777" w:rsidR="00A61C75" w:rsidRPr="00FB549A" w:rsidRDefault="00A61C75" w:rsidP="00A61C75">
      <w:pPr>
        <w:pStyle w:val="ListParagraph"/>
        <w:numPr>
          <w:ilvl w:val="0"/>
          <w:numId w:val="32"/>
        </w:numPr>
        <w:jc w:val="both"/>
        <w:rPr>
          <w:color w:val="000000" w:themeColor="text1"/>
          <w:sz w:val="22"/>
          <w:szCs w:val="22"/>
        </w:rPr>
      </w:pPr>
      <w:r w:rsidRPr="00FB549A">
        <w:rPr>
          <w:color w:val="000000" w:themeColor="text1"/>
          <w:sz w:val="22"/>
          <w:szCs w:val="22"/>
        </w:rPr>
        <w:t xml:space="preserve">application of equality impact assessments, </w:t>
      </w:r>
    </w:p>
    <w:p w14:paraId="79641547" w14:textId="77777777" w:rsidR="00A61C75" w:rsidRPr="00FB549A" w:rsidRDefault="00A61C75" w:rsidP="00A61C75">
      <w:pPr>
        <w:pStyle w:val="ListParagraph"/>
        <w:numPr>
          <w:ilvl w:val="0"/>
          <w:numId w:val="32"/>
        </w:numPr>
        <w:jc w:val="both"/>
        <w:rPr>
          <w:color w:val="000000" w:themeColor="text1"/>
          <w:sz w:val="22"/>
          <w:szCs w:val="22"/>
        </w:rPr>
      </w:pPr>
      <w:r w:rsidRPr="00FB549A">
        <w:rPr>
          <w:color w:val="000000" w:themeColor="text1"/>
          <w:sz w:val="22"/>
          <w:szCs w:val="22"/>
        </w:rPr>
        <w:t>maximising the analysis of the substantial data resources the Council holds, to provide more actionable insights to enable better decisions to deliver improved outcomes for residents.</w:t>
      </w:r>
    </w:p>
    <w:p w14:paraId="5AE4BEE3" w14:textId="77777777" w:rsidR="005776F7" w:rsidRPr="00FB549A" w:rsidRDefault="005776F7" w:rsidP="00343D87">
      <w:pPr>
        <w:jc w:val="both"/>
        <w:rPr>
          <w:sz w:val="22"/>
          <w:szCs w:val="22"/>
        </w:rPr>
      </w:pPr>
    </w:p>
    <w:p w14:paraId="7E17451E" w14:textId="77777777" w:rsidR="005776F7" w:rsidRPr="00FB549A" w:rsidRDefault="005776F7" w:rsidP="00343D87">
      <w:pPr>
        <w:jc w:val="both"/>
        <w:rPr>
          <w:sz w:val="22"/>
          <w:szCs w:val="22"/>
        </w:rPr>
      </w:pPr>
    </w:p>
    <w:p w14:paraId="5DC394AB" w14:textId="6539BC67" w:rsidR="005776F7" w:rsidRPr="00FB549A" w:rsidRDefault="000030F1" w:rsidP="00343D87">
      <w:pPr>
        <w:jc w:val="both"/>
        <w:rPr>
          <w:b/>
          <w:bCs/>
          <w:sz w:val="28"/>
          <w:szCs w:val="28"/>
        </w:rPr>
      </w:pPr>
      <w:r w:rsidRPr="00FB549A">
        <w:rPr>
          <w:b/>
          <w:bCs/>
          <w:sz w:val="28"/>
          <w:szCs w:val="28"/>
        </w:rPr>
        <w:t xml:space="preserve">Current Key </w:t>
      </w:r>
      <w:r w:rsidR="005776F7" w:rsidRPr="00FB549A">
        <w:rPr>
          <w:b/>
          <w:bCs/>
          <w:sz w:val="28"/>
          <w:szCs w:val="28"/>
        </w:rPr>
        <w:t>Focus for 202</w:t>
      </w:r>
      <w:r w:rsidR="00AF0424" w:rsidRPr="00FB549A">
        <w:rPr>
          <w:b/>
          <w:bCs/>
          <w:sz w:val="28"/>
          <w:szCs w:val="28"/>
        </w:rPr>
        <w:t>6/27</w:t>
      </w:r>
    </w:p>
    <w:p w14:paraId="229B6339" w14:textId="77777777" w:rsidR="00A61C75" w:rsidRPr="00FB549A" w:rsidRDefault="00A61C75" w:rsidP="00A61C75">
      <w:pPr>
        <w:jc w:val="both"/>
        <w:rPr>
          <w:color w:val="000000" w:themeColor="text1"/>
          <w:sz w:val="22"/>
          <w:szCs w:val="22"/>
        </w:rPr>
      </w:pPr>
      <w:r w:rsidRPr="00FB549A">
        <w:rPr>
          <w:color w:val="000000" w:themeColor="text1"/>
          <w:sz w:val="22"/>
          <w:szCs w:val="22"/>
        </w:rPr>
        <w:t xml:space="preserve">The Council is exploring options to bring together analytical and insight capabilities across the organisation, to develop performance, insight and change functions to build capacity, create organisational consistency and strengthen the intelligence available to inform strategic commissioning as well as operational decision-making and performance management. </w:t>
      </w:r>
    </w:p>
    <w:p w14:paraId="3E3A4511" w14:textId="77777777" w:rsidR="00A61C75" w:rsidRPr="00FB549A" w:rsidRDefault="00A61C75" w:rsidP="00A61C75">
      <w:pPr>
        <w:jc w:val="both"/>
        <w:rPr>
          <w:color w:val="000000" w:themeColor="text1"/>
          <w:sz w:val="22"/>
          <w:szCs w:val="22"/>
        </w:rPr>
      </w:pPr>
    </w:p>
    <w:p w14:paraId="5C788254" w14:textId="77777777" w:rsidR="00A61C75" w:rsidRPr="00FB549A" w:rsidRDefault="00A61C75" w:rsidP="00A61C75">
      <w:pPr>
        <w:jc w:val="both"/>
        <w:rPr>
          <w:color w:val="000000" w:themeColor="text1"/>
          <w:sz w:val="22"/>
          <w:szCs w:val="22"/>
        </w:rPr>
      </w:pPr>
      <w:proofErr w:type="gramStart"/>
      <w:r w:rsidRPr="00FB549A">
        <w:rPr>
          <w:color w:val="000000" w:themeColor="text1"/>
          <w:sz w:val="22"/>
          <w:szCs w:val="22"/>
        </w:rPr>
        <w:t>In order to</w:t>
      </w:r>
      <w:proofErr w:type="gramEnd"/>
      <w:r w:rsidRPr="00FB549A">
        <w:rPr>
          <w:color w:val="000000" w:themeColor="text1"/>
          <w:sz w:val="22"/>
          <w:szCs w:val="22"/>
        </w:rPr>
        <w:t xml:space="preserve"> further strengthen the council’s strategic approach to commissioning, a cross-authority commissioning board will be established in 2026/27, with the aim of strengthening visibility, alignment and collaboration across commissioning activity to improve outcomes for residents, maximise social value, support market sustainability and make best use of public resources.</w:t>
      </w:r>
    </w:p>
    <w:p w14:paraId="162CB29A" w14:textId="77777777" w:rsidR="00A61C75" w:rsidRPr="00FB549A" w:rsidRDefault="00A61C75" w:rsidP="00A61C75">
      <w:pPr>
        <w:jc w:val="both"/>
        <w:rPr>
          <w:color w:val="000000" w:themeColor="text1"/>
          <w:sz w:val="22"/>
          <w:szCs w:val="22"/>
        </w:rPr>
      </w:pPr>
    </w:p>
    <w:p w14:paraId="4BCC6881" w14:textId="31445A2F" w:rsidR="00A61C75" w:rsidRPr="00C40412" w:rsidRDefault="00A61C75" w:rsidP="00A61C75">
      <w:pPr>
        <w:jc w:val="both"/>
        <w:rPr>
          <w:color w:val="000000" w:themeColor="text1"/>
          <w:sz w:val="22"/>
          <w:szCs w:val="22"/>
        </w:rPr>
      </w:pPr>
      <w:r w:rsidRPr="00FB549A">
        <w:rPr>
          <w:color w:val="000000" w:themeColor="text1"/>
          <w:sz w:val="22"/>
          <w:szCs w:val="22"/>
        </w:rPr>
        <w:t>Improving the application of equality impact assessments</w:t>
      </w:r>
      <w:r w:rsidR="00421E65">
        <w:rPr>
          <w:color w:val="000000" w:themeColor="text1"/>
          <w:sz w:val="22"/>
          <w:szCs w:val="22"/>
        </w:rPr>
        <w:t xml:space="preserve"> is a further area of priority, with a technical solution being explored to enable better tracking and quality assurance of assessments being undertaken and to ensure routine publication</w:t>
      </w:r>
      <w:r w:rsidRPr="00FB549A">
        <w:rPr>
          <w:color w:val="000000" w:themeColor="text1"/>
          <w:sz w:val="22"/>
          <w:szCs w:val="22"/>
        </w:rPr>
        <w:t>.</w:t>
      </w:r>
      <w:r>
        <w:rPr>
          <w:color w:val="000000" w:themeColor="text1"/>
          <w:sz w:val="22"/>
          <w:szCs w:val="22"/>
        </w:rPr>
        <w:t xml:space="preserve"> </w:t>
      </w:r>
    </w:p>
    <w:p w14:paraId="73643E98" w14:textId="470D864D" w:rsidR="007032A0" w:rsidRPr="00A21221" w:rsidRDefault="007032A0" w:rsidP="00343D87">
      <w:pPr>
        <w:jc w:val="both"/>
        <w:rPr>
          <w:sz w:val="22"/>
          <w:szCs w:val="22"/>
        </w:rPr>
      </w:pPr>
    </w:p>
    <w:p w14:paraId="67C244E1" w14:textId="77777777" w:rsidR="007032A0" w:rsidRPr="007032A0" w:rsidRDefault="007032A0" w:rsidP="007032A0">
      <w:pPr>
        <w:rPr>
          <w:sz w:val="22"/>
          <w:szCs w:val="22"/>
        </w:rPr>
      </w:pPr>
    </w:p>
    <w:p w14:paraId="22D948BA" w14:textId="6473CC79" w:rsidR="007032A0" w:rsidRDefault="007032A0" w:rsidP="007032A0">
      <w:pPr>
        <w:rPr>
          <w:sz w:val="22"/>
          <w:szCs w:val="22"/>
        </w:rPr>
      </w:pPr>
    </w:p>
    <w:tbl>
      <w:tblPr>
        <w:tblStyle w:val="TableGrid"/>
        <w:tblpPr w:leftFromText="180" w:rightFromText="180" w:vertAnchor="text" w:horzAnchor="margin" w:tblpY="-316"/>
        <w:tblW w:w="14029" w:type="dxa"/>
        <w:tblLook w:val="04A0" w:firstRow="1" w:lastRow="0" w:firstColumn="1" w:lastColumn="0" w:noHBand="0" w:noVBand="1"/>
      </w:tblPr>
      <w:tblGrid>
        <w:gridCol w:w="14029"/>
      </w:tblGrid>
      <w:tr w:rsidR="002234EB" w14:paraId="2D4EC903" w14:textId="77777777" w:rsidTr="002234EB">
        <w:tc>
          <w:tcPr>
            <w:tcW w:w="14029" w:type="dxa"/>
            <w:shd w:val="clear" w:color="auto" w:fill="B4C6E7" w:themeFill="accent1" w:themeFillTint="66"/>
          </w:tcPr>
          <w:p w14:paraId="0B6D6608" w14:textId="4CD08C17" w:rsidR="002234EB" w:rsidRDefault="002234EB" w:rsidP="002234EB">
            <w:pPr>
              <w:pStyle w:val="Header"/>
              <w:rPr>
                <w:rFonts w:cs="Arial"/>
                <w:b/>
                <w:color w:val="000000"/>
                <w:sz w:val="28"/>
                <w:szCs w:val="28"/>
              </w:rPr>
            </w:pPr>
            <w:r w:rsidRPr="006172FC">
              <w:rPr>
                <w:rFonts w:cs="Arial"/>
                <w:b/>
                <w:color w:val="000000"/>
                <w:sz w:val="28"/>
                <w:szCs w:val="28"/>
              </w:rPr>
              <w:lastRenderedPageBreak/>
              <w:t xml:space="preserve">D. Determining the interventions necessary to optimise the achievement of the intended </w:t>
            </w:r>
            <w:r w:rsidR="00B35D80" w:rsidRPr="006172FC">
              <w:rPr>
                <w:rFonts w:cs="Arial"/>
                <w:b/>
                <w:color w:val="000000"/>
                <w:sz w:val="28"/>
                <w:szCs w:val="28"/>
              </w:rPr>
              <w:t>outcomes.</w:t>
            </w:r>
          </w:p>
          <w:p w14:paraId="7EF002B1" w14:textId="77777777" w:rsidR="002234EB" w:rsidRDefault="002234EB" w:rsidP="002234EB">
            <w:pPr>
              <w:pStyle w:val="Header"/>
              <w:rPr>
                <w:b/>
                <w:szCs w:val="24"/>
              </w:rPr>
            </w:pPr>
          </w:p>
          <w:p w14:paraId="58A42C92" w14:textId="77777777" w:rsidR="002234EB" w:rsidRPr="006172FC" w:rsidRDefault="002234EB" w:rsidP="002234EB">
            <w:pPr>
              <w:pStyle w:val="Header"/>
            </w:pPr>
            <w:r>
              <w:rPr>
                <w:b/>
                <w:szCs w:val="24"/>
              </w:rPr>
              <w:t xml:space="preserve">                                            </w:t>
            </w:r>
            <w:r w:rsidRPr="003E6D4C">
              <w:rPr>
                <w:b/>
                <w:szCs w:val="24"/>
              </w:rPr>
              <w:t xml:space="preserve">Assessed assurance level for compliance with the Code of Corporate Governance: </w:t>
            </w:r>
            <w:r w:rsidRPr="001F7911">
              <w:rPr>
                <w:b/>
                <w:szCs w:val="24"/>
                <w:shd w:val="clear" w:color="auto" w:fill="92D050"/>
              </w:rPr>
              <w:t>Substantial</w:t>
            </w:r>
          </w:p>
        </w:tc>
      </w:tr>
    </w:tbl>
    <w:p w14:paraId="7E194CEA" w14:textId="6A727512" w:rsidR="00937AF0" w:rsidRPr="00A21221" w:rsidRDefault="00937AF0" w:rsidP="00343D87">
      <w:pPr>
        <w:jc w:val="both"/>
        <w:rPr>
          <w:b/>
          <w:bCs/>
          <w:sz w:val="28"/>
          <w:szCs w:val="28"/>
        </w:rPr>
      </w:pPr>
      <w:r w:rsidRPr="00A21221">
        <w:rPr>
          <w:b/>
          <w:bCs/>
          <w:sz w:val="28"/>
          <w:szCs w:val="28"/>
        </w:rPr>
        <w:t>Compliance with the Local Code</w:t>
      </w:r>
      <w:r w:rsidR="000030F1">
        <w:rPr>
          <w:b/>
          <w:bCs/>
          <w:sz w:val="28"/>
          <w:szCs w:val="28"/>
        </w:rPr>
        <w:t xml:space="preserve"> during 202</w:t>
      </w:r>
      <w:r w:rsidR="00993A18">
        <w:rPr>
          <w:b/>
          <w:bCs/>
          <w:sz w:val="28"/>
          <w:szCs w:val="28"/>
        </w:rPr>
        <w:t>5/26</w:t>
      </w:r>
    </w:p>
    <w:p w14:paraId="12F5409D" w14:textId="4FF6AB43" w:rsidR="0005433A" w:rsidRPr="00A21221" w:rsidRDefault="00660131" w:rsidP="00343D87">
      <w:pPr>
        <w:jc w:val="both"/>
        <w:rPr>
          <w:sz w:val="22"/>
          <w:szCs w:val="22"/>
        </w:rPr>
      </w:pPr>
      <w:r w:rsidRPr="00A21221">
        <w:rPr>
          <w:sz w:val="22"/>
          <w:szCs w:val="22"/>
        </w:rPr>
        <w:t>K</w:t>
      </w:r>
      <w:r w:rsidR="009A4A76" w:rsidRPr="00A21221">
        <w:rPr>
          <w:sz w:val="22"/>
          <w:szCs w:val="22"/>
        </w:rPr>
        <w:t xml:space="preserve">ey aspects </w:t>
      </w:r>
      <w:r w:rsidR="0005433A" w:rsidRPr="00A21221">
        <w:rPr>
          <w:sz w:val="22"/>
          <w:szCs w:val="22"/>
        </w:rPr>
        <w:t xml:space="preserve">of the Local Code remained in place </w:t>
      </w:r>
      <w:r w:rsidR="00FD77A4">
        <w:rPr>
          <w:sz w:val="22"/>
          <w:szCs w:val="22"/>
        </w:rPr>
        <w:t>during 202</w:t>
      </w:r>
      <w:r w:rsidR="00993A18">
        <w:rPr>
          <w:sz w:val="22"/>
          <w:szCs w:val="22"/>
        </w:rPr>
        <w:t>5/26</w:t>
      </w:r>
      <w:r w:rsidR="00FD77A4">
        <w:rPr>
          <w:sz w:val="22"/>
          <w:szCs w:val="22"/>
        </w:rPr>
        <w:t xml:space="preserve"> </w:t>
      </w:r>
      <w:r w:rsidR="0005433A" w:rsidRPr="00A21221">
        <w:rPr>
          <w:sz w:val="22"/>
          <w:szCs w:val="22"/>
        </w:rPr>
        <w:t xml:space="preserve">and stood up well to the </w:t>
      </w:r>
      <w:r w:rsidR="009A4A76" w:rsidRPr="00A21221">
        <w:rPr>
          <w:sz w:val="22"/>
          <w:szCs w:val="22"/>
        </w:rPr>
        <w:t xml:space="preserve">continuing </w:t>
      </w:r>
      <w:r w:rsidRPr="00A21221">
        <w:rPr>
          <w:sz w:val="22"/>
          <w:szCs w:val="22"/>
        </w:rPr>
        <w:t xml:space="preserve">financial </w:t>
      </w:r>
      <w:r w:rsidR="009A4A76" w:rsidRPr="00A21221">
        <w:rPr>
          <w:sz w:val="22"/>
          <w:szCs w:val="22"/>
        </w:rPr>
        <w:t>challenge</w:t>
      </w:r>
      <w:r w:rsidRPr="00A21221">
        <w:rPr>
          <w:sz w:val="22"/>
          <w:szCs w:val="22"/>
        </w:rPr>
        <w:t>s</w:t>
      </w:r>
      <w:r w:rsidR="0005433A" w:rsidRPr="00A21221">
        <w:rPr>
          <w:sz w:val="22"/>
          <w:szCs w:val="22"/>
        </w:rPr>
        <w:t>:</w:t>
      </w:r>
    </w:p>
    <w:p w14:paraId="507F75F3" w14:textId="01EA1467" w:rsidR="009E6E7C" w:rsidRPr="00A21221" w:rsidRDefault="009E6E7C" w:rsidP="00343D87">
      <w:pPr>
        <w:pStyle w:val="ListParagraph"/>
        <w:numPr>
          <w:ilvl w:val="0"/>
          <w:numId w:val="6"/>
        </w:numPr>
        <w:ind w:left="426"/>
        <w:jc w:val="both"/>
        <w:rPr>
          <w:sz w:val="22"/>
          <w:szCs w:val="22"/>
        </w:rPr>
      </w:pPr>
      <w:r w:rsidRPr="00A21221">
        <w:rPr>
          <w:sz w:val="22"/>
          <w:szCs w:val="22"/>
        </w:rPr>
        <w:t xml:space="preserve">The financial challenge </w:t>
      </w:r>
      <w:r w:rsidR="003A7225" w:rsidRPr="00A21221">
        <w:rPr>
          <w:sz w:val="22"/>
          <w:szCs w:val="22"/>
        </w:rPr>
        <w:t>was</w:t>
      </w:r>
      <w:r w:rsidRPr="00A21221">
        <w:rPr>
          <w:sz w:val="22"/>
          <w:szCs w:val="22"/>
        </w:rPr>
        <w:t xml:space="preserve"> constantly assessed and regularly reported, alongside consideration of </w:t>
      </w:r>
      <w:r w:rsidR="009A4A76" w:rsidRPr="00A21221">
        <w:rPr>
          <w:sz w:val="22"/>
          <w:szCs w:val="22"/>
        </w:rPr>
        <w:t>their</w:t>
      </w:r>
      <w:r w:rsidRPr="00A21221">
        <w:rPr>
          <w:sz w:val="22"/>
          <w:szCs w:val="22"/>
        </w:rPr>
        <w:t xml:space="preserve"> impact on the Medium-Term Financial Strategy</w:t>
      </w:r>
      <w:r w:rsidR="00D75F4E">
        <w:rPr>
          <w:sz w:val="22"/>
          <w:szCs w:val="22"/>
        </w:rPr>
        <w:t xml:space="preserve"> (MTFS)</w:t>
      </w:r>
      <w:r w:rsidR="00B35D80">
        <w:rPr>
          <w:sz w:val="22"/>
          <w:szCs w:val="22"/>
        </w:rPr>
        <w:t>.</w:t>
      </w:r>
    </w:p>
    <w:p w14:paraId="58748C66" w14:textId="209772A4" w:rsidR="009A4A76" w:rsidRPr="00A21221" w:rsidRDefault="009E6E7C" w:rsidP="00343D87">
      <w:pPr>
        <w:pStyle w:val="ListParagraph"/>
        <w:numPr>
          <w:ilvl w:val="0"/>
          <w:numId w:val="6"/>
        </w:numPr>
        <w:ind w:left="426"/>
        <w:jc w:val="both"/>
        <w:rPr>
          <w:sz w:val="22"/>
          <w:szCs w:val="22"/>
        </w:rPr>
      </w:pPr>
      <w:r w:rsidRPr="00A21221">
        <w:rPr>
          <w:sz w:val="22"/>
          <w:szCs w:val="22"/>
        </w:rPr>
        <w:t xml:space="preserve">The Council’s business continuity plans for critical services </w:t>
      </w:r>
      <w:r w:rsidR="009A4A76" w:rsidRPr="00A21221">
        <w:rPr>
          <w:sz w:val="22"/>
          <w:szCs w:val="22"/>
        </w:rPr>
        <w:t xml:space="preserve">continued to be </w:t>
      </w:r>
      <w:r w:rsidRPr="00A21221">
        <w:rPr>
          <w:sz w:val="22"/>
          <w:szCs w:val="22"/>
        </w:rPr>
        <w:t xml:space="preserve">tested by </w:t>
      </w:r>
      <w:r w:rsidR="002A5A3B" w:rsidRPr="00A21221">
        <w:rPr>
          <w:sz w:val="22"/>
          <w:szCs w:val="22"/>
        </w:rPr>
        <w:t>o</w:t>
      </w:r>
      <w:r w:rsidR="009A4A76" w:rsidRPr="00A21221">
        <w:rPr>
          <w:sz w:val="22"/>
          <w:szCs w:val="22"/>
        </w:rPr>
        <w:t xml:space="preserve">ngoing </w:t>
      </w:r>
      <w:r w:rsidR="002A5A3B" w:rsidRPr="00A21221">
        <w:rPr>
          <w:sz w:val="22"/>
          <w:szCs w:val="22"/>
        </w:rPr>
        <w:t xml:space="preserve">demand </w:t>
      </w:r>
      <w:r w:rsidR="00660131" w:rsidRPr="00A21221">
        <w:rPr>
          <w:sz w:val="22"/>
          <w:szCs w:val="22"/>
        </w:rPr>
        <w:t>pressures.</w:t>
      </w:r>
      <w:r w:rsidR="009A4A76" w:rsidRPr="00A21221">
        <w:rPr>
          <w:sz w:val="22"/>
          <w:szCs w:val="22"/>
        </w:rPr>
        <w:t xml:space="preserve"> </w:t>
      </w:r>
    </w:p>
    <w:p w14:paraId="278A6704" w14:textId="5CB35602" w:rsidR="009E6E7C" w:rsidRPr="00A21221" w:rsidRDefault="009A4A76" w:rsidP="00343D87">
      <w:pPr>
        <w:pStyle w:val="ListParagraph"/>
        <w:numPr>
          <w:ilvl w:val="0"/>
          <w:numId w:val="6"/>
        </w:numPr>
        <w:ind w:left="426"/>
        <w:jc w:val="both"/>
        <w:rPr>
          <w:sz w:val="22"/>
          <w:szCs w:val="22"/>
        </w:rPr>
      </w:pPr>
      <w:r w:rsidRPr="00A21221">
        <w:rPr>
          <w:sz w:val="22"/>
          <w:szCs w:val="22"/>
        </w:rPr>
        <w:t xml:space="preserve">The </w:t>
      </w:r>
      <w:r w:rsidR="00660131" w:rsidRPr="00A21221">
        <w:rPr>
          <w:sz w:val="22"/>
          <w:szCs w:val="22"/>
        </w:rPr>
        <w:t xml:space="preserve">Council’s Emergency Management </w:t>
      </w:r>
      <w:r w:rsidRPr="00A21221">
        <w:rPr>
          <w:sz w:val="22"/>
          <w:szCs w:val="22"/>
        </w:rPr>
        <w:t xml:space="preserve">Board </w:t>
      </w:r>
      <w:r w:rsidR="00993A18">
        <w:rPr>
          <w:sz w:val="22"/>
          <w:szCs w:val="22"/>
        </w:rPr>
        <w:t xml:space="preserve">continues to meet in an </w:t>
      </w:r>
      <w:r w:rsidRPr="00A21221">
        <w:rPr>
          <w:sz w:val="22"/>
          <w:szCs w:val="22"/>
        </w:rPr>
        <w:t>agile way to the fluctuating pattern of emergencies</w:t>
      </w:r>
      <w:r w:rsidR="00993A18">
        <w:rPr>
          <w:sz w:val="22"/>
          <w:szCs w:val="22"/>
        </w:rPr>
        <w:t>.</w:t>
      </w:r>
    </w:p>
    <w:p w14:paraId="43A4E0AE" w14:textId="274C5DE9" w:rsidR="002B7EEA" w:rsidRPr="00A21221" w:rsidRDefault="002B7EEA" w:rsidP="00343D87">
      <w:pPr>
        <w:jc w:val="both"/>
        <w:rPr>
          <w:sz w:val="22"/>
          <w:szCs w:val="22"/>
        </w:rPr>
      </w:pPr>
    </w:p>
    <w:p w14:paraId="102116D8" w14:textId="3AE72604" w:rsidR="009E6E7C" w:rsidRPr="00A21221" w:rsidRDefault="00D012EB" w:rsidP="00343D87">
      <w:pPr>
        <w:jc w:val="both"/>
        <w:rPr>
          <w:sz w:val="22"/>
          <w:szCs w:val="22"/>
        </w:rPr>
      </w:pPr>
      <w:r>
        <w:rPr>
          <w:sz w:val="22"/>
          <w:szCs w:val="22"/>
        </w:rPr>
        <w:t xml:space="preserve">Executive </w:t>
      </w:r>
      <w:r w:rsidR="009E6E7C" w:rsidRPr="00A21221">
        <w:rPr>
          <w:sz w:val="22"/>
          <w:szCs w:val="22"/>
        </w:rPr>
        <w:t>Directors report a reasonable level of compliance, overall, in terms of stakeholder engagement for service change and development:</w:t>
      </w:r>
    </w:p>
    <w:p w14:paraId="2F00698D" w14:textId="77777777" w:rsidR="009E6E7C" w:rsidRPr="00A21221" w:rsidRDefault="009E6E7C" w:rsidP="00343D87">
      <w:pPr>
        <w:jc w:val="both"/>
        <w:rPr>
          <w:sz w:val="22"/>
          <w:szCs w:val="22"/>
        </w:rPr>
      </w:pPr>
    </w:p>
    <w:tbl>
      <w:tblPr>
        <w:tblStyle w:val="TableGrid"/>
        <w:tblW w:w="0" w:type="auto"/>
        <w:tblLayout w:type="fixed"/>
        <w:tblLook w:val="04A0" w:firstRow="1" w:lastRow="0" w:firstColumn="1" w:lastColumn="0" w:noHBand="0" w:noVBand="1"/>
      </w:tblPr>
      <w:tblGrid>
        <w:gridCol w:w="1276"/>
        <w:gridCol w:w="709"/>
        <w:gridCol w:w="1134"/>
        <w:gridCol w:w="1134"/>
        <w:gridCol w:w="1134"/>
        <w:gridCol w:w="1134"/>
      </w:tblGrid>
      <w:tr w:rsidR="00993A18" w:rsidRPr="00993A18" w14:paraId="64B73378" w14:textId="77777777" w:rsidTr="0089409C">
        <w:tc>
          <w:tcPr>
            <w:tcW w:w="1276" w:type="dxa"/>
            <w:tcBorders>
              <w:top w:val="nil"/>
              <w:left w:val="nil"/>
            </w:tcBorders>
          </w:tcPr>
          <w:p w14:paraId="3F2B99D4" w14:textId="77777777" w:rsidR="009E6E7C" w:rsidRPr="00692B95" w:rsidRDefault="009E6E7C" w:rsidP="00343D87">
            <w:pPr>
              <w:jc w:val="both"/>
              <w:rPr>
                <w:rFonts w:cs="Arial"/>
                <w:sz w:val="20"/>
              </w:rPr>
            </w:pPr>
            <w:r w:rsidRPr="00692B95">
              <w:rPr>
                <w:sz w:val="20"/>
              </w:rPr>
              <w:t>Procedure</w:t>
            </w:r>
          </w:p>
          <w:p w14:paraId="06B92998" w14:textId="77777777" w:rsidR="009E6E7C" w:rsidRPr="00692B95" w:rsidRDefault="009E6E7C" w:rsidP="00343D87">
            <w:pPr>
              <w:jc w:val="both"/>
              <w:rPr>
                <w:sz w:val="20"/>
              </w:rPr>
            </w:pPr>
            <w:r w:rsidRPr="00692B95">
              <w:rPr>
                <w:rFonts w:cs="Arial"/>
                <w:sz w:val="20"/>
              </w:rPr>
              <w:t xml:space="preserve">       ↓</w:t>
            </w:r>
          </w:p>
        </w:tc>
        <w:tc>
          <w:tcPr>
            <w:tcW w:w="709" w:type="dxa"/>
            <w:tcBorders>
              <w:top w:val="nil"/>
              <w:left w:val="nil"/>
            </w:tcBorders>
          </w:tcPr>
          <w:p w14:paraId="4B7E69D2" w14:textId="7E3CC8BE" w:rsidR="00625196" w:rsidRPr="00692B95" w:rsidRDefault="00625196" w:rsidP="00343D87">
            <w:pPr>
              <w:jc w:val="both"/>
              <w:rPr>
                <w:sz w:val="20"/>
              </w:rPr>
            </w:pPr>
            <w:r w:rsidRPr="00692B95">
              <w:rPr>
                <w:sz w:val="20"/>
              </w:rPr>
              <w:t>D</w:t>
            </w:r>
            <w:r w:rsidR="009E6E7C" w:rsidRPr="00692B95">
              <w:rPr>
                <w:sz w:val="20"/>
              </w:rPr>
              <w:t>ept</w:t>
            </w:r>
          </w:p>
          <w:p w14:paraId="087D5BF4" w14:textId="7CEE2F4F" w:rsidR="009E6E7C" w:rsidRPr="00692B95" w:rsidRDefault="009E6E7C" w:rsidP="00343D87">
            <w:pPr>
              <w:jc w:val="both"/>
              <w:rPr>
                <w:sz w:val="20"/>
              </w:rPr>
            </w:pPr>
            <w:r w:rsidRPr="00692B95">
              <w:rPr>
                <w:rFonts w:cs="Arial"/>
                <w:sz w:val="20"/>
              </w:rPr>
              <w:t>→</w:t>
            </w:r>
          </w:p>
        </w:tc>
        <w:tc>
          <w:tcPr>
            <w:tcW w:w="1134" w:type="dxa"/>
          </w:tcPr>
          <w:p w14:paraId="4C3D47CD" w14:textId="3EFEBD08" w:rsidR="009E6E7C" w:rsidRPr="00692B95" w:rsidRDefault="009E6E7C" w:rsidP="00343D87">
            <w:pPr>
              <w:jc w:val="both"/>
              <w:rPr>
                <w:sz w:val="20"/>
              </w:rPr>
            </w:pPr>
            <w:r w:rsidRPr="00692B95">
              <w:rPr>
                <w:sz w:val="20"/>
              </w:rPr>
              <w:t>ASC</w:t>
            </w:r>
            <w:r w:rsidR="00692C54">
              <w:rPr>
                <w:sz w:val="20"/>
              </w:rPr>
              <w:t>H</w:t>
            </w:r>
          </w:p>
        </w:tc>
        <w:tc>
          <w:tcPr>
            <w:tcW w:w="1134" w:type="dxa"/>
          </w:tcPr>
          <w:p w14:paraId="65F86B19" w14:textId="77777777" w:rsidR="009E6E7C" w:rsidRPr="00692B95" w:rsidRDefault="009E6E7C" w:rsidP="00343D87">
            <w:pPr>
              <w:jc w:val="both"/>
              <w:rPr>
                <w:sz w:val="20"/>
              </w:rPr>
            </w:pPr>
            <w:r w:rsidRPr="00692B95">
              <w:rPr>
                <w:sz w:val="20"/>
              </w:rPr>
              <w:t>C&amp;F</w:t>
            </w:r>
          </w:p>
        </w:tc>
        <w:tc>
          <w:tcPr>
            <w:tcW w:w="1134" w:type="dxa"/>
          </w:tcPr>
          <w:p w14:paraId="06317FF1" w14:textId="77777777" w:rsidR="009E6E7C" w:rsidRPr="00692B95" w:rsidRDefault="009E6E7C" w:rsidP="00343D87">
            <w:pPr>
              <w:jc w:val="both"/>
              <w:rPr>
                <w:sz w:val="20"/>
              </w:rPr>
            </w:pPr>
            <w:r w:rsidRPr="00692B95">
              <w:rPr>
                <w:sz w:val="20"/>
              </w:rPr>
              <w:t>Place</w:t>
            </w:r>
          </w:p>
        </w:tc>
        <w:tc>
          <w:tcPr>
            <w:tcW w:w="1134" w:type="dxa"/>
          </w:tcPr>
          <w:p w14:paraId="3405FC92" w14:textId="5A37090D" w:rsidR="009E6E7C" w:rsidRPr="00692B95" w:rsidRDefault="009E6E7C" w:rsidP="00343D87">
            <w:pPr>
              <w:jc w:val="both"/>
              <w:rPr>
                <w:sz w:val="20"/>
              </w:rPr>
            </w:pPr>
            <w:r w:rsidRPr="00692B95">
              <w:rPr>
                <w:sz w:val="20"/>
              </w:rPr>
              <w:t>C</w:t>
            </w:r>
            <w:r w:rsidR="00625196" w:rsidRPr="00692B95">
              <w:rPr>
                <w:sz w:val="20"/>
              </w:rPr>
              <w:t>EX</w:t>
            </w:r>
          </w:p>
        </w:tc>
      </w:tr>
      <w:tr w:rsidR="00993A18" w:rsidRPr="00993A18" w14:paraId="1046A55E" w14:textId="77777777" w:rsidTr="0068093A">
        <w:tc>
          <w:tcPr>
            <w:tcW w:w="1985" w:type="dxa"/>
            <w:gridSpan w:val="2"/>
          </w:tcPr>
          <w:p w14:paraId="37C8C9FC" w14:textId="10F53D35" w:rsidR="009E6E7C" w:rsidRPr="00692B95" w:rsidRDefault="009E6E7C" w:rsidP="00343D87">
            <w:pPr>
              <w:jc w:val="both"/>
              <w:rPr>
                <w:sz w:val="20"/>
              </w:rPr>
            </w:pPr>
            <w:r w:rsidRPr="00692B95">
              <w:rPr>
                <w:sz w:val="20"/>
              </w:rPr>
              <w:t>Stakeholder engagement for service change</w:t>
            </w:r>
          </w:p>
        </w:tc>
        <w:tc>
          <w:tcPr>
            <w:tcW w:w="1134" w:type="dxa"/>
            <w:shd w:val="clear" w:color="auto" w:fill="FFC000"/>
          </w:tcPr>
          <w:p w14:paraId="2CF989D0" w14:textId="2305055D" w:rsidR="009E6E7C" w:rsidRPr="00692B95" w:rsidRDefault="0068093A" w:rsidP="00343D87">
            <w:pPr>
              <w:jc w:val="both"/>
            </w:pPr>
            <w:r w:rsidRPr="00692B95">
              <w:rPr>
                <w:sz w:val="16"/>
                <w:szCs w:val="16"/>
              </w:rPr>
              <w:t>Reasonable</w:t>
            </w:r>
          </w:p>
        </w:tc>
        <w:tc>
          <w:tcPr>
            <w:tcW w:w="1134" w:type="dxa"/>
            <w:shd w:val="clear" w:color="auto" w:fill="92D050"/>
          </w:tcPr>
          <w:p w14:paraId="7C28AC0D" w14:textId="57F90D33" w:rsidR="009E6E7C" w:rsidRPr="00692B95" w:rsidRDefault="001B54CD" w:rsidP="00343D87">
            <w:pPr>
              <w:jc w:val="both"/>
            </w:pPr>
            <w:r w:rsidRPr="00692B95">
              <w:rPr>
                <w:sz w:val="16"/>
                <w:szCs w:val="16"/>
              </w:rPr>
              <w:t>Substantial</w:t>
            </w:r>
          </w:p>
        </w:tc>
        <w:tc>
          <w:tcPr>
            <w:tcW w:w="1134" w:type="dxa"/>
            <w:shd w:val="clear" w:color="auto" w:fill="92D050"/>
          </w:tcPr>
          <w:p w14:paraId="3F5D7778" w14:textId="77777777" w:rsidR="009E6E7C" w:rsidRPr="00692B95" w:rsidRDefault="009E6E7C" w:rsidP="00343D87">
            <w:pPr>
              <w:jc w:val="both"/>
            </w:pPr>
            <w:r w:rsidRPr="00692B95">
              <w:rPr>
                <w:sz w:val="16"/>
                <w:szCs w:val="16"/>
              </w:rPr>
              <w:t>Substantial</w:t>
            </w:r>
          </w:p>
        </w:tc>
        <w:tc>
          <w:tcPr>
            <w:tcW w:w="1134" w:type="dxa"/>
            <w:shd w:val="clear" w:color="auto" w:fill="92D050"/>
          </w:tcPr>
          <w:p w14:paraId="7FBCFD19" w14:textId="77777777" w:rsidR="009E6E7C" w:rsidRPr="00692B95" w:rsidRDefault="009E6E7C" w:rsidP="00343D87">
            <w:pPr>
              <w:jc w:val="both"/>
            </w:pPr>
            <w:r w:rsidRPr="00692B95">
              <w:rPr>
                <w:sz w:val="16"/>
                <w:szCs w:val="16"/>
              </w:rPr>
              <w:t>Substantial</w:t>
            </w:r>
          </w:p>
        </w:tc>
      </w:tr>
    </w:tbl>
    <w:p w14:paraId="08F1CBFF" w14:textId="15192C5A" w:rsidR="009E6E7C" w:rsidRPr="00A21221" w:rsidRDefault="009E6E7C" w:rsidP="00343D87">
      <w:pPr>
        <w:jc w:val="both"/>
        <w:rPr>
          <w:sz w:val="22"/>
          <w:szCs w:val="22"/>
        </w:rPr>
      </w:pPr>
    </w:p>
    <w:p w14:paraId="11A72B6C" w14:textId="77777777" w:rsidR="006C4D1E" w:rsidRPr="00FB549A" w:rsidRDefault="006C4D1E" w:rsidP="006C4D1E">
      <w:pPr>
        <w:jc w:val="both"/>
        <w:rPr>
          <w:b/>
          <w:bCs/>
          <w:sz w:val="28"/>
          <w:szCs w:val="28"/>
        </w:rPr>
      </w:pPr>
      <w:r w:rsidRPr="006C4D1E">
        <w:rPr>
          <w:b/>
          <w:bCs/>
          <w:sz w:val="28"/>
          <w:szCs w:val="28"/>
        </w:rPr>
        <w:t xml:space="preserve">Improvements &amp; developments </w:t>
      </w:r>
      <w:r w:rsidRPr="00FB549A">
        <w:rPr>
          <w:b/>
          <w:bCs/>
          <w:sz w:val="28"/>
          <w:szCs w:val="28"/>
        </w:rPr>
        <w:t>during 2025/26</w:t>
      </w:r>
    </w:p>
    <w:p w14:paraId="55399A49" w14:textId="77777777" w:rsidR="006C4D1E" w:rsidRPr="00FB549A" w:rsidRDefault="006C4D1E" w:rsidP="006C4D1E">
      <w:pPr>
        <w:jc w:val="both"/>
        <w:rPr>
          <w:sz w:val="22"/>
          <w:szCs w:val="22"/>
        </w:rPr>
      </w:pPr>
    </w:p>
    <w:p w14:paraId="04329474" w14:textId="4ED9462B" w:rsidR="008B66EC" w:rsidRPr="00E3324E" w:rsidRDefault="00A61C75" w:rsidP="008B66EC">
      <w:pPr>
        <w:jc w:val="both"/>
        <w:rPr>
          <w:sz w:val="22"/>
          <w:szCs w:val="22"/>
        </w:rPr>
      </w:pPr>
      <w:r w:rsidRPr="00FB549A">
        <w:rPr>
          <w:sz w:val="22"/>
          <w:szCs w:val="22"/>
        </w:rPr>
        <w:t xml:space="preserve">Following approval of the new Council Plan in November, an Annual Delivery Plan has been developed and approved, supported by local service plans, to ensure alignment of delivery to strategic objectives.  </w:t>
      </w:r>
      <w:r w:rsidR="008B66EC" w:rsidRPr="00FB549A">
        <w:rPr>
          <w:sz w:val="22"/>
          <w:szCs w:val="22"/>
        </w:rPr>
        <w:t>During 2025/26, the Council has reviewed the portfolio of transformation and change projects, working to create one organisational change portfolio which captures and monitors all major change activity across the organisation. The content of the portfolio has been reviewed to ensure alignment with national reforms and strategic, financial and other drivers for change to ensure that it is fit for purpose.</w:t>
      </w:r>
    </w:p>
    <w:p w14:paraId="2375DE44" w14:textId="77777777" w:rsidR="008B66EC" w:rsidRPr="00E3324E" w:rsidRDefault="008B66EC" w:rsidP="008B66EC">
      <w:pPr>
        <w:jc w:val="both"/>
        <w:rPr>
          <w:sz w:val="22"/>
          <w:szCs w:val="22"/>
        </w:rPr>
      </w:pPr>
    </w:p>
    <w:p w14:paraId="7BDC8C0C" w14:textId="77777777" w:rsidR="008B66EC" w:rsidRPr="00FB549A" w:rsidRDefault="008B66EC" w:rsidP="008B66EC">
      <w:pPr>
        <w:jc w:val="both"/>
        <w:rPr>
          <w:sz w:val="22"/>
          <w:szCs w:val="22"/>
        </w:rPr>
      </w:pPr>
      <w:r w:rsidRPr="00FB549A">
        <w:rPr>
          <w:sz w:val="22"/>
          <w:szCs w:val="22"/>
        </w:rPr>
        <w:t xml:space="preserve">Transformation and change initiatives are now more closely aligned with delivery of the Council’s budget-setting cycle and Medium-Term Financial Strategy, with projects contributing to mitigation of the Council’s financial pressures. There is a new project management app in place to improve the visibility of activity to deliver change and benefits. </w:t>
      </w:r>
    </w:p>
    <w:p w14:paraId="4280295B" w14:textId="77777777" w:rsidR="006C4D1E" w:rsidRPr="00FB549A" w:rsidRDefault="006C4D1E" w:rsidP="006C4D1E">
      <w:pPr>
        <w:jc w:val="both"/>
        <w:rPr>
          <w:sz w:val="22"/>
          <w:szCs w:val="22"/>
        </w:rPr>
      </w:pPr>
    </w:p>
    <w:p w14:paraId="49BF56E2" w14:textId="77777777" w:rsidR="006C4D1E" w:rsidRPr="00FB549A" w:rsidRDefault="006C4D1E" w:rsidP="006C4D1E">
      <w:pPr>
        <w:jc w:val="both"/>
        <w:rPr>
          <w:b/>
          <w:bCs/>
          <w:sz w:val="28"/>
          <w:szCs w:val="28"/>
        </w:rPr>
      </w:pPr>
      <w:r w:rsidRPr="00FB549A">
        <w:rPr>
          <w:b/>
          <w:bCs/>
          <w:sz w:val="28"/>
          <w:szCs w:val="28"/>
        </w:rPr>
        <w:t>Gaps and challenges</w:t>
      </w:r>
    </w:p>
    <w:p w14:paraId="34530A3C" w14:textId="77777777" w:rsidR="008B66EC" w:rsidRPr="00FB549A" w:rsidRDefault="008B66EC" w:rsidP="008B66EC">
      <w:pPr>
        <w:jc w:val="both"/>
        <w:rPr>
          <w:sz w:val="22"/>
          <w:szCs w:val="22"/>
        </w:rPr>
      </w:pPr>
      <w:r w:rsidRPr="00FB549A">
        <w:rPr>
          <w:sz w:val="22"/>
          <w:szCs w:val="22"/>
        </w:rPr>
        <w:t xml:space="preserve">The predominant challenge continues to be financial sustainability in view of significant increases demand and cost for essential services. </w:t>
      </w:r>
    </w:p>
    <w:p w14:paraId="70BC6E2B" w14:textId="77777777" w:rsidR="008B66EC" w:rsidRPr="00FB549A" w:rsidRDefault="008B66EC" w:rsidP="008B66EC">
      <w:pPr>
        <w:jc w:val="both"/>
        <w:rPr>
          <w:sz w:val="22"/>
          <w:szCs w:val="22"/>
        </w:rPr>
      </w:pPr>
    </w:p>
    <w:p w14:paraId="07DB67AD" w14:textId="77777777" w:rsidR="008B66EC" w:rsidRPr="00FB549A" w:rsidRDefault="008B66EC" w:rsidP="008B66EC">
      <w:pPr>
        <w:jc w:val="both"/>
        <w:rPr>
          <w:sz w:val="22"/>
          <w:szCs w:val="22"/>
        </w:rPr>
      </w:pPr>
      <w:r w:rsidRPr="00FB549A">
        <w:rPr>
          <w:sz w:val="22"/>
          <w:szCs w:val="22"/>
        </w:rPr>
        <w:t>The 3-year local government finance settlement provides some stability funding and based on current assumptions about demand for services together with planned mitigation plans the current Medium-Term Financial Strategy shows some headroom in funding of £31.7m over the next 3 years. This should provide sufficient funding to manage the financial shocks in the short-term and allow longer-term development of prevention strategies to manage future rising pressures and inflation.</w:t>
      </w:r>
    </w:p>
    <w:p w14:paraId="14B7417A" w14:textId="77777777" w:rsidR="00A61C75" w:rsidRPr="00FB549A" w:rsidRDefault="00A61C75" w:rsidP="008B66EC">
      <w:pPr>
        <w:jc w:val="both"/>
        <w:rPr>
          <w:sz w:val="22"/>
          <w:szCs w:val="22"/>
        </w:rPr>
      </w:pPr>
    </w:p>
    <w:p w14:paraId="20EC2EFD" w14:textId="77777777" w:rsidR="00A61C75" w:rsidRPr="00FB549A" w:rsidRDefault="00A61C75" w:rsidP="00A61C75">
      <w:pPr>
        <w:jc w:val="both"/>
        <w:rPr>
          <w:sz w:val="22"/>
          <w:szCs w:val="22"/>
        </w:rPr>
      </w:pPr>
      <w:r w:rsidRPr="00FB549A">
        <w:rPr>
          <w:sz w:val="22"/>
          <w:szCs w:val="22"/>
        </w:rPr>
        <w:t xml:space="preserve">Continuing to strengthen performance management arrangements was an area for improvement identified through the corporate peer review process. </w:t>
      </w:r>
    </w:p>
    <w:p w14:paraId="07251BA9" w14:textId="77777777" w:rsidR="008B66EC" w:rsidRPr="00FB549A" w:rsidRDefault="008B66EC" w:rsidP="008B66EC">
      <w:pPr>
        <w:jc w:val="both"/>
        <w:rPr>
          <w:sz w:val="22"/>
          <w:szCs w:val="22"/>
        </w:rPr>
      </w:pPr>
    </w:p>
    <w:p w14:paraId="56A22100" w14:textId="77777777" w:rsidR="006C4D1E" w:rsidRPr="00FB549A" w:rsidRDefault="006C4D1E" w:rsidP="006C4D1E">
      <w:pPr>
        <w:jc w:val="both"/>
        <w:rPr>
          <w:b/>
          <w:bCs/>
          <w:sz w:val="28"/>
          <w:szCs w:val="28"/>
        </w:rPr>
      </w:pPr>
      <w:r w:rsidRPr="00FB549A">
        <w:rPr>
          <w:b/>
          <w:bCs/>
          <w:sz w:val="28"/>
          <w:szCs w:val="28"/>
        </w:rPr>
        <w:t>Current Key Focus for 2026/27</w:t>
      </w:r>
    </w:p>
    <w:p w14:paraId="1741EEEA" w14:textId="77777777" w:rsidR="00A61C75" w:rsidRPr="00FB549A" w:rsidRDefault="00A61C75" w:rsidP="00A61C75">
      <w:pPr>
        <w:jc w:val="both"/>
        <w:rPr>
          <w:sz w:val="22"/>
          <w:szCs w:val="22"/>
        </w:rPr>
      </w:pPr>
      <w:r w:rsidRPr="00FB549A">
        <w:rPr>
          <w:sz w:val="22"/>
          <w:szCs w:val="22"/>
        </w:rPr>
        <w:t xml:space="preserve">Robust oversight of delivery of the Council’s portfolio of transformation and change projects </w:t>
      </w:r>
      <w:proofErr w:type="gramStart"/>
      <w:r w:rsidRPr="00FB549A">
        <w:rPr>
          <w:sz w:val="22"/>
          <w:szCs w:val="22"/>
        </w:rPr>
        <w:t>in order to</w:t>
      </w:r>
      <w:proofErr w:type="gramEnd"/>
      <w:r w:rsidRPr="00FB549A">
        <w:rPr>
          <w:sz w:val="22"/>
          <w:szCs w:val="22"/>
        </w:rPr>
        <w:t xml:space="preserve"> ensure benefits are achieved, both in terms of financial savings and cost avoidance, but also improved outcomes. </w:t>
      </w:r>
    </w:p>
    <w:p w14:paraId="577755D5" w14:textId="77777777" w:rsidR="00A61C75" w:rsidRPr="00FB549A" w:rsidRDefault="00A61C75" w:rsidP="00A61C75">
      <w:pPr>
        <w:jc w:val="both"/>
        <w:rPr>
          <w:sz w:val="22"/>
          <w:szCs w:val="22"/>
        </w:rPr>
      </w:pPr>
    </w:p>
    <w:p w14:paraId="1824A984" w14:textId="77777777" w:rsidR="00A61C75" w:rsidRPr="00993A18" w:rsidRDefault="00A61C75" w:rsidP="00A61C75">
      <w:pPr>
        <w:jc w:val="both"/>
        <w:rPr>
          <w:color w:val="FF0000"/>
          <w:sz w:val="22"/>
          <w:szCs w:val="22"/>
        </w:rPr>
        <w:sectPr w:rsidR="00A61C75" w:rsidRPr="00993A18" w:rsidSect="00A61C75">
          <w:headerReference w:type="default" r:id="rId18"/>
          <w:pgSz w:w="16838" w:h="11906" w:orient="landscape"/>
          <w:pgMar w:top="567" w:right="1440" w:bottom="1440" w:left="1440" w:header="709" w:footer="709" w:gutter="0"/>
          <w:cols w:num="2" w:space="708"/>
          <w:docGrid w:linePitch="360"/>
        </w:sectPr>
      </w:pPr>
      <w:r w:rsidRPr="00FB549A">
        <w:rPr>
          <w:sz w:val="22"/>
          <w:szCs w:val="22"/>
        </w:rPr>
        <w:t>Implementation of a revised Performance and Quality Management Framework to ensure activity drives improvement in performance and outcomes.</w:t>
      </w:r>
      <w:r>
        <w:rPr>
          <w:sz w:val="22"/>
          <w:szCs w:val="22"/>
        </w:rPr>
        <w:t xml:space="preserve">  </w:t>
      </w:r>
    </w:p>
    <w:p w14:paraId="24D8E394" w14:textId="77777777" w:rsidR="006C4D1E" w:rsidRPr="006C4D1E" w:rsidRDefault="006C4D1E" w:rsidP="006C4D1E">
      <w:pPr>
        <w:jc w:val="both"/>
        <w:rPr>
          <w:sz w:val="22"/>
          <w:szCs w:val="22"/>
        </w:rPr>
      </w:pPr>
    </w:p>
    <w:p w14:paraId="2BA8B90D" w14:textId="091E66FF" w:rsidR="00937AF0" w:rsidRPr="00A21221" w:rsidRDefault="00937AF0" w:rsidP="00343D87">
      <w:pPr>
        <w:jc w:val="both"/>
        <w:rPr>
          <w:b/>
          <w:bCs/>
          <w:sz w:val="28"/>
          <w:szCs w:val="28"/>
        </w:rPr>
      </w:pPr>
      <w:r w:rsidRPr="00A21221">
        <w:rPr>
          <w:b/>
          <w:bCs/>
          <w:sz w:val="28"/>
          <w:szCs w:val="28"/>
        </w:rPr>
        <w:t>Compliance with the Local Code</w:t>
      </w:r>
      <w:r w:rsidR="000030F1">
        <w:rPr>
          <w:b/>
          <w:bCs/>
          <w:sz w:val="28"/>
          <w:szCs w:val="28"/>
        </w:rPr>
        <w:t xml:space="preserve"> during 202</w:t>
      </w:r>
      <w:r w:rsidR="00993A18">
        <w:rPr>
          <w:b/>
          <w:bCs/>
          <w:sz w:val="28"/>
          <w:szCs w:val="28"/>
        </w:rPr>
        <w:t>5/26</w:t>
      </w:r>
    </w:p>
    <w:p w14:paraId="4A2AE5B2" w14:textId="0DE3A861" w:rsidR="001643B1" w:rsidRPr="00A21221" w:rsidRDefault="001643B1" w:rsidP="00343D87">
      <w:pPr>
        <w:jc w:val="both"/>
        <w:rPr>
          <w:sz w:val="22"/>
          <w:szCs w:val="22"/>
        </w:rPr>
      </w:pPr>
      <w:r w:rsidRPr="00A21221">
        <w:rPr>
          <w:sz w:val="22"/>
          <w:szCs w:val="22"/>
        </w:rPr>
        <w:t>The policies, procedures and protocols set out in the Local Code of Corporate Governance remained in force during 202</w:t>
      </w:r>
      <w:r w:rsidR="00993A18">
        <w:rPr>
          <w:sz w:val="22"/>
          <w:szCs w:val="22"/>
        </w:rPr>
        <w:t>5/26</w:t>
      </w:r>
      <w:r w:rsidRPr="00A21221">
        <w:rPr>
          <w:sz w:val="22"/>
          <w:szCs w:val="22"/>
        </w:rPr>
        <w:t xml:space="preserve">. </w:t>
      </w:r>
    </w:p>
    <w:p w14:paraId="257B6416" w14:textId="77777777" w:rsidR="00A05E4F" w:rsidRPr="00A21221" w:rsidRDefault="00A05E4F" w:rsidP="00343D87">
      <w:pPr>
        <w:jc w:val="both"/>
      </w:pPr>
    </w:p>
    <w:p w14:paraId="57740FA0" w14:textId="660EAD89" w:rsidR="001643B1" w:rsidRPr="00A21221" w:rsidRDefault="00DC2AE1" w:rsidP="00343D87">
      <w:pPr>
        <w:jc w:val="both"/>
        <w:rPr>
          <w:sz w:val="22"/>
          <w:szCs w:val="22"/>
        </w:rPr>
      </w:pPr>
      <w:r>
        <w:rPr>
          <w:sz w:val="22"/>
          <w:szCs w:val="22"/>
        </w:rPr>
        <w:t>Executive</w:t>
      </w:r>
      <w:r w:rsidR="001643B1" w:rsidRPr="00A21221">
        <w:rPr>
          <w:sz w:val="22"/>
          <w:szCs w:val="22"/>
        </w:rPr>
        <w:t xml:space="preserve"> Directors report the following levels of compliance with key Council procedures relevant to this aspect of governance: </w:t>
      </w:r>
    </w:p>
    <w:p w14:paraId="1A884A7D" w14:textId="77777777" w:rsidR="001643B1" w:rsidRPr="00A21221" w:rsidRDefault="001643B1" w:rsidP="00343D87">
      <w:pPr>
        <w:jc w:val="both"/>
      </w:pPr>
    </w:p>
    <w:tbl>
      <w:tblPr>
        <w:tblStyle w:val="TableGrid"/>
        <w:tblW w:w="0" w:type="auto"/>
        <w:tblLayout w:type="fixed"/>
        <w:tblLook w:val="04A0" w:firstRow="1" w:lastRow="0" w:firstColumn="1" w:lastColumn="0" w:noHBand="0" w:noVBand="1"/>
      </w:tblPr>
      <w:tblGrid>
        <w:gridCol w:w="1276"/>
        <w:gridCol w:w="709"/>
        <w:gridCol w:w="1134"/>
        <w:gridCol w:w="1134"/>
        <w:gridCol w:w="1134"/>
        <w:gridCol w:w="1134"/>
      </w:tblGrid>
      <w:tr w:rsidR="00993A18" w:rsidRPr="00993A18" w14:paraId="2E259EAB" w14:textId="77777777" w:rsidTr="0089409C">
        <w:tc>
          <w:tcPr>
            <w:tcW w:w="1276" w:type="dxa"/>
            <w:tcBorders>
              <w:top w:val="nil"/>
              <w:left w:val="nil"/>
            </w:tcBorders>
          </w:tcPr>
          <w:p w14:paraId="799E5D52" w14:textId="77777777" w:rsidR="001643B1" w:rsidRPr="00692C54" w:rsidRDefault="001643B1" w:rsidP="00343D87">
            <w:pPr>
              <w:jc w:val="both"/>
              <w:rPr>
                <w:rFonts w:cs="Arial"/>
                <w:sz w:val="20"/>
              </w:rPr>
            </w:pPr>
            <w:r w:rsidRPr="00692C54">
              <w:rPr>
                <w:sz w:val="20"/>
              </w:rPr>
              <w:t>Procedure</w:t>
            </w:r>
          </w:p>
          <w:p w14:paraId="4B6F10AB" w14:textId="77777777" w:rsidR="001643B1" w:rsidRPr="00692C54" w:rsidRDefault="001643B1" w:rsidP="00343D87">
            <w:pPr>
              <w:jc w:val="both"/>
              <w:rPr>
                <w:sz w:val="20"/>
              </w:rPr>
            </w:pPr>
            <w:r w:rsidRPr="00692C54">
              <w:rPr>
                <w:rFonts w:cs="Arial"/>
                <w:sz w:val="20"/>
              </w:rPr>
              <w:t xml:space="preserve">       ↓</w:t>
            </w:r>
          </w:p>
        </w:tc>
        <w:tc>
          <w:tcPr>
            <w:tcW w:w="709" w:type="dxa"/>
            <w:tcBorders>
              <w:top w:val="nil"/>
              <w:left w:val="nil"/>
            </w:tcBorders>
          </w:tcPr>
          <w:p w14:paraId="53968597" w14:textId="39270A96" w:rsidR="00625196" w:rsidRPr="00692C54" w:rsidRDefault="00625196" w:rsidP="00343D87">
            <w:pPr>
              <w:jc w:val="both"/>
              <w:rPr>
                <w:sz w:val="20"/>
              </w:rPr>
            </w:pPr>
            <w:r w:rsidRPr="00692C54">
              <w:rPr>
                <w:sz w:val="20"/>
              </w:rPr>
              <w:t>D</w:t>
            </w:r>
            <w:r w:rsidR="001643B1" w:rsidRPr="00692C54">
              <w:rPr>
                <w:sz w:val="20"/>
              </w:rPr>
              <w:t>ept</w:t>
            </w:r>
          </w:p>
          <w:p w14:paraId="7EDF4FF3" w14:textId="29CDDFC8" w:rsidR="001643B1" w:rsidRPr="00692C54" w:rsidRDefault="001643B1" w:rsidP="00343D87">
            <w:pPr>
              <w:jc w:val="both"/>
              <w:rPr>
                <w:sz w:val="20"/>
              </w:rPr>
            </w:pPr>
            <w:r w:rsidRPr="00692C54">
              <w:rPr>
                <w:rFonts w:cs="Arial"/>
                <w:sz w:val="20"/>
              </w:rPr>
              <w:t>→</w:t>
            </w:r>
          </w:p>
        </w:tc>
        <w:tc>
          <w:tcPr>
            <w:tcW w:w="1134" w:type="dxa"/>
          </w:tcPr>
          <w:p w14:paraId="580B29B1" w14:textId="3208DDD3" w:rsidR="001643B1" w:rsidRPr="00692C54" w:rsidRDefault="001643B1" w:rsidP="00343D87">
            <w:pPr>
              <w:jc w:val="both"/>
              <w:rPr>
                <w:sz w:val="20"/>
              </w:rPr>
            </w:pPr>
            <w:r w:rsidRPr="00692C54">
              <w:rPr>
                <w:sz w:val="20"/>
              </w:rPr>
              <w:t>AS</w:t>
            </w:r>
            <w:r w:rsidR="00F5562B" w:rsidRPr="00692C54">
              <w:rPr>
                <w:sz w:val="20"/>
              </w:rPr>
              <w:t>C</w:t>
            </w:r>
            <w:r w:rsidR="00692C54" w:rsidRPr="00692C54">
              <w:rPr>
                <w:sz w:val="20"/>
              </w:rPr>
              <w:t>H</w:t>
            </w:r>
          </w:p>
        </w:tc>
        <w:tc>
          <w:tcPr>
            <w:tcW w:w="1134" w:type="dxa"/>
          </w:tcPr>
          <w:p w14:paraId="3F4B546D" w14:textId="77777777" w:rsidR="001643B1" w:rsidRPr="00692C54" w:rsidRDefault="001643B1" w:rsidP="00343D87">
            <w:pPr>
              <w:jc w:val="both"/>
              <w:rPr>
                <w:sz w:val="20"/>
              </w:rPr>
            </w:pPr>
            <w:r w:rsidRPr="00692C54">
              <w:rPr>
                <w:sz w:val="20"/>
              </w:rPr>
              <w:t>C&amp;F</w:t>
            </w:r>
          </w:p>
        </w:tc>
        <w:tc>
          <w:tcPr>
            <w:tcW w:w="1134" w:type="dxa"/>
          </w:tcPr>
          <w:p w14:paraId="47F2AD5E" w14:textId="77777777" w:rsidR="001643B1" w:rsidRPr="00692C54" w:rsidRDefault="001643B1" w:rsidP="00343D87">
            <w:pPr>
              <w:jc w:val="both"/>
              <w:rPr>
                <w:sz w:val="20"/>
              </w:rPr>
            </w:pPr>
            <w:r w:rsidRPr="00692C54">
              <w:rPr>
                <w:sz w:val="20"/>
              </w:rPr>
              <w:t>Place</w:t>
            </w:r>
          </w:p>
        </w:tc>
        <w:tc>
          <w:tcPr>
            <w:tcW w:w="1134" w:type="dxa"/>
          </w:tcPr>
          <w:p w14:paraId="43F1CBD6" w14:textId="5DAFA56A" w:rsidR="001643B1" w:rsidRPr="00692C54" w:rsidRDefault="001643B1" w:rsidP="00343D87">
            <w:pPr>
              <w:jc w:val="both"/>
              <w:rPr>
                <w:sz w:val="20"/>
              </w:rPr>
            </w:pPr>
            <w:r w:rsidRPr="00692C54">
              <w:rPr>
                <w:sz w:val="20"/>
              </w:rPr>
              <w:t>C</w:t>
            </w:r>
            <w:r w:rsidR="00625196" w:rsidRPr="00692C54">
              <w:rPr>
                <w:sz w:val="20"/>
              </w:rPr>
              <w:t>EX</w:t>
            </w:r>
          </w:p>
        </w:tc>
      </w:tr>
      <w:tr w:rsidR="00993A18" w:rsidRPr="00993A18" w14:paraId="383808B8" w14:textId="77777777" w:rsidTr="00692C54">
        <w:tc>
          <w:tcPr>
            <w:tcW w:w="1985" w:type="dxa"/>
            <w:gridSpan w:val="2"/>
          </w:tcPr>
          <w:p w14:paraId="7444DC5C" w14:textId="45A285B8" w:rsidR="001643B1" w:rsidRPr="00692C54" w:rsidRDefault="001643B1" w:rsidP="00343D87">
            <w:pPr>
              <w:jc w:val="both"/>
              <w:rPr>
                <w:sz w:val="20"/>
              </w:rPr>
            </w:pPr>
            <w:r w:rsidRPr="00692C54">
              <w:rPr>
                <w:sz w:val="20"/>
              </w:rPr>
              <w:t>Use of research and benchmarking</w:t>
            </w:r>
          </w:p>
        </w:tc>
        <w:tc>
          <w:tcPr>
            <w:tcW w:w="1134" w:type="dxa"/>
            <w:shd w:val="clear" w:color="auto" w:fill="FFC000"/>
          </w:tcPr>
          <w:p w14:paraId="10C6B840" w14:textId="57F14C80" w:rsidR="001643B1" w:rsidRPr="00692C54" w:rsidRDefault="00692C54" w:rsidP="00343D87">
            <w:pPr>
              <w:jc w:val="both"/>
              <w:rPr>
                <w:sz w:val="16"/>
                <w:szCs w:val="16"/>
              </w:rPr>
            </w:pPr>
            <w:r w:rsidRPr="00692C54">
              <w:rPr>
                <w:sz w:val="16"/>
                <w:szCs w:val="16"/>
              </w:rPr>
              <w:t>Reasonable</w:t>
            </w:r>
          </w:p>
        </w:tc>
        <w:tc>
          <w:tcPr>
            <w:tcW w:w="1134" w:type="dxa"/>
            <w:shd w:val="clear" w:color="auto" w:fill="92D050"/>
          </w:tcPr>
          <w:p w14:paraId="3297286C" w14:textId="0D0EE442" w:rsidR="001643B1" w:rsidRPr="00692C54" w:rsidRDefault="00692B95" w:rsidP="00343D87">
            <w:pPr>
              <w:jc w:val="both"/>
              <w:rPr>
                <w:sz w:val="16"/>
                <w:szCs w:val="16"/>
              </w:rPr>
            </w:pPr>
            <w:r w:rsidRPr="00692C54">
              <w:rPr>
                <w:sz w:val="16"/>
                <w:szCs w:val="16"/>
              </w:rPr>
              <w:t>Substantial</w:t>
            </w:r>
          </w:p>
        </w:tc>
        <w:tc>
          <w:tcPr>
            <w:tcW w:w="1134" w:type="dxa"/>
            <w:shd w:val="clear" w:color="auto" w:fill="92D050"/>
          </w:tcPr>
          <w:p w14:paraId="6BF68169" w14:textId="0C3B1B57" w:rsidR="001643B1" w:rsidRPr="00692C54" w:rsidRDefault="00780933" w:rsidP="00343D87">
            <w:pPr>
              <w:jc w:val="both"/>
              <w:rPr>
                <w:sz w:val="16"/>
                <w:szCs w:val="16"/>
              </w:rPr>
            </w:pPr>
            <w:r w:rsidRPr="00692C54">
              <w:rPr>
                <w:sz w:val="16"/>
                <w:szCs w:val="16"/>
              </w:rPr>
              <w:t>Substantial</w:t>
            </w:r>
          </w:p>
        </w:tc>
        <w:tc>
          <w:tcPr>
            <w:tcW w:w="1134" w:type="dxa"/>
            <w:shd w:val="clear" w:color="auto" w:fill="92D050"/>
          </w:tcPr>
          <w:p w14:paraId="6ACF929A" w14:textId="0A650684" w:rsidR="001643B1" w:rsidRPr="00692C54" w:rsidRDefault="00780933" w:rsidP="00343D87">
            <w:pPr>
              <w:jc w:val="both"/>
              <w:rPr>
                <w:sz w:val="16"/>
                <w:szCs w:val="16"/>
              </w:rPr>
            </w:pPr>
            <w:r w:rsidRPr="00692C54">
              <w:rPr>
                <w:sz w:val="16"/>
                <w:szCs w:val="16"/>
              </w:rPr>
              <w:t>Substantial</w:t>
            </w:r>
          </w:p>
        </w:tc>
      </w:tr>
      <w:tr w:rsidR="00993A18" w:rsidRPr="00993A18" w14:paraId="6908DA94" w14:textId="77777777" w:rsidTr="00692C54">
        <w:tc>
          <w:tcPr>
            <w:tcW w:w="1985" w:type="dxa"/>
            <w:gridSpan w:val="2"/>
          </w:tcPr>
          <w:p w14:paraId="58B34E8A" w14:textId="72F3E7F4" w:rsidR="001643B1" w:rsidRPr="00692C54" w:rsidRDefault="001643B1" w:rsidP="00343D87">
            <w:pPr>
              <w:jc w:val="both"/>
              <w:rPr>
                <w:sz w:val="20"/>
              </w:rPr>
            </w:pPr>
            <w:r w:rsidRPr="00692C54">
              <w:rPr>
                <w:sz w:val="20"/>
              </w:rPr>
              <w:t>Use of partnerships and collaborations</w:t>
            </w:r>
          </w:p>
        </w:tc>
        <w:tc>
          <w:tcPr>
            <w:tcW w:w="1134" w:type="dxa"/>
            <w:shd w:val="clear" w:color="auto" w:fill="FFC000"/>
          </w:tcPr>
          <w:p w14:paraId="71D8D9D9" w14:textId="58BAE779" w:rsidR="001643B1" w:rsidRPr="00692C54" w:rsidRDefault="00692C54" w:rsidP="00343D87">
            <w:pPr>
              <w:jc w:val="both"/>
            </w:pPr>
            <w:r w:rsidRPr="00692C54">
              <w:rPr>
                <w:sz w:val="16"/>
                <w:szCs w:val="16"/>
              </w:rPr>
              <w:t>Reasonable</w:t>
            </w:r>
          </w:p>
        </w:tc>
        <w:tc>
          <w:tcPr>
            <w:tcW w:w="1134" w:type="dxa"/>
            <w:shd w:val="clear" w:color="auto" w:fill="92D050"/>
          </w:tcPr>
          <w:p w14:paraId="272A523E" w14:textId="7A4D30F8" w:rsidR="001643B1" w:rsidRPr="00692C54" w:rsidRDefault="00780933" w:rsidP="00343D87">
            <w:pPr>
              <w:jc w:val="both"/>
            </w:pPr>
            <w:r w:rsidRPr="00692C54">
              <w:rPr>
                <w:sz w:val="16"/>
                <w:szCs w:val="16"/>
              </w:rPr>
              <w:t>Substantial</w:t>
            </w:r>
          </w:p>
        </w:tc>
        <w:tc>
          <w:tcPr>
            <w:tcW w:w="1134" w:type="dxa"/>
            <w:shd w:val="clear" w:color="auto" w:fill="92D050"/>
          </w:tcPr>
          <w:p w14:paraId="1DA1EA78" w14:textId="77777777" w:rsidR="001643B1" w:rsidRPr="00692C54" w:rsidRDefault="001643B1" w:rsidP="00343D87">
            <w:pPr>
              <w:jc w:val="both"/>
            </w:pPr>
            <w:r w:rsidRPr="00692C54">
              <w:rPr>
                <w:sz w:val="16"/>
                <w:szCs w:val="16"/>
              </w:rPr>
              <w:t>Substantial</w:t>
            </w:r>
          </w:p>
        </w:tc>
        <w:tc>
          <w:tcPr>
            <w:tcW w:w="1134" w:type="dxa"/>
            <w:shd w:val="clear" w:color="auto" w:fill="92D050"/>
          </w:tcPr>
          <w:p w14:paraId="67ACBE2E" w14:textId="3EA6C17F" w:rsidR="001643B1" w:rsidRPr="00692C54" w:rsidRDefault="00770120" w:rsidP="00343D87">
            <w:pPr>
              <w:jc w:val="both"/>
            </w:pPr>
            <w:r w:rsidRPr="00692C54">
              <w:rPr>
                <w:sz w:val="16"/>
                <w:szCs w:val="16"/>
              </w:rPr>
              <w:t>Substantial</w:t>
            </w:r>
          </w:p>
        </w:tc>
      </w:tr>
      <w:tr w:rsidR="00993A18" w:rsidRPr="00993A18" w14:paraId="1528F3B2" w14:textId="77777777" w:rsidTr="00780933">
        <w:tc>
          <w:tcPr>
            <w:tcW w:w="1985" w:type="dxa"/>
            <w:gridSpan w:val="2"/>
          </w:tcPr>
          <w:p w14:paraId="5A2F01D9" w14:textId="68137108" w:rsidR="003816C4" w:rsidRPr="00692C54" w:rsidRDefault="003816C4" w:rsidP="00343D87">
            <w:pPr>
              <w:jc w:val="both"/>
              <w:rPr>
                <w:sz w:val="20"/>
              </w:rPr>
            </w:pPr>
            <w:r w:rsidRPr="00692C54">
              <w:rPr>
                <w:sz w:val="20"/>
              </w:rPr>
              <w:t>Protocols in place for partnership</w:t>
            </w:r>
          </w:p>
        </w:tc>
        <w:tc>
          <w:tcPr>
            <w:tcW w:w="1134" w:type="dxa"/>
            <w:shd w:val="clear" w:color="auto" w:fill="FF0000"/>
          </w:tcPr>
          <w:p w14:paraId="5866C8C8" w14:textId="47FC1F28" w:rsidR="003816C4" w:rsidRPr="00692C54" w:rsidRDefault="00780933" w:rsidP="00343D87">
            <w:pPr>
              <w:jc w:val="both"/>
              <w:rPr>
                <w:sz w:val="16"/>
                <w:szCs w:val="16"/>
              </w:rPr>
            </w:pPr>
            <w:r w:rsidRPr="00692C54">
              <w:rPr>
                <w:sz w:val="16"/>
                <w:szCs w:val="16"/>
              </w:rPr>
              <w:t>Limited</w:t>
            </w:r>
          </w:p>
        </w:tc>
        <w:tc>
          <w:tcPr>
            <w:tcW w:w="1134" w:type="dxa"/>
            <w:shd w:val="clear" w:color="auto" w:fill="92D050"/>
          </w:tcPr>
          <w:p w14:paraId="7A319085" w14:textId="2B84B07B" w:rsidR="003816C4" w:rsidRPr="00692C54" w:rsidRDefault="003816C4" w:rsidP="00343D87">
            <w:pPr>
              <w:jc w:val="both"/>
              <w:rPr>
                <w:sz w:val="16"/>
                <w:szCs w:val="16"/>
              </w:rPr>
            </w:pPr>
            <w:r w:rsidRPr="00692C54">
              <w:rPr>
                <w:sz w:val="16"/>
                <w:szCs w:val="16"/>
              </w:rPr>
              <w:t>Substantial</w:t>
            </w:r>
          </w:p>
        </w:tc>
        <w:tc>
          <w:tcPr>
            <w:tcW w:w="1134" w:type="dxa"/>
            <w:shd w:val="clear" w:color="auto" w:fill="92D050"/>
          </w:tcPr>
          <w:p w14:paraId="5A8245C9" w14:textId="0A5F2F4F" w:rsidR="003816C4" w:rsidRPr="00692C54" w:rsidRDefault="003816C4" w:rsidP="00343D87">
            <w:pPr>
              <w:jc w:val="both"/>
              <w:rPr>
                <w:sz w:val="16"/>
                <w:szCs w:val="16"/>
              </w:rPr>
            </w:pPr>
            <w:r w:rsidRPr="00692C54">
              <w:rPr>
                <w:sz w:val="16"/>
                <w:szCs w:val="16"/>
              </w:rPr>
              <w:t>Substantial</w:t>
            </w:r>
          </w:p>
        </w:tc>
        <w:tc>
          <w:tcPr>
            <w:tcW w:w="1134" w:type="dxa"/>
            <w:shd w:val="clear" w:color="auto" w:fill="92D050"/>
          </w:tcPr>
          <w:p w14:paraId="52BC1971" w14:textId="55794732" w:rsidR="003816C4" w:rsidRPr="00692C54" w:rsidRDefault="003816C4" w:rsidP="00343D87">
            <w:pPr>
              <w:jc w:val="both"/>
              <w:rPr>
                <w:sz w:val="16"/>
                <w:szCs w:val="16"/>
              </w:rPr>
            </w:pPr>
            <w:r w:rsidRPr="00692C54">
              <w:rPr>
                <w:sz w:val="16"/>
                <w:szCs w:val="16"/>
              </w:rPr>
              <w:t>Substantial</w:t>
            </w:r>
          </w:p>
        </w:tc>
      </w:tr>
      <w:tr w:rsidR="00993A18" w:rsidRPr="00993A18" w14:paraId="6076776C" w14:textId="77777777" w:rsidTr="001B54CD">
        <w:tc>
          <w:tcPr>
            <w:tcW w:w="1985" w:type="dxa"/>
            <w:gridSpan w:val="2"/>
          </w:tcPr>
          <w:p w14:paraId="13B640E0" w14:textId="14E8572D" w:rsidR="001643B1" w:rsidRPr="00692C54" w:rsidRDefault="001643B1" w:rsidP="00343D87">
            <w:pPr>
              <w:jc w:val="both"/>
              <w:rPr>
                <w:sz w:val="20"/>
              </w:rPr>
            </w:pPr>
            <w:r w:rsidRPr="00692C54">
              <w:rPr>
                <w:sz w:val="20"/>
              </w:rPr>
              <w:t>Compliance with financial regulations</w:t>
            </w:r>
          </w:p>
        </w:tc>
        <w:tc>
          <w:tcPr>
            <w:tcW w:w="1134" w:type="dxa"/>
            <w:shd w:val="clear" w:color="auto" w:fill="92D050"/>
          </w:tcPr>
          <w:p w14:paraId="51E3946F" w14:textId="110ABF6E" w:rsidR="001643B1" w:rsidRPr="00692C54" w:rsidRDefault="00485904" w:rsidP="00343D87">
            <w:pPr>
              <w:jc w:val="both"/>
            </w:pPr>
            <w:r w:rsidRPr="00692C54">
              <w:rPr>
                <w:sz w:val="16"/>
                <w:szCs w:val="16"/>
              </w:rPr>
              <w:t>Substantial</w:t>
            </w:r>
          </w:p>
        </w:tc>
        <w:tc>
          <w:tcPr>
            <w:tcW w:w="1134" w:type="dxa"/>
            <w:shd w:val="clear" w:color="auto" w:fill="92D050"/>
          </w:tcPr>
          <w:p w14:paraId="22C255F8" w14:textId="7F2CF985" w:rsidR="001643B1" w:rsidRPr="00692C54" w:rsidRDefault="001B54CD" w:rsidP="00343D87">
            <w:pPr>
              <w:jc w:val="both"/>
            </w:pPr>
            <w:r w:rsidRPr="00692C54">
              <w:rPr>
                <w:sz w:val="16"/>
                <w:szCs w:val="16"/>
              </w:rPr>
              <w:t>Substantial</w:t>
            </w:r>
          </w:p>
        </w:tc>
        <w:tc>
          <w:tcPr>
            <w:tcW w:w="1134" w:type="dxa"/>
            <w:shd w:val="clear" w:color="auto" w:fill="92D050"/>
          </w:tcPr>
          <w:p w14:paraId="1468D74C" w14:textId="77777777" w:rsidR="001643B1" w:rsidRPr="00692C54" w:rsidRDefault="001643B1" w:rsidP="00343D87">
            <w:pPr>
              <w:jc w:val="both"/>
            </w:pPr>
            <w:r w:rsidRPr="00692C54">
              <w:rPr>
                <w:sz w:val="16"/>
                <w:szCs w:val="16"/>
              </w:rPr>
              <w:t>Substantial</w:t>
            </w:r>
          </w:p>
        </w:tc>
        <w:tc>
          <w:tcPr>
            <w:tcW w:w="1134" w:type="dxa"/>
            <w:shd w:val="clear" w:color="auto" w:fill="92D050"/>
          </w:tcPr>
          <w:p w14:paraId="15184E09" w14:textId="77777777" w:rsidR="001643B1" w:rsidRPr="00692C54" w:rsidRDefault="001643B1" w:rsidP="00343D87">
            <w:pPr>
              <w:jc w:val="both"/>
            </w:pPr>
            <w:r w:rsidRPr="00692C54">
              <w:rPr>
                <w:sz w:val="16"/>
                <w:szCs w:val="16"/>
              </w:rPr>
              <w:t>Substantial</w:t>
            </w:r>
          </w:p>
        </w:tc>
      </w:tr>
      <w:tr w:rsidR="00993A18" w:rsidRPr="00993A18" w14:paraId="7B380786" w14:textId="77777777" w:rsidTr="00692C54">
        <w:tc>
          <w:tcPr>
            <w:tcW w:w="1985" w:type="dxa"/>
            <w:gridSpan w:val="2"/>
          </w:tcPr>
          <w:p w14:paraId="3BD0675D" w14:textId="2490DFAE" w:rsidR="001643B1" w:rsidRPr="00692C54" w:rsidRDefault="001643B1" w:rsidP="00343D87">
            <w:pPr>
              <w:jc w:val="both"/>
              <w:rPr>
                <w:sz w:val="20"/>
              </w:rPr>
            </w:pPr>
            <w:r w:rsidRPr="00692C54">
              <w:rPr>
                <w:sz w:val="20"/>
              </w:rPr>
              <w:t xml:space="preserve">Staff induction </w:t>
            </w:r>
          </w:p>
        </w:tc>
        <w:tc>
          <w:tcPr>
            <w:tcW w:w="1134" w:type="dxa"/>
            <w:shd w:val="clear" w:color="auto" w:fill="92D050"/>
          </w:tcPr>
          <w:p w14:paraId="451A41A9" w14:textId="6789B3A8" w:rsidR="001643B1" w:rsidRPr="00692C54" w:rsidRDefault="001F7911" w:rsidP="00343D87">
            <w:pPr>
              <w:jc w:val="both"/>
            </w:pPr>
            <w:r w:rsidRPr="00692C54">
              <w:rPr>
                <w:sz w:val="16"/>
                <w:szCs w:val="16"/>
              </w:rPr>
              <w:t>Substantial</w:t>
            </w:r>
          </w:p>
        </w:tc>
        <w:tc>
          <w:tcPr>
            <w:tcW w:w="1134" w:type="dxa"/>
            <w:shd w:val="clear" w:color="auto" w:fill="FFC000"/>
          </w:tcPr>
          <w:p w14:paraId="1B55D94C" w14:textId="36859DAD" w:rsidR="001643B1" w:rsidRPr="00692C54" w:rsidRDefault="00692C54" w:rsidP="00343D87">
            <w:pPr>
              <w:jc w:val="both"/>
            </w:pPr>
            <w:r w:rsidRPr="00692C54">
              <w:rPr>
                <w:sz w:val="16"/>
                <w:szCs w:val="16"/>
              </w:rPr>
              <w:t>Reasonable</w:t>
            </w:r>
          </w:p>
        </w:tc>
        <w:tc>
          <w:tcPr>
            <w:tcW w:w="1134" w:type="dxa"/>
            <w:shd w:val="clear" w:color="auto" w:fill="92D050"/>
          </w:tcPr>
          <w:p w14:paraId="477DF779" w14:textId="79B01122" w:rsidR="001643B1" w:rsidRPr="00692C54" w:rsidRDefault="001643B1" w:rsidP="00343D87">
            <w:pPr>
              <w:jc w:val="both"/>
            </w:pPr>
            <w:r w:rsidRPr="00692C54">
              <w:rPr>
                <w:sz w:val="16"/>
                <w:szCs w:val="16"/>
              </w:rPr>
              <w:t>Substantial</w:t>
            </w:r>
          </w:p>
        </w:tc>
        <w:tc>
          <w:tcPr>
            <w:tcW w:w="1134" w:type="dxa"/>
            <w:shd w:val="clear" w:color="auto" w:fill="92D050"/>
          </w:tcPr>
          <w:p w14:paraId="468BC602" w14:textId="64BE9061" w:rsidR="001643B1" w:rsidRPr="00692C54" w:rsidRDefault="00780933" w:rsidP="00343D87">
            <w:pPr>
              <w:jc w:val="both"/>
            </w:pPr>
            <w:r w:rsidRPr="00692C54">
              <w:rPr>
                <w:sz w:val="16"/>
                <w:szCs w:val="16"/>
              </w:rPr>
              <w:t>Substantial</w:t>
            </w:r>
          </w:p>
        </w:tc>
      </w:tr>
      <w:tr w:rsidR="00993A18" w:rsidRPr="00993A18" w14:paraId="2ECB0287" w14:textId="77777777" w:rsidTr="00236C84">
        <w:tc>
          <w:tcPr>
            <w:tcW w:w="1985" w:type="dxa"/>
            <w:gridSpan w:val="2"/>
          </w:tcPr>
          <w:p w14:paraId="40C4F26B" w14:textId="022DAA35" w:rsidR="003816C4" w:rsidRPr="00692C54" w:rsidRDefault="003816C4" w:rsidP="00343D87">
            <w:pPr>
              <w:jc w:val="both"/>
              <w:rPr>
                <w:sz w:val="20"/>
              </w:rPr>
            </w:pPr>
            <w:r w:rsidRPr="00692C54">
              <w:rPr>
                <w:sz w:val="20"/>
              </w:rPr>
              <w:t>Regular &amp; effective EDPR’s</w:t>
            </w:r>
          </w:p>
        </w:tc>
        <w:tc>
          <w:tcPr>
            <w:tcW w:w="1134" w:type="dxa"/>
            <w:shd w:val="clear" w:color="auto" w:fill="FFC000"/>
          </w:tcPr>
          <w:p w14:paraId="5E94C9B6" w14:textId="0DF74869" w:rsidR="003816C4" w:rsidRPr="00692C54" w:rsidRDefault="003816C4" w:rsidP="00343D87">
            <w:pPr>
              <w:jc w:val="both"/>
              <w:rPr>
                <w:sz w:val="16"/>
                <w:szCs w:val="16"/>
              </w:rPr>
            </w:pPr>
            <w:r w:rsidRPr="00692C54">
              <w:rPr>
                <w:sz w:val="16"/>
                <w:szCs w:val="16"/>
              </w:rPr>
              <w:t>Reasonable</w:t>
            </w:r>
          </w:p>
        </w:tc>
        <w:tc>
          <w:tcPr>
            <w:tcW w:w="1134" w:type="dxa"/>
            <w:shd w:val="clear" w:color="auto" w:fill="FFC000" w:themeFill="accent4"/>
          </w:tcPr>
          <w:p w14:paraId="0D0B38F7" w14:textId="0AC28D61" w:rsidR="003816C4" w:rsidRPr="00692C54" w:rsidRDefault="00236C84" w:rsidP="00343D87">
            <w:pPr>
              <w:jc w:val="both"/>
              <w:rPr>
                <w:sz w:val="16"/>
                <w:szCs w:val="16"/>
              </w:rPr>
            </w:pPr>
            <w:r w:rsidRPr="00692C54">
              <w:rPr>
                <w:sz w:val="16"/>
                <w:szCs w:val="16"/>
              </w:rPr>
              <w:t>Reasonable</w:t>
            </w:r>
          </w:p>
        </w:tc>
        <w:tc>
          <w:tcPr>
            <w:tcW w:w="1134" w:type="dxa"/>
            <w:shd w:val="clear" w:color="auto" w:fill="FFC000"/>
          </w:tcPr>
          <w:p w14:paraId="02951A26" w14:textId="3066D344" w:rsidR="003816C4" w:rsidRPr="00692C54" w:rsidRDefault="003816C4" w:rsidP="00343D87">
            <w:pPr>
              <w:jc w:val="both"/>
              <w:rPr>
                <w:sz w:val="16"/>
                <w:szCs w:val="16"/>
              </w:rPr>
            </w:pPr>
            <w:r w:rsidRPr="00692C54">
              <w:rPr>
                <w:sz w:val="16"/>
                <w:szCs w:val="16"/>
              </w:rPr>
              <w:t>Reasonable</w:t>
            </w:r>
          </w:p>
        </w:tc>
        <w:tc>
          <w:tcPr>
            <w:tcW w:w="1134" w:type="dxa"/>
            <w:shd w:val="clear" w:color="auto" w:fill="FFC000"/>
          </w:tcPr>
          <w:p w14:paraId="2D18E30C" w14:textId="2F9ADF1F" w:rsidR="003816C4" w:rsidRPr="00692C54" w:rsidRDefault="003816C4" w:rsidP="00343D87">
            <w:pPr>
              <w:jc w:val="both"/>
              <w:rPr>
                <w:sz w:val="16"/>
                <w:szCs w:val="16"/>
              </w:rPr>
            </w:pPr>
            <w:r w:rsidRPr="00692C54">
              <w:rPr>
                <w:sz w:val="16"/>
                <w:szCs w:val="16"/>
              </w:rPr>
              <w:t>Reasonable</w:t>
            </w:r>
          </w:p>
        </w:tc>
      </w:tr>
    </w:tbl>
    <w:p w14:paraId="2F85A6DA" w14:textId="24F5F4B6" w:rsidR="001643B1" w:rsidRPr="00A21221" w:rsidRDefault="001643B1" w:rsidP="00343D87">
      <w:pPr>
        <w:jc w:val="both"/>
      </w:pPr>
    </w:p>
    <w:p w14:paraId="519C92E1" w14:textId="3E1D8DA9" w:rsidR="00937AF0" w:rsidRPr="00F5562B" w:rsidRDefault="00937AF0" w:rsidP="00343D87">
      <w:pPr>
        <w:jc w:val="both"/>
        <w:rPr>
          <w:b/>
          <w:bCs/>
          <w:sz w:val="28"/>
          <w:szCs w:val="28"/>
        </w:rPr>
      </w:pPr>
      <w:r w:rsidRPr="00F5562B">
        <w:rPr>
          <w:b/>
          <w:bCs/>
          <w:sz w:val="28"/>
          <w:szCs w:val="28"/>
        </w:rPr>
        <w:t>Improvements &amp; developments during 202</w:t>
      </w:r>
      <w:r w:rsidR="00993A18">
        <w:rPr>
          <w:b/>
          <w:bCs/>
          <w:sz w:val="28"/>
          <w:szCs w:val="28"/>
        </w:rPr>
        <w:t>5/26</w:t>
      </w:r>
    </w:p>
    <w:p w14:paraId="2A844A1B" w14:textId="77777777" w:rsidR="0088532B" w:rsidRPr="00692C54" w:rsidRDefault="0088532B" w:rsidP="00343D87">
      <w:pPr>
        <w:jc w:val="both"/>
        <w:rPr>
          <w:sz w:val="22"/>
          <w:szCs w:val="22"/>
          <w:highlight w:val="yellow"/>
        </w:rPr>
      </w:pPr>
    </w:p>
    <w:p w14:paraId="2FF014B8" w14:textId="3E5FD7E9" w:rsidR="0088532B" w:rsidRPr="00692C54" w:rsidRDefault="00692C54" w:rsidP="00343D87">
      <w:pPr>
        <w:jc w:val="both"/>
        <w:rPr>
          <w:sz w:val="22"/>
          <w:szCs w:val="22"/>
        </w:rPr>
      </w:pPr>
      <w:r w:rsidRPr="00692C54">
        <w:rPr>
          <w:sz w:val="22"/>
          <w:szCs w:val="22"/>
        </w:rPr>
        <w:t xml:space="preserve">Improvements in the </w:t>
      </w:r>
      <w:r w:rsidR="0088532B" w:rsidRPr="00692C54">
        <w:rPr>
          <w:sz w:val="22"/>
          <w:szCs w:val="22"/>
        </w:rPr>
        <w:t xml:space="preserve">assurance </w:t>
      </w:r>
      <w:r w:rsidR="00591D22" w:rsidRPr="00692C54">
        <w:rPr>
          <w:sz w:val="22"/>
          <w:szCs w:val="22"/>
        </w:rPr>
        <w:t>from the Executive Director – ASC</w:t>
      </w:r>
      <w:r w:rsidRPr="00692C54">
        <w:rPr>
          <w:sz w:val="22"/>
          <w:szCs w:val="22"/>
        </w:rPr>
        <w:t>H</w:t>
      </w:r>
      <w:r w:rsidR="00591D22" w:rsidRPr="00692C54">
        <w:rPr>
          <w:sz w:val="22"/>
          <w:szCs w:val="22"/>
        </w:rPr>
        <w:t xml:space="preserve">, </w:t>
      </w:r>
      <w:r w:rsidR="0088532B" w:rsidRPr="00692C54">
        <w:rPr>
          <w:sz w:val="22"/>
          <w:szCs w:val="22"/>
        </w:rPr>
        <w:t>regarding partnerships and protocols</w:t>
      </w:r>
      <w:r w:rsidR="00591D22" w:rsidRPr="00692C54">
        <w:rPr>
          <w:sz w:val="22"/>
          <w:szCs w:val="22"/>
        </w:rPr>
        <w:t>,</w:t>
      </w:r>
      <w:r w:rsidR="0088532B" w:rsidRPr="00692C54">
        <w:rPr>
          <w:sz w:val="22"/>
          <w:szCs w:val="22"/>
        </w:rPr>
        <w:t xml:space="preserve"> </w:t>
      </w:r>
      <w:r w:rsidRPr="00692C54">
        <w:rPr>
          <w:sz w:val="22"/>
          <w:szCs w:val="22"/>
        </w:rPr>
        <w:t xml:space="preserve">is </w:t>
      </w:r>
      <w:r w:rsidR="0088532B" w:rsidRPr="00692C54">
        <w:rPr>
          <w:sz w:val="22"/>
          <w:szCs w:val="22"/>
        </w:rPr>
        <w:t xml:space="preserve">noted due to </w:t>
      </w:r>
      <w:r w:rsidR="00591D22" w:rsidRPr="00692C54">
        <w:rPr>
          <w:sz w:val="22"/>
          <w:szCs w:val="22"/>
        </w:rPr>
        <w:t xml:space="preserve">changes implemented </w:t>
      </w:r>
      <w:r w:rsidRPr="00692C54">
        <w:rPr>
          <w:sz w:val="22"/>
          <w:szCs w:val="22"/>
        </w:rPr>
        <w:t xml:space="preserve">with the </w:t>
      </w:r>
      <w:r w:rsidR="00591D22" w:rsidRPr="00692C54">
        <w:rPr>
          <w:sz w:val="22"/>
          <w:szCs w:val="22"/>
        </w:rPr>
        <w:t xml:space="preserve">ICB. </w:t>
      </w:r>
      <w:r w:rsidRPr="00692C54">
        <w:rPr>
          <w:sz w:val="22"/>
          <w:szCs w:val="22"/>
        </w:rPr>
        <w:t>Work continues to develop the partnership protocols in operation across the Council and especially with the ICB.</w:t>
      </w:r>
    </w:p>
    <w:p w14:paraId="4308CA73" w14:textId="77777777" w:rsidR="0088532B" w:rsidRPr="00FB549A" w:rsidRDefault="0088532B" w:rsidP="00343D87">
      <w:pPr>
        <w:jc w:val="both"/>
        <w:rPr>
          <w:sz w:val="22"/>
          <w:szCs w:val="22"/>
        </w:rPr>
      </w:pPr>
    </w:p>
    <w:p w14:paraId="7EC1780F" w14:textId="6F58492E" w:rsidR="00FF00B1" w:rsidRPr="00FF00B1" w:rsidRDefault="0008079E" w:rsidP="00FF00B1">
      <w:pPr>
        <w:jc w:val="both"/>
        <w:rPr>
          <w:sz w:val="22"/>
          <w:szCs w:val="22"/>
        </w:rPr>
      </w:pPr>
      <w:r w:rsidRPr="00FB549A">
        <w:rPr>
          <w:sz w:val="22"/>
          <w:szCs w:val="22"/>
        </w:rPr>
        <w:t>The Council’s People Strategy 2022-2026 was approved by Personnel Committee in January 2022 and featured the development of annual action plans to support delivery</w:t>
      </w:r>
      <w:r w:rsidR="00172569" w:rsidRPr="00FB549A">
        <w:rPr>
          <w:sz w:val="22"/>
          <w:szCs w:val="22"/>
        </w:rPr>
        <w:t xml:space="preserve"> </w:t>
      </w:r>
      <w:r w:rsidRPr="00FB549A">
        <w:rPr>
          <w:sz w:val="22"/>
          <w:szCs w:val="22"/>
        </w:rPr>
        <w:t>of the workforce aspects of the Nottinghamshire Plan.</w:t>
      </w:r>
      <w:r w:rsidR="00FF00B1" w:rsidRPr="00FB549A">
        <w:rPr>
          <w:sz w:val="22"/>
          <w:szCs w:val="22"/>
        </w:rPr>
        <w:t xml:space="preserve"> A </w:t>
      </w:r>
      <w:r w:rsidR="00FF00B1" w:rsidRPr="00FF00B1">
        <w:rPr>
          <w:sz w:val="22"/>
          <w:szCs w:val="22"/>
        </w:rPr>
        <w:t xml:space="preserve">revised version is being developed to </w:t>
      </w:r>
      <w:r w:rsidR="00FF00B1" w:rsidRPr="00FF00B1">
        <w:rPr>
          <w:sz w:val="22"/>
          <w:szCs w:val="22"/>
        </w:rPr>
        <w:t xml:space="preserve">take us through to LGR with the timescale of 2026-28 which will be reviewed by all areas of the business through the forward looking and resilient council board. </w:t>
      </w:r>
    </w:p>
    <w:p w14:paraId="5F27E357" w14:textId="77777777" w:rsidR="00FF00B1" w:rsidRPr="00FF00B1" w:rsidRDefault="00FF00B1" w:rsidP="00FF00B1">
      <w:pPr>
        <w:jc w:val="both"/>
        <w:rPr>
          <w:sz w:val="22"/>
          <w:szCs w:val="22"/>
        </w:rPr>
      </w:pPr>
    </w:p>
    <w:p w14:paraId="18495F3E" w14:textId="0B815BF4" w:rsidR="00FF00B1" w:rsidRPr="00FF00B1" w:rsidRDefault="00FF00B1" w:rsidP="00FF00B1">
      <w:pPr>
        <w:jc w:val="both"/>
        <w:rPr>
          <w:sz w:val="22"/>
          <w:szCs w:val="22"/>
        </w:rPr>
      </w:pPr>
      <w:r w:rsidRPr="00FF00B1">
        <w:rPr>
          <w:sz w:val="22"/>
          <w:szCs w:val="22"/>
        </w:rPr>
        <w:t xml:space="preserve">A resourcing strategy is in place with a comprehensive delivery plan to ensure that the Council has an affordable, sustainable workforce with the knowledge and skills it requires now and for the future. This has resulted in some successful outcomes over the past three years and a reduction in the level of risk as a result. </w:t>
      </w:r>
      <w:proofErr w:type="gramStart"/>
      <w:r w:rsidRPr="00FF00B1">
        <w:rPr>
          <w:sz w:val="22"/>
          <w:szCs w:val="22"/>
        </w:rPr>
        <w:t>In particular over</w:t>
      </w:r>
      <w:proofErr w:type="gramEnd"/>
      <w:r w:rsidRPr="00FF00B1">
        <w:rPr>
          <w:sz w:val="22"/>
          <w:szCs w:val="22"/>
        </w:rPr>
        <w:t xml:space="preserve"> the past 12 months </w:t>
      </w:r>
      <w:r w:rsidR="00FB549A">
        <w:rPr>
          <w:sz w:val="22"/>
          <w:szCs w:val="22"/>
        </w:rPr>
        <w:t xml:space="preserve">the Council </w:t>
      </w:r>
      <w:r w:rsidRPr="00FF00B1">
        <w:rPr>
          <w:sz w:val="22"/>
          <w:szCs w:val="22"/>
        </w:rPr>
        <w:t xml:space="preserve">has reduced our agency spend by £3million. </w:t>
      </w:r>
    </w:p>
    <w:p w14:paraId="51D790CF" w14:textId="77777777" w:rsidR="00FF00B1" w:rsidRPr="00FF00B1" w:rsidRDefault="00FF00B1" w:rsidP="00FF00B1">
      <w:pPr>
        <w:jc w:val="both"/>
        <w:rPr>
          <w:sz w:val="22"/>
          <w:szCs w:val="22"/>
        </w:rPr>
      </w:pPr>
      <w:r w:rsidRPr="00FF00B1">
        <w:rPr>
          <w:sz w:val="22"/>
          <w:szCs w:val="22"/>
        </w:rPr>
        <w:t xml:space="preserve"> </w:t>
      </w:r>
    </w:p>
    <w:p w14:paraId="55DB3362" w14:textId="77777777" w:rsidR="00FF00B1" w:rsidRPr="00FF00B1" w:rsidRDefault="00FF00B1" w:rsidP="00FF00B1">
      <w:pPr>
        <w:jc w:val="both"/>
        <w:rPr>
          <w:sz w:val="22"/>
          <w:szCs w:val="22"/>
        </w:rPr>
      </w:pPr>
      <w:r w:rsidRPr="00FF00B1">
        <w:rPr>
          <w:sz w:val="22"/>
          <w:szCs w:val="22"/>
        </w:rPr>
        <w:t xml:space="preserve">Workforce planning continues to be rolled out across the Council focusing on a range of tools such as career paths and succession planning. This work is developing across the public sector to ensure a system wide approach. This work compliments several pathways into and through employment such as our wide range of apprenticeship programmes and SEND internships as an example. All business plans now include a comprehensive set of questions to inform workforce planning. </w:t>
      </w:r>
    </w:p>
    <w:p w14:paraId="554F1CCE" w14:textId="77777777" w:rsidR="00FF00B1" w:rsidRPr="00FF00B1" w:rsidRDefault="00FF00B1" w:rsidP="00FF00B1">
      <w:pPr>
        <w:jc w:val="both"/>
        <w:rPr>
          <w:sz w:val="22"/>
          <w:szCs w:val="22"/>
        </w:rPr>
      </w:pPr>
    </w:p>
    <w:p w14:paraId="5710DB62" w14:textId="67D254D8" w:rsidR="00FF00B1" w:rsidRPr="00FF00B1" w:rsidRDefault="00FF00B1" w:rsidP="00FF00B1">
      <w:pPr>
        <w:jc w:val="both"/>
        <w:rPr>
          <w:sz w:val="22"/>
          <w:szCs w:val="22"/>
        </w:rPr>
      </w:pPr>
      <w:r w:rsidRPr="00FF00B1">
        <w:rPr>
          <w:sz w:val="22"/>
          <w:szCs w:val="22"/>
        </w:rPr>
        <w:t xml:space="preserve">Our peer review identified some core skills </w:t>
      </w:r>
      <w:r w:rsidR="003A7225" w:rsidRPr="00FF00B1">
        <w:rPr>
          <w:sz w:val="22"/>
          <w:szCs w:val="22"/>
        </w:rPr>
        <w:t>gaps,</w:t>
      </w:r>
      <w:r w:rsidRPr="00FF00B1">
        <w:rPr>
          <w:sz w:val="22"/>
          <w:szCs w:val="22"/>
        </w:rPr>
        <w:t xml:space="preserve"> and we are currently developing some programmes of developments to meet these starting with a digital skills offer. </w:t>
      </w:r>
    </w:p>
    <w:p w14:paraId="3CBD228E" w14:textId="77777777" w:rsidR="00FF00B1" w:rsidRPr="00FF00B1" w:rsidRDefault="00FF00B1" w:rsidP="00FF00B1">
      <w:pPr>
        <w:jc w:val="both"/>
      </w:pPr>
    </w:p>
    <w:p w14:paraId="3EE38744" w14:textId="77777777" w:rsidR="00FF00B1" w:rsidRPr="00FF00B1" w:rsidRDefault="00FF00B1" w:rsidP="00FF00B1">
      <w:pPr>
        <w:jc w:val="both"/>
        <w:rPr>
          <w:sz w:val="22"/>
          <w:szCs w:val="22"/>
        </w:rPr>
      </w:pPr>
      <w:r w:rsidRPr="00FF00B1">
        <w:rPr>
          <w:sz w:val="22"/>
          <w:szCs w:val="22"/>
        </w:rPr>
        <w:t xml:space="preserve">We have a comprehensive Occupational Health and counselling offer to support the wellbeing of our staff. This includes a range of mental health tools such as a mental health OH Nurse, stress toolkit and a range of resilience and mental health awareness tools and training. These are seeing some positive results. </w:t>
      </w:r>
    </w:p>
    <w:p w14:paraId="069D286E" w14:textId="39C901D6" w:rsidR="0008079E" w:rsidRPr="00993A18" w:rsidRDefault="0008079E" w:rsidP="00343D87">
      <w:pPr>
        <w:jc w:val="both"/>
        <w:rPr>
          <w:color w:val="FF0000"/>
          <w:sz w:val="22"/>
          <w:szCs w:val="22"/>
        </w:rPr>
      </w:pPr>
    </w:p>
    <w:p w14:paraId="240DBCF5" w14:textId="77777777" w:rsidR="006A1DC8" w:rsidRPr="00993A18" w:rsidRDefault="006A1DC8" w:rsidP="00343D87">
      <w:pPr>
        <w:jc w:val="both"/>
        <w:rPr>
          <w:color w:val="FF0000"/>
          <w:sz w:val="22"/>
          <w:szCs w:val="22"/>
        </w:rPr>
      </w:pPr>
    </w:p>
    <w:p w14:paraId="3E16B7AE" w14:textId="08568E61" w:rsidR="006A1DC8" w:rsidRPr="00FB549A" w:rsidRDefault="006A1DC8" w:rsidP="00343D87">
      <w:pPr>
        <w:jc w:val="both"/>
        <w:rPr>
          <w:sz w:val="22"/>
          <w:szCs w:val="22"/>
        </w:rPr>
      </w:pPr>
      <w:r w:rsidRPr="00FB549A">
        <w:rPr>
          <w:sz w:val="22"/>
          <w:szCs w:val="22"/>
        </w:rPr>
        <w:lastRenderedPageBreak/>
        <w:t xml:space="preserve">We work hard to be an inclusive employer and uphold our </w:t>
      </w:r>
      <w:r w:rsidR="00D75F4E" w:rsidRPr="00FB549A">
        <w:rPr>
          <w:sz w:val="22"/>
          <w:szCs w:val="22"/>
        </w:rPr>
        <w:t xml:space="preserve">Public Sector </w:t>
      </w:r>
      <w:r w:rsidRPr="00FB549A">
        <w:rPr>
          <w:sz w:val="22"/>
          <w:szCs w:val="22"/>
        </w:rPr>
        <w:t xml:space="preserve">Equality Duty. Amongst a range of </w:t>
      </w:r>
      <w:r w:rsidR="00B35D80" w:rsidRPr="00FB549A">
        <w:rPr>
          <w:sz w:val="22"/>
          <w:szCs w:val="22"/>
        </w:rPr>
        <w:t>work,</w:t>
      </w:r>
      <w:r w:rsidRPr="00FB549A">
        <w:rPr>
          <w:sz w:val="22"/>
          <w:szCs w:val="22"/>
        </w:rPr>
        <w:t xml:space="preserve"> we are proud to have achieved the Disability Confident Leader for the next three years. </w:t>
      </w:r>
    </w:p>
    <w:p w14:paraId="08915C4A" w14:textId="77777777" w:rsidR="006A1DC8" w:rsidRPr="00FB549A" w:rsidRDefault="006A1DC8" w:rsidP="00343D87">
      <w:pPr>
        <w:jc w:val="both"/>
        <w:rPr>
          <w:sz w:val="22"/>
          <w:szCs w:val="22"/>
        </w:rPr>
      </w:pPr>
    </w:p>
    <w:p w14:paraId="4B8E40B3" w14:textId="77777777" w:rsidR="006A1DC8" w:rsidRPr="00FB549A" w:rsidRDefault="006A1DC8" w:rsidP="00343D87">
      <w:pPr>
        <w:jc w:val="both"/>
        <w:rPr>
          <w:b/>
          <w:bCs/>
          <w:sz w:val="28"/>
          <w:szCs w:val="28"/>
        </w:rPr>
      </w:pPr>
      <w:r w:rsidRPr="00FB549A">
        <w:rPr>
          <w:b/>
          <w:bCs/>
          <w:sz w:val="28"/>
          <w:szCs w:val="28"/>
        </w:rPr>
        <w:t>Gaps and challenges</w:t>
      </w:r>
    </w:p>
    <w:p w14:paraId="2B54E740" w14:textId="77777777" w:rsidR="006A1DC8" w:rsidRPr="00FB549A" w:rsidRDefault="006A1DC8" w:rsidP="00343D87">
      <w:pPr>
        <w:jc w:val="both"/>
        <w:rPr>
          <w:sz w:val="22"/>
          <w:szCs w:val="22"/>
        </w:rPr>
      </w:pPr>
      <w:r w:rsidRPr="00FB549A">
        <w:rPr>
          <w:sz w:val="22"/>
          <w:szCs w:val="22"/>
        </w:rPr>
        <w:t>Executive Directors views on the levels of assurance and work undertaken to develop capacity and capability provide a reasonable level of assurance for this year’s statement. To strengthen the assurance level that can be provided work will continue to identify and put flexible plans in place to address the key recruitment, retention, resourcing and capacity challenges faced by the Council now and for the foreseeable future.</w:t>
      </w:r>
    </w:p>
    <w:p w14:paraId="73383C04" w14:textId="77777777" w:rsidR="006A1DC8" w:rsidRPr="00FB549A" w:rsidRDefault="006A1DC8" w:rsidP="00343D87">
      <w:pPr>
        <w:jc w:val="both"/>
      </w:pPr>
    </w:p>
    <w:p w14:paraId="4F636761" w14:textId="13A2979C" w:rsidR="006A1DC8" w:rsidRPr="00FB549A" w:rsidRDefault="000030F1" w:rsidP="00343D87">
      <w:pPr>
        <w:jc w:val="both"/>
        <w:rPr>
          <w:b/>
          <w:bCs/>
          <w:sz w:val="28"/>
          <w:szCs w:val="28"/>
        </w:rPr>
      </w:pPr>
      <w:r w:rsidRPr="00FB549A">
        <w:rPr>
          <w:b/>
          <w:bCs/>
          <w:sz w:val="28"/>
          <w:szCs w:val="28"/>
        </w:rPr>
        <w:t xml:space="preserve">Current Key </w:t>
      </w:r>
      <w:r w:rsidR="006A1DC8" w:rsidRPr="00FB549A">
        <w:rPr>
          <w:b/>
          <w:bCs/>
          <w:sz w:val="28"/>
          <w:szCs w:val="28"/>
        </w:rPr>
        <w:t>Focus for 202</w:t>
      </w:r>
      <w:r w:rsidR="00993A18" w:rsidRPr="00FB549A">
        <w:rPr>
          <w:b/>
          <w:bCs/>
          <w:sz w:val="28"/>
          <w:szCs w:val="28"/>
        </w:rPr>
        <w:t>6/27</w:t>
      </w:r>
    </w:p>
    <w:p w14:paraId="20706511" w14:textId="5068A542" w:rsidR="00591D22" w:rsidRPr="00FB549A" w:rsidRDefault="00591D22" w:rsidP="00343D87">
      <w:pPr>
        <w:jc w:val="both"/>
        <w:rPr>
          <w:b/>
          <w:bCs/>
          <w:sz w:val="28"/>
          <w:szCs w:val="28"/>
        </w:rPr>
      </w:pPr>
    </w:p>
    <w:p w14:paraId="19A03253" w14:textId="72DD57C1" w:rsidR="00F5562B" w:rsidRPr="00FB549A" w:rsidRDefault="00F5562B" w:rsidP="00343D87">
      <w:pPr>
        <w:jc w:val="both"/>
        <w:rPr>
          <w:sz w:val="22"/>
          <w:szCs w:val="22"/>
        </w:rPr>
      </w:pPr>
      <w:r w:rsidRPr="00FB549A">
        <w:rPr>
          <w:sz w:val="22"/>
          <w:szCs w:val="22"/>
        </w:rPr>
        <w:t>The programme of work within Adult Social will continue to address the challenges identified in relation to changes implemented by the ICB. The implementation of the Adult Social Care Redesign and the new operating model for Community Social Work and Occupational Therapy will form the basis of a refreshed and consistent approach to assessment, practice and financial scrutiny and authorisation. </w:t>
      </w:r>
    </w:p>
    <w:p w14:paraId="63BEE1E7" w14:textId="77777777" w:rsidR="00F5562B" w:rsidRPr="00FB549A" w:rsidRDefault="00F5562B" w:rsidP="00343D87">
      <w:pPr>
        <w:jc w:val="both"/>
        <w:rPr>
          <w:sz w:val="22"/>
          <w:szCs w:val="22"/>
        </w:rPr>
      </w:pPr>
    </w:p>
    <w:p w14:paraId="3381CCE1" w14:textId="576A7AE2" w:rsidR="006A1DC8" w:rsidRPr="00FB549A" w:rsidRDefault="006A1DC8" w:rsidP="00343D87">
      <w:pPr>
        <w:jc w:val="both"/>
        <w:rPr>
          <w:sz w:val="22"/>
          <w:szCs w:val="22"/>
        </w:rPr>
      </w:pPr>
      <w:r w:rsidRPr="00FB549A">
        <w:rPr>
          <w:sz w:val="22"/>
          <w:szCs w:val="22"/>
        </w:rPr>
        <w:t xml:space="preserve">Further implementation of the resourcing strategy and delivery plan. Some key elements of this will be delivery of an Employee Value Proposition, strengthened communications and engagement, a recognition scheme, embedding of the new Employee Performance Development Framework (EPDR), and recruitment training for managers. This will be supported by continued and wider roll out of new Workforce Planning tools and embedding this approach within the Service Planning process to identify potential issues at an early stage and work collaboratively to develop and implement solutions </w:t>
      </w:r>
      <w:r w:rsidRPr="00FB549A">
        <w:rPr>
          <w:sz w:val="22"/>
          <w:szCs w:val="22"/>
        </w:rPr>
        <w:t>across the Council. Managers will be supported to use our career path and succession planning tools.</w:t>
      </w:r>
    </w:p>
    <w:p w14:paraId="13D854E5" w14:textId="77777777" w:rsidR="00FB549A" w:rsidRPr="00FB549A" w:rsidRDefault="00FB549A" w:rsidP="00343D87">
      <w:pPr>
        <w:jc w:val="both"/>
        <w:rPr>
          <w:sz w:val="22"/>
          <w:szCs w:val="22"/>
        </w:rPr>
      </w:pPr>
    </w:p>
    <w:p w14:paraId="4BD96A82" w14:textId="77777777" w:rsidR="00FB549A" w:rsidRPr="00FB549A" w:rsidRDefault="00FB549A" w:rsidP="00FB549A">
      <w:pPr>
        <w:jc w:val="both"/>
        <w:rPr>
          <w:sz w:val="22"/>
          <w:szCs w:val="22"/>
        </w:rPr>
      </w:pPr>
      <w:r w:rsidRPr="00FB549A">
        <w:rPr>
          <w:sz w:val="22"/>
          <w:szCs w:val="22"/>
        </w:rPr>
        <w:t>A Workforce Development Board is being put in place to provide organisation-wide strategic leadership, co-ordination and assurance for workforce development, learning and organisational capability to ensure that the Council has a skilled resilient, inclusive and future -ready workforce. This will align our workforce with corporate priorities and transformation programmes, statutory and regulatory requirements, medium to long term workforce and financial planning and current and future service demand</w:t>
      </w:r>
    </w:p>
    <w:p w14:paraId="6C747C82" w14:textId="77777777" w:rsidR="00FB549A" w:rsidRPr="00FB549A" w:rsidRDefault="00FB549A" w:rsidP="00343D87">
      <w:pPr>
        <w:jc w:val="both"/>
        <w:rPr>
          <w:sz w:val="22"/>
          <w:szCs w:val="22"/>
        </w:rPr>
      </w:pPr>
    </w:p>
    <w:p w14:paraId="159DA902" w14:textId="77777777" w:rsidR="006A1DC8" w:rsidRPr="00FB549A" w:rsidRDefault="006A1DC8" w:rsidP="00343D87">
      <w:pPr>
        <w:jc w:val="both"/>
        <w:rPr>
          <w:sz w:val="22"/>
          <w:szCs w:val="22"/>
        </w:rPr>
      </w:pPr>
    </w:p>
    <w:p w14:paraId="5C698053" w14:textId="77777777" w:rsidR="006A1DC8" w:rsidRPr="00FB549A" w:rsidRDefault="006A1DC8" w:rsidP="00343D87">
      <w:pPr>
        <w:jc w:val="both"/>
        <w:rPr>
          <w:sz w:val="22"/>
          <w:szCs w:val="22"/>
        </w:rPr>
      </w:pPr>
      <w:r w:rsidRPr="00FB549A">
        <w:rPr>
          <w:sz w:val="22"/>
          <w:szCs w:val="22"/>
        </w:rPr>
        <w:t xml:space="preserve">Work will continue to support the health and wellbeing of our employees through our package of support and use data and insights to ensure the offer is aligned to identified needs.  </w:t>
      </w:r>
    </w:p>
    <w:p w14:paraId="566CDEBF" w14:textId="77777777" w:rsidR="006A1DC8" w:rsidRDefault="006A1DC8" w:rsidP="006A1DC8">
      <w:pPr>
        <w:rPr>
          <w:color w:val="FF0000"/>
        </w:rPr>
      </w:pPr>
    </w:p>
    <w:p w14:paraId="29AA2320" w14:textId="77777777" w:rsidR="006A1DC8" w:rsidRDefault="006A1DC8" w:rsidP="006A1DC8">
      <w:pPr>
        <w:rPr>
          <w:color w:val="FF0000"/>
        </w:rPr>
      </w:pPr>
    </w:p>
    <w:p w14:paraId="71369DBF" w14:textId="2C48E746" w:rsidR="00A05E4F" w:rsidRPr="00B61895" w:rsidRDefault="00A05E4F" w:rsidP="005F5545">
      <w:pPr>
        <w:rPr>
          <w:color w:val="FF0000"/>
        </w:rPr>
        <w:sectPr w:rsidR="00A05E4F" w:rsidRPr="00B61895" w:rsidSect="001F1561">
          <w:headerReference w:type="default" r:id="rId19"/>
          <w:pgSz w:w="16838" w:h="11906" w:orient="landscape"/>
          <w:pgMar w:top="1440" w:right="1440" w:bottom="1440" w:left="1440" w:header="708" w:footer="708" w:gutter="0"/>
          <w:cols w:num="2" w:space="708"/>
          <w:docGrid w:linePitch="360"/>
        </w:sectPr>
      </w:pPr>
    </w:p>
    <w:tbl>
      <w:tblPr>
        <w:tblStyle w:val="TableGrid"/>
        <w:tblpPr w:leftFromText="180" w:rightFromText="180" w:vertAnchor="text" w:tblpY="-306"/>
        <w:tblW w:w="14029" w:type="dxa"/>
        <w:tblLook w:val="04A0" w:firstRow="1" w:lastRow="0" w:firstColumn="1" w:lastColumn="0" w:noHBand="0" w:noVBand="1"/>
      </w:tblPr>
      <w:tblGrid>
        <w:gridCol w:w="14029"/>
      </w:tblGrid>
      <w:tr w:rsidR="005C44A9" w14:paraId="223C3CD7" w14:textId="77777777" w:rsidTr="005C44A9">
        <w:tc>
          <w:tcPr>
            <w:tcW w:w="14029" w:type="dxa"/>
            <w:shd w:val="clear" w:color="auto" w:fill="B4C6E7" w:themeFill="accent1" w:themeFillTint="66"/>
          </w:tcPr>
          <w:p w14:paraId="27554607" w14:textId="77777777" w:rsidR="005C44A9" w:rsidRDefault="005C44A9" w:rsidP="005C44A9">
            <w:pPr>
              <w:pStyle w:val="Header"/>
              <w:rPr>
                <w:rFonts w:cs="Arial"/>
                <w:b/>
                <w:color w:val="000000"/>
                <w:sz w:val="28"/>
                <w:szCs w:val="28"/>
              </w:rPr>
            </w:pPr>
            <w:r>
              <w:rPr>
                <w:rFonts w:cs="Arial"/>
                <w:b/>
                <w:color w:val="000000"/>
                <w:sz w:val="28"/>
                <w:szCs w:val="28"/>
              </w:rPr>
              <w:lastRenderedPageBreak/>
              <w:t>F</w:t>
            </w:r>
            <w:r w:rsidRPr="006172FC">
              <w:rPr>
                <w:rFonts w:cs="Arial"/>
                <w:b/>
                <w:color w:val="000000"/>
                <w:sz w:val="28"/>
                <w:szCs w:val="28"/>
              </w:rPr>
              <w:t xml:space="preserve">. </w:t>
            </w:r>
            <w:r>
              <w:rPr>
                <w:rFonts w:cs="Arial"/>
                <w:b/>
                <w:color w:val="000000"/>
                <w:sz w:val="28"/>
                <w:szCs w:val="28"/>
              </w:rPr>
              <w:t xml:space="preserve">Managing risks and performance through robust internal control and strong public financial management </w:t>
            </w:r>
          </w:p>
          <w:p w14:paraId="0D6C3DC2" w14:textId="77777777" w:rsidR="005C44A9" w:rsidRDefault="005C44A9" w:rsidP="005C44A9">
            <w:pPr>
              <w:pStyle w:val="Header"/>
              <w:tabs>
                <w:tab w:val="clear" w:pos="4513"/>
                <w:tab w:val="clear" w:pos="9026"/>
                <w:tab w:val="left" w:pos="4140"/>
              </w:tabs>
              <w:rPr>
                <w:rFonts w:cs="Arial"/>
                <w:color w:val="000000"/>
                <w:sz w:val="28"/>
                <w:szCs w:val="28"/>
              </w:rPr>
            </w:pPr>
            <w:r>
              <w:rPr>
                <w:rFonts w:cs="Arial"/>
                <w:color w:val="000000"/>
                <w:sz w:val="28"/>
                <w:szCs w:val="28"/>
              </w:rPr>
              <w:tab/>
            </w:r>
          </w:p>
          <w:p w14:paraId="0C89EC55" w14:textId="77777777" w:rsidR="005C44A9" w:rsidRPr="006172FC" w:rsidRDefault="005C44A9" w:rsidP="005C44A9">
            <w:pPr>
              <w:pStyle w:val="Header"/>
            </w:pPr>
            <w:r>
              <w:rPr>
                <w:b/>
                <w:szCs w:val="24"/>
              </w:rPr>
              <w:t xml:space="preserve">                                            </w:t>
            </w:r>
            <w:r w:rsidRPr="003E6D4C">
              <w:rPr>
                <w:b/>
                <w:szCs w:val="24"/>
              </w:rPr>
              <w:t xml:space="preserve">Assessed assurance level for compliance with the Code of Corporate Governance: </w:t>
            </w:r>
            <w:r w:rsidRPr="00B0617B">
              <w:rPr>
                <w:b/>
                <w:szCs w:val="24"/>
                <w:shd w:val="clear" w:color="auto" w:fill="FFC000"/>
              </w:rPr>
              <w:t>Reasonable</w:t>
            </w:r>
          </w:p>
        </w:tc>
      </w:tr>
    </w:tbl>
    <w:p w14:paraId="57887711" w14:textId="77777777" w:rsidR="00411D17" w:rsidRDefault="00411D17" w:rsidP="00937AF0">
      <w:pPr>
        <w:rPr>
          <w:b/>
          <w:bCs/>
          <w:sz w:val="28"/>
          <w:szCs w:val="28"/>
        </w:rPr>
      </w:pPr>
    </w:p>
    <w:p w14:paraId="02CFEDEF" w14:textId="5D942B9B" w:rsidR="00937AF0" w:rsidRPr="00A21221" w:rsidRDefault="00937AF0" w:rsidP="00343D87">
      <w:pPr>
        <w:jc w:val="both"/>
        <w:rPr>
          <w:b/>
          <w:bCs/>
          <w:sz w:val="28"/>
          <w:szCs w:val="28"/>
        </w:rPr>
      </w:pPr>
      <w:r w:rsidRPr="00A21221">
        <w:rPr>
          <w:b/>
          <w:bCs/>
          <w:sz w:val="28"/>
          <w:szCs w:val="28"/>
        </w:rPr>
        <w:t>Compliance with the Local Code</w:t>
      </w:r>
      <w:r w:rsidR="000030F1">
        <w:rPr>
          <w:b/>
          <w:bCs/>
          <w:sz w:val="28"/>
          <w:szCs w:val="28"/>
        </w:rPr>
        <w:t xml:space="preserve"> during 202</w:t>
      </w:r>
      <w:r w:rsidR="00993A18">
        <w:rPr>
          <w:b/>
          <w:bCs/>
          <w:sz w:val="28"/>
          <w:szCs w:val="28"/>
        </w:rPr>
        <w:t>5/26</w:t>
      </w:r>
    </w:p>
    <w:p w14:paraId="2F11BAFB" w14:textId="5EFDEC9C" w:rsidR="00815466" w:rsidRPr="00A21221" w:rsidRDefault="00C80DD4" w:rsidP="00343D87">
      <w:pPr>
        <w:jc w:val="both"/>
        <w:rPr>
          <w:sz w:val="22"/>
          <w:szCs w:val="22"/>
        </w:rPr>
      </w:pPr>
      <w:r w:rsidRPr="00A21221">
        <w:rPr>
          <w:sz w:val="22"/>
          <w:szCs w:val="22"/>
        </w:rPr>
        <w:t>All elements of the established framework set out in the Local Code were in place during 202</w:t>
      </w:r>
      <w:r w:rsidR="00993A18">
        <w:rPr>
          <w:sz w:val="22"/>
          <w:szCs w:val="22"/>
        </w:rPr>
        <w:t>5/26</w:t>
      </w:r>
      <w:r w:rsidRPr="00A21221">
        <w:rPr>
          <w:sz w:val="22"/>
          <w:szCs w:val="22"/>
        </w:rPr>
        <w:t xml:space="preserve">. The </w:t>
      </w:r>
      <w:r w:rsidR="007817A9" w:rsidRPr="00A21221">
        <w:rPr>
          <w:sz w:val="22"/>
          <w:szCs w:val="22"/>
        </w:rPr>
        <w:t xml:space="preserve">continuing </w:t>
      </w:r>
      <w:r w:rsidR="007A6D4F" w:rsidRPr="00A21221">
        <w:rPr>
          <w:sz w:val="22"/>
          <w:szCs w:val="22"/>
        </w:rPr>
        <w:t xml:space="preserve">demand </w:t>
      </w:r>
      <w:r w:rsidR="00B61895" w:rsidRPr="00A21221">
        <w:rPr>
          <w:sz w:val="22"/>
          <w:szCs w:val="22"/>
        </w:rPr>
        <w:t xml:space="preserve">pressures </w:t>
      </w:r>
      <w:r w:rsidRPr="00A21221">
        <w:rPr>
          <w:sz w:val="22"/>
          <w:szCs w:val="22"/>
        </w:rPr>
        <w:t xml:space="preserve">required flexibly to align with, and support, the </w:t>
      </w:r>
      <w:r w:rsidR="007A6D4F" w:rsidRPr="00A21221">
        <w:rPr>
          <w:sz w:val="22"/>
          <w:szCs w:val="22"/>
        </w:rPr>
        <w:t>delivery of services within co</w:t>
      </w:r>
      <w:r w:rsidR="00EC5B8C" w:rsidRPr="00A21221">
        <w:rPr>
          <w:sz w:val="22"/>
          <w:szCs w:val="22"/>
        </w:rPr>
        <w:t xml:space="preserve">rporate budget </w:t>
      </w:r>
      <w:r w:rsidR="007A6D4F" w:rsidRPr="00A21221">
        <w:rPr>
          <w:sz w:val="22"/>
          <w:szCs w:val="22"/>
        </w:rPr>
        <w:t>objectives.</w:t>
      </w:r>
      <w:r w:rsidR="00815466" w:rsidRPr="00A21221">
        <w:rPr>
          <w:sz w:val="22"/>
          <w:szCs w:val="22"/>
        </w:rPr>
        <w:t xml:space="preserve"> </w:t>
      </w:r>
    </w:p>
    <w:p w14:paraId="4667951C" w14:textId="77777777" w:rsidR="00815466" w:rsidRPr="00692C54" w:rsidRDefault="00815466" w:rsidP="00343D87">
      <w:pPr>
        <w:jc w:val="both"/>
        <w:rPr>
          <w:sz w:val="22"/>
          <w:szCs w:val="22"/>
        </w:rPr>
      </w:pPr>
    </w:p>
    <w:p w14:paraId="54F90189" w14:textId="51112B38" w:rsidR="00733290" w:rsidRPr="00692C54" w:rsidRDefault="00DC2AE1" w:rsidP="00343D87">
      <w:pPr>
        <w:jc w:val="both"/>
        <w:rPr>
          <w:sz w:val="22"/>
          <w:szCs w:val="22"/>
        </w:rPr>
      </w:pPr>
      <w:r w:rsidRPr="00692C54">
        <w:rPr>
          <w:sz w:val="22"/>
          <w:szCs w:val="22"/>
        </w:rPr>
        <w:t>Executive</w:t>
      </w:r>
      <w:r w:rsidR="00733290" w:rsidRPr="00692C54">
        <w:rPr>
          <w:sz w:val="22"/>
          <w:szCs w:val="22"/>
        </w:rPr>
        <w:t xml:space="preserve"> Directors report the following levels of compliance with key Council procedures relevant to this aspect of governance: </w:t>
      </w:r>
    </w:p>
    <w:p w14:paraId="6FBCC92C" w14:textId="77777777" w:rsidR="00733290" w:rsidRPr="00993A18" w:rsidRDefault="00733290" w:rsidP="00343D87">
      <w:pPr>
        <w:jc w:val="both"/>
        <w:rPr>
          <w:color w:val="FF0000"/>
        </w:rPr>
      </w:pPr>
    </w:p>
    <w:tbl>
      <w:tblPr>
        <w:tblStyle w:val="TableGrid"/>
        <w:tblW w:w="0" w:type="auto"/>
        <w:tblLayout w:type="fixed"/>
        <w:tblLook w:val="04A0" w:firstRow="1" w:lastRow="0" w:firstColumn="1" w:lastColumn="0" w:noHBand="0" w:noVBand="1"/>
      </w:tblPr>
      <w:tblGrid>
        <w:gridCol w:w="1276"/>
        <w:gridCol w:w="709"/>
        <w:gridCol w:w="1134"/>
        <w:gridCol w:w="1134"/>
        <w:gridCol w:w="1134"/>
        <w:gridCol w:w="1134"/>
      </w:tblGrid>
      <w:tr w:rsidR="00993A18" w:rsidRPr="00993A18" w14:paraId="0310760F" w14:textId="77777777" w:rsidTr="0089409C">
        <w:tc>
          <w:tcPr>
            <w:tcW w:w="1276" w:type="dxa"/>
            <w:tcBorders>
              <w:top w:val="nil"/>
              <w:left w:val="nil"/>
            </w:tcBorders>
          </w:tcPr>
          <w:p w14:paraId="387E861C" w14:textId="77777777" w:rsidR="00733290" w:rsidRPr="00692C54" w:rsidRDefault="00733290" w:rsidP="00343D87">
            <w:pPr>
              <w:jc w:val="both"/>
              <w:rPr>
                <w:rFonts w:cs="Arial"/>
                <w:sz w:val="20"/>
              </w:rPr>
            </w:pPr>
            <w:r w:rsidRPr="00692C54">
              <w:rPr>
                <w:sz w:val="20"/>
              </w:rPr>
              <w:t>Procedure</w:t>
            </w:r>
          </w:p>
          <w:p w14:paraId="68EBB404" w14:textId="77777777" w:rsidR="00733290" w:rsidRPr="00692C54" w:rsidRDefault="00733290" w:rsidP="00343D87">
            <w:pPr>
              <w:jc w:val="both"/>
              <w:rPr>
                <w:sz w:val="20"/>
              </w:rPr>
            </w:pPr>
            <w:r w:rsidRPr="00692C54">
              <w:rPr>
                <w:rFonts w:cs="Arial"/>
                <w:sz w:val="20"/>
              </w:rPr>
              <w:t xml:space="preserve">       ↓</w:t>
            </w:r>
          </w:p>
        </w:tc>
        <w:tc>
          <w:tcPr>
            <w:tcW w:w="709" w:type="dxa"/>
            <w:tcBorders>
              <w:top w:val="nil"/>
              <w:left w:val="nil"/>
            </w:tcBorders>
          </w:tcPr>
          <w:p w14:paraId="3565E11C" w14:textId="3669BD15" w:rsidR="00733290" w:rsidRPr="00692C54" w:rsidRDefault="00733290" w:rsidP="00343D87">
            <w:pPr>
              <w:jc w:val="both"/>
              <w:rPr>
                <w:sz w:val="20"/>
              </w:rPr>
            </w:pPr>
            <w:r w:rsidRPr="00692C54">
              <w:rPr>
                <w:sz w:val="20"/>
              </w:rPr>
              <w:t>dept</w:t>
            </w:r>
            <w:r w:rsidRPr="00692C54">
              <w:rPr>
                <w:rFonts w:cs="Arial"/>
                <w:sz w:val="20"/>
              </w:rPr>
              <w:t>→</w:t>
            </w:r>
          </w:p>
        </w:tc>
        <w:tc>
          <w:tcPr>
            <w:tcW w:w="1134" w:type="dxa"/>
          </w:tcPr>
          <w:p w14:paraId="2079B8FA" w14:textId="4DA6A4D0" w:rsidR="00733290" w:rsidRPr="00692C54" w:rsidRDefault="00733290" w:rsidP="00343D87">
            <w:pPr>
              <w:jc w:val="both"/>
              <w:rPr>
                <w:sz w:val="20"/>
              </w:rPr>
            </w:pPr>
            <w:r w:rsidRPr="00692C54">
              <w:rPr>
                <w:sz w:val="20"/>
              </w:rPr>
              <w:t>AS</w:t>
            </w:r>
            <w:r w:rsidR="003846A9" w:rsidRPr="00692C54">
              <w:rPr>
                <w:sz w:val="20"/>
              </w:rPr>
              <w:t>C</w:t>
            </w:r>
            <w:r w:rsidR="00692C54" w:rsidRPr="00692C54">
              <w:rPr>
                <w:sz w:val="20"/>
              </w:rPr>
              <w:t>H</w:t>
            </w:r>
          </w:p>
        </w:tc>
        <w:tc>
          <w:tcPr>
            <w:tcW w:w="1134" w:type="dxa"/>
          </w:tcPr>
          <w:p w14:paraId="78BA256F" w14:textId="77777777" w:rsidR="00733290" w:rsidRPr="000A39BF" w:rsidRDefault="00733290" w:rsidP="00343D87">
            <w:pPr>
              <w:jc w:val="both"/>
              <w:rPr>
                <w:sz w:val="20"/>
              </w:rPr>
            </w:pPr>
            <w:r w:rsidRPr="000A39BF">
              <w:rPr>
                <w:sz w:val="20"/>
              </w:rPr>
              <w:t>C&amp;F</w:t>
            </w:r>
          </w:p>
        </w:tc>
        <w:tc>
          <w:tcPr>
            <w:tcW w:w="1134" w:type="dxa"/>
          </w:tcPr>
          <w:p w14:paraId="183B12A1" w14:textId="77777777" w:rsidR="00733290" w:rsidRPr="000A39BF" w:rsidRDefault="00733290" w:rsidP="00343D87">
            <w:pPr>
              <w:jc w:val="both"/>
              <w:rPr>
                <w:sz w:val="20"/>
              </w:rPr>
            </w:pPr>
            <w:r w:rsidRPr="000A39BF">
              <w:rPr>
                <w:sz w:val="20"/>
              </w:rPr>
              <w:t>Place</w:t>
            </w:r>
          </w:p>
        </w:tc>
        <w:tc>
          <w:tcPr>
            <w:tcW w:w="1134" w:type="dxa"/>
          </w:tcPr>
          <w:p w14:paraId="2D467558" w14:textId="53D21667" w:rsidR="00733290" w:rsidRPr="000A39BF" w:rsidRDefault="00733290" w:rsidP="00343D87">
            <w:pPr>
              <w:jc w:val="both"/>
              <w:rPr>
                <w:sz w:val="20"/>
              </w:rPr>
            </w:pPr>
            <w:r w:rsidRPr="000A39BF">
              <w:rPr>
                <w:sz w:val="20"/>
              </w:rPr>
              <w:t>C</w:t>
            </w:r>
            <w:r w:rsidR="00625196" w:rsidRPr="000A39BF">
              <w:rPr>
                <w:sz w:val="20"/>
              </w:rPr>
              <w:t>EX</w:t>
            </w:r>
          </w:p>
        </w:tc>
      </w:tr>
      <w:tr w:rsidR="00993A18" w:rsidRPr="00993A18" w14:paraId="41D409ED" w14:textId="77777777" w:rsidTr="00CE4FFD">
        <w:tc>
          <w:tcPr>
            <w:tcW w:w="1985" w:type="dxa"/>
            <w:gridSpan w:val="2"/>
          </w:tcPr>
          <w:p w14:paraId="298DBCB2" w14:textId="106F871F" w:rsidR="00733290" w:rsidRPr="00692C54" w:rsidRDefault="00733290" w:rsidP="00343D87">
            <w:pPr>
              <w:jc w:val="both"/>
              <w:rPr>
                <w:sz w:val="20"/>
              </w:rPr>
            </w:pPr>
            <w:r w:rsidRPr="00692C54">
              <w:rPr>
                <w:sz w:val="20"/>
              </w:rPr>
              <w:t>Carrying out risk mitigation actions</w:t>
            </w:r>
          </w:p>
        </w:tc>
        <w:tc>
          <w:tcPr>
            <w:tcW w:w="1134" w:type="dxa"/>
            <w:shd w:val="clear" w:color="auto" w:fill="92D050"/>
          </w:tcPr>
          <w:p w14:paraId="3D8CC8B1" w14:textId="6C49B8D4" w:rsidR="00733290" w:rsidRPr="00692C54" w:rsidRDefault="00733290" w:rsidP="00343D87">
            <w:pPr>
              <w:jc w:val="both"/>
              <w:rPr>
                <w:sz w:val="16"/>
                <w:szCs w:val="16"/>
              </w:rPr>
            </w:pPr>
            <w:r w:rsidRPr="00692C54">
              <w:rPr>
                <w:sz w:val="16"/>
                <w:szCs w:val="16"/>
              </w:rPr>
              <w:t>S</w:t>
            </w:r>
            <w:r w:rsidR="00485904" w:rsidRPr="00692C54">
              <w:rPr>
                <w:sz w:val="16"/>
                <w:szCs w:val="16"/>
              </w:rPr>
              <w:t>ubstan</w:t>
            </w:r>
            <w:r w:rsidRPr="00692C54">
              <w:rPr>
                <w:sz w:val="16"/>
                <w:szCs w:val="16"/>
              </w:rPr>
              <w:t>t</w:t>
            </w:r>
            <w:r w:rsidR="00485904" w:rsidRPr="00692C54">
              <w:rPr>
                <w:sz w:val="16"/>
                <w:szCs w:val="16"/>
              </w:rPr>
              <w:t>ial</w:t>
            </w:r>
          </w:p>
        </w:tc>
        <w:tc>
          <w:tcPr>
            <w:tcW w:w="1134" w:type="dxa"/>
            <w:shd w:val="clear" w:color="auto" w:fill="92D050"/>
          </w:tcPr>
          <w:p w14:paraId="5CFBF87A" w14:textId="65A12ACD" w:rsidR="00733290" w:rsidRPr="000A39BF" w:rsidRDefault="00CE4FFD" w:rsidP="00343D87">
            <w:pPr>
              <w:jc w:val="both"/>
              <w:rPr>
                <w:sz w:val="16"/>
                <w:szCs w:val="16"/>
              </w:rPr>
            </w:pPr>
            <w:r w:rsidRPr="000A39BF">
              <w:rPr>
                <w:sz w:val="16"/>
                <w:szCs w:val="16"/>
              </w:rPr>
              <w:t>Substantial</w:t>
            </w:r>
          </w:p>
        </w:tc>
        <w:tc>
          <w:tcPr>
            <w:tcW w:w="1134" w:type="dxa"/>
            <w:shd w:val="clear" w:color="auto" w:fill="92D050"/>
          </w:tcPr>
          <w:p w14:paraId="497859C7" w14:textId="77777777" w:rsidR="00733290" w:rsidRPr="000A39BF" w:rsidRDefault="00733290" w:rsidP="00343D87">
            <w:pPr>
              <w:jc w:val="both"/>
              <w:rPr>
                <w:sz w:val="16"/>
                <w:szCs w:val="16"/>
              </w:rPr>
            </w:pPr>
            <w:r w:rsidRPr="000A39BF">
              <w:rPr>
                <w:sz w:val="16"/>
                <w:szCs w:val="16"/>
              </w:rPr>
              <w:t>Substantial</w:t>
            </w:r>
          </w:p>
        </w:tc>
        <w:tc>
          <w:tcPr>
            <w:tcW w:w="1134" w:type="dxa"/>
            <w:shd w:val="clear" w:color="auto" w:fill="FFC000"/>
          </w:tcPr>
          <w:p w14:paraId="291911FE" w14:textId="379ACCCF" w:rsidR="00733290" w:rsidRPr="000A39BF" w:rsidRDefault="00733290" w:rsidP="00343D87">
            <w:pPr>
              <w:jc w:val="both"/>
              <w:rPr>
                <w:sz w:val="16"/>
                <w:szCs w:val="16"/>
              </w:rPr>
            </w:pPr>
            <w:r w:rsidRPr="000A39BF">
              <w:rPr>
                <w:sz w:val="16"/>
                <w:szCs w:val="16"/>
              </w:rPr>
              <w:t>Reasonable</w:t>
            </w:r>
          </w:p>
        </w:tc>
      </w:tr>
      <w:tr w:rsidR="00993A18" w:rsidRPr="00993A18" w14:paraId="6F6A0F18" w14:textId="77777777" w:rsidTr="00692C54">
        <w:tc>
          <w:tcPr>
            <w:tcW w:w="1985" w:type="dxa"/>
            <w:gridSpan w:val="2"/>
          </w:tcPr>
          <w:p w14:paraId="7E8D9BF7" w14:textId="5A251050" w:rsidR="00733290" w:rsidRPr="00692C54" w:rsidRDefault="00815466" w:rsidP="00343D87">
            <w:pPr>
              <w:jc w:val="both"/>
              <w:rPr>
                <w:sz w:val="20"/>
              </w:rPr>
            </w:pPr>
            <w:r w:rsidRPr="00692C54">
              <w:rPr>
                <w:sz w:val="20"/>
              </w:rPr>
              <w:t>D</w:t>
            </w:r>
            <w:r w:rsidR="00733290" w:rsidRPr="00692C54">
              <w:rPr>
                <w:sz w:val="20"/>
              </w:rPr>
              <w:t>ata</w:t>
            </w:r>
            <w:r w:rsidR="005C1D23" w:rsidRPr="00692C54">
              <w:rPr>
                <w:sz w:val="20"/>
              </w:rPr>
              <w:t xml:space="preserve"> protection </w:t>
            </w:r>
            <w:r w:rsidRPr="00692C54">
              <w:rPr>
                <w:sz w:val="20"/>
              </w:rPr>
              <w:t>compliance</w:t>
            </w:r>
          </w:p>
        </w:tc>
        <w:tc>
          <w:tcPr>
            <w:tcW w:w="1134" w:type="dxa"/>
            <w:shd w:val="clear" w:color="auto" w:fill="FFC000"/>
          </w:tcPr>
          <w:p w14:paraId="19A54EE4" w14:textId="5AA49AC3" w:rsidR="00733290" w:rsidRPr="00692C54" w:rsidRDefault="00692C54" w:rsidP="00343D87">
            <w:pPr>
              <w:jc w:val="both"/>
            </w:pPr>
            <w:r w:rsidRPr="00692C54">
              <w:rPr>
                <w:sz w:val="16"/>
                <w:szCs w:val="16"/>
              </w:rPr>
              <w:t>Reasonable</w:t>
            </w:r>
          </w:p>
        </w:tc>
        <w:tc>
          <w:tcPr>
            <w:tcW w:w="1134" w:type="dxa"/>
            <w:shd w:val="clear" w:color="auto" w:fill="FFC000"/>
          </w:tcPr>
          <w:p w14:paraId="75D0338D" w14:textId="75629FBE" w:rsidR="00733290" w:rsidRPr="000A39BF" w:rsidRDefault="001B54CD" w:rsidP="00343D87">
            <w:pPr>
              <w:jc w:val="both"/>
            </w:pPr>
            <w:r w:rsidRPr="000A39BF">
              <w:rPr>
                <w:sz w:val="16"/>
                <w:szCs w:val="16"/>
              </w:rPr>
              <w:t>Reasonable</w:t>
            </w:r>
          </w:p>
        </w:tc>
        <w:tc>
          <w:tcPr>
            <w:tcW w:w="1134" w:type="dxa"/>
            <w:shd w:val="clear" w:color="auto" w:fill="92D050"/>
          </w:tcPr>
          <w:p w14:paraId="4F56A74D" w14:textId="2E48A6EC" w:rsidR="00733290" w:rsidRPr="000A39BF" w:rsidRDefault="007A6D4F" w:rsidP="00343D87">
            <w:pPr>
              <w:jc w:val="both"/>
            </w:pPr>
            <w:r w:rsidRPr="000A39BF">
              <w:rPr>
                <w:sz w:val="16"/>
                <w:szCs w:val="16"/>
              </w:rPr>
              <w:t>Substantial</w:t>
            </w:r>
          </w:p>
        </w:tc>
        <w:tc>
          <w:tcPr>
            <w:tcW w:w="1134" w:type="dxa"/>
            <w:shd w:val="clear" w:color="auto" w:fill="FFC000"/>
          </w:tcPr>
          <w:p w14:paraId="4A5D1136" w14:textId="633B831C" w:rsidR="00733290" w:rsidRPr="000A39BF" w:rsidRDefault="00AF526F" w:rsidP="00343D87">
            <w:pPr>
              <w:jc w:val="both"/>
            </w:pPr>
            <w:r w:rsidRPr="000A39BF">
              <w:rPr>
                <w:sz w:val="16"/>
                <w:szCs w:val="16"/>
              </w:rPr>
              <w:t>Reasonable</w:t>
            </w:r>
          </w:p>
        </w:tc>
      </w:tr>
      <w:tr w:rsidR="00993A18" w:rsidRPr="00993A18" w14:paraId="4BBB0960" w14:textId="77777777" w:rsidTr="00CE4FFD">
        <w:trPr>
          <w:trHeight w:val="463"/>
        </w:trPr>
        <w:tc>
          <w:tcPr>
            <w:tcW w:w="1985" w:type="dxa"/>
            <w:gridSpan w:val="2"/>
          </w:tcPr>
          <w:p w14:paraId="52D1FAB0" w14:textId="2303CF24" w:rsidR="00733290" w:rsidRPr="00692C54" w:rsidRDefault="00733290" w:rsidP="00343D87">
            <w:pPr>
              <w:jc w:val="both"/>
              <w:rPr>
                <w:sz w:val="20"/>
              </w:rPr>
            </w:pPr>
            <w:r w:rsidRPr="00692C54">
              <w:rPr>
                <w:sz w:val="20"/>
              </w:rPr>
              <w:t>Budgetary control</w:t>
            </w:r>
          </w:p>
        </w:tc>
        <w:tc>
          <w:tcPr>
            <w:tcW w:w="1134" w:type="dxa"/>
            <w:shd w:val="clear" w:color="auto" w:fill="FFC000"/>
          </w:tcPr>
          <w:p w14:paraId="5C8B0C3A" w14:textId="1B58136F" w:rsidR="00733290" w:rsidRPr="00692C54" w:rsidRDefault="00CE4FFD" w:rsidP="00343D87">
            <w:pPr>
              <w:jc w:val="both"/>
            </w:pPr>
            <w:r w:rsidRPr="00692C54">
              <w:rPr>
                <w:sz w:val="16"/>
                <w:szCs w:val="16"/>
              </w:rPr>
              <w:t>Reasonable</w:t>
            </w:r>
          </w:p>
        </w:tc>
        <w:tc>
          <w:tcPr>
            <w:tcW w:w="1134" w:type="dxa"/>
            <w:shd w:val="clear" w:color="auto" w:fill="92D050"/>
          </w:tcPr>
          <w:p w14:paraId="5D60E230" w14:textId="616DEEEF" w:rsidR="00733290" w:rsidRPr="000A39BF" w:rsidRDefault="001B54CD" w:rsidP="00343D87">
            <w:pPr>
              <w:jc w:val="both"/>
            </w:pPr>
            <w:r w:rsidRPr="000A39BF">
              <w:rPr>
                <w:sz w:val="16"/>
                <w:szCs w:val="16"/>
              </w:rPr>
              <w:t>Substantial</w:t>
            </w:r>
          </w:p>
        </w:tc>
        <w:tc>
          <w:tcPr>
            <w:tcW w:w="1134" w:type="dxa"/>
            <w:shd w:val="clear" w:color="auto" w:fill="92D050"/>
          </w:tcPr>
          <w:p w14:paraId="68D23276" w14:textId="77777777" w:rsidR="00733290" w:rsidRPr="000A39BF" w:rsidRDefault="00733290" w:rsidP="00343D87">
            <w:pPr>
              <w:jc w:val="both"/>
            </w:pPr>
            <w:r w:rsidRPr="000A39BF">
              <w:rPr>
                <w:sz w:val="16"/>
                <w:szCs w:val="16"/>
              </w:rPr>
              <w:t>Substantial</w:t>
            </w:r>
          </w:p>
        </w:tc>
        <w:tc>
          <w:tcPr>
            <w:tcW w:w="1134" w:type="dxa"/>
            <w:shd w:val="clear" w:color="auto" w:fill="92D050"/>
          </w:tcPr>
          <w:p w14:paraId="62E6CFB4" w14:textId="77777777" w:rsidR="00733290" w:rsidRPr="000A39BF" w:rsidRDefault="00733290" w:rsidP="00343D87">
            <w:pPr>
              <w:jc w:val="both"/>
            </w:pPr>
            <w:r w:rsidRPr="000A39BF">
              <w:rPr>
                <w:sz w:val="16"/>
                <w:szCs w:val="16"/>
              </w:rPr>
              <w:t>Substantial</w:t>
            </w:r>
          </w:p>
        </w:tc>
      </w:tr>
      <w:tr w:rsidR="00A21221" w:rsidRPr="00993A18" w14:paraId="79610398" w14:textId="77777777" w:rsidTr="00CE4FFD">
        <w:tc>
          <w:tcPr>
            <w:tcW w:w="1985" w:type="dxa"/>
            <w:gridSpan w:val="2"/>
          </w:tcPr>
          <w:p w14:paraId="130C6403" w14:textId="36A79CA7" w:rsidR="000F745E" w:rsidRPr="00692C54" w:rsidRDefault="000F745E" w:rsidP="00343D87">
            <w:pPr>
              <w:jc w:val="both"/>
              <w:rPr>
                <w:sz w:val="20"/>
              </w:rPr>
            </w:pPr>
            <w:r w:rsidRPr="00692C54">
              <w:rPr>
                <w:sz w:val="20"/>
              </w:rPr>
              <w:t>Reliance on Core Business systems</w:t>
            </w:r>
          </w:p>
        </w:tc>
        <w:tc>
          <w:tcPr>
            <w:tcW w:w="1134" w:type="dxa"/>
            <w:shd w:val="clear" w:color="auto" w:fill="FFC000"/>
          </w:tcPr>
          <w:p w14:paraId="5D65808F" w14:textId="28C3E134" w:rsidR="000F745E" w:rsidRPr="00692C54" w:rsidRDefault="00CE4FFD" w:rsidP="00343D87">
            <w:pPr>
              <w:jc w:val="both"/>
              <w:rPr>
                <w:sz w:val="16"/>
                <w:szCs w:val="16"/>
              </w:rPr>
            </w:pPr>
            <w:r w:rsidRPr="00692C54">
              <w:rPr>
                <w:sz w:val="16"/>
                <w:szCs w:val="16"/>
              </w:rPr>
              <w:t>Reasonable</w:t>
            </w:r>
          </w:p>
        </w:tc>
        <w:tc>
          <w:tcPr>
            <w:tcW w:w="1134" w:type="dxa"/>
            <w:shd w:val="clear" w:color="auto" w:fill="FFC000"/>
          </w:tcPr>
          <w:p w14:paraId="1A01D401" w14:textId="6A547245" w:rsidR="000F745E" w:rsidRPr="00993A18" w:rsidRDefault="000F745E" w:rsidP="00343D87">
            <w:pPr>
              <w:jc w:val="both"/>
              <w:rPr>
                <w:color w:val="FF0000"/>
                <w:sz w:val="16"/>
                <w:szCs w:val="16"/>
              </w:rPr>
            </w:pPr>
            <w:r w:rsidRPr="000A39BF">
              <w:rPr>
                <w:sz w:val="16"/>
                <w:szCs w:val="16"/>
              </w:rPr>
              <w:t>Reasonable</w:t>
            </w:r>
          </w:p>
        </w:tc>
        <w:tc>
          <w:tcPr>
            <w:tcW w:w="1134" w:type="dxa"/>
            <w:shd w:val="clear" w:color="auto" w:fill="92D050"/>
          </w:tcPr>
          <w:p w14:paraId="532EECF9" w14:textId="7B90320D" w:rsidR="000F745E" w:rsidRPr="000A39BF" w:rsidRDefault="000F745E" w:rsidP="00343D87">
            <w:pPr>
              <w:jc w:val="both"/>
              <w:rPr>
                <w:sz w:val="16"/>
                <w:szCs w:val="16"/>
              </w:rPr>
            </w:pPr>
            <w:r w:rsidRPr="000A39BF">
              <w:rPr>
                <w:sz w:val="16"/>
                <w:szCs w:val="16"/>
              </w:rPr>
              <w:t>Substantial</w:t>
            </w:r>
          </w:p>
        </w:tc>
        <w:tc>
          <w:tcPr>
            <w:tcW w:w="1134" w:type="dxa"/>
            <w:shd w:val="clear" w:color="auto" w:fill="FFC000"/>
          </w:tcPr>
          <w:p w14:paraId="4A45F8A7" w14:textId="5DAC9CA0" w:rsidR="000F745E" w:rsidRPr="000A39BF" w:rsidRDefault="007A6D4F" w:rsidP="00343D87">
            <w:pPr>
              <w:jc w:val="both"/>
              <w:rPr>
                <w:sz w:val="16"/>
                <w:szCs w:val="16"/>
              </w:rPr>
            </w:pPr>
            <w:r w:rsidRPr="000A39BF">
              <w:rPr>
                <w:sz w:val="16"/>
                <w:szCs w:val="16"/>
              </w:rPr>
              <w:t>Reasonable</w:t>
            </w:r>
          </w:p>
        </w:tc>
      </w:tr>
    </w:tbl>
    <w:p w14:paraId="685D8596" w14:textId="77777777" w:rsidR="00A136F8" w:rsidRPr="00993A18" w:rsidRDefault="00A136F8" w:rsidP="00343D87">
      <w:pPr>
        <w:jc w:val="both"/>
        <w:rPr>
          <w:color w:val="FF0000"/>
          <w:sz w:val="22"/>
          <w:szCs w:val="22"/>
        </w:rPr>
      </w:pPr>
    </w:p>
    <w:p w14:paraId="72A77A75" w14:textId="77777777" w:rsidR="00B42E22" w:rsidRPr="00993A18" w:rsidRDefault="00B42E22" w:rsidP="00343D87">
      <w:pPr>
        <w:jc w:val="both"/>
        <w:rPr>
          <w:color w:val="FF0000"/>
          <w:sz w:val="22"/>
          <w:szCs w:val="22"/>
        </w:rPr>
      </w:pPr>
    </w:p>
    <w:p w14:paraId="0B77E5C4" w14:textId="6A6C52AC" w:rsidR="00A136F8" w:rsidRDefault="00A44D27" w:rsidP="00343D87">
      <w:pPr>
        <w:jc w:val="both"/>
        <w:rPr>
          <w:sz w:val="22"/>
          <w:szCs w:val="22"/>
        </w:rPr>
      </w:pPr>
      <w:r w:rsidRPr="00993A18">
        <w:rPr>
          <w:sz w:val="22"/>
          <w:szCs w:val="22"/>
        </w:rPr>
        <w:t xml:space="preserve">The Council’s assurance mapping process </w:t>
      </w:r>
      <w:r w:rsidR="005C306E" w:rsidRPr="00993A18">
        <w:rPr>
          <w:sz w:val="22"/>
          <w:szCs w:val="22"/>
        </w:rPr>
        <w:t xml:space="preserve">continues to provide assurance </w:t>
      </w:r>
      <w:r w:rsidR="00816FCD" w:rsidRPr="00993A18">
        <w:rPr>
          <w:sz w:val="22"/>
          <w:szCs w:val="22"/>
        </w:rPr>
        <w:t>for each of the eight dimensions of governance</w:t>
      </w:r>
      <w:r w:rsidR="005C306E" w:rsidRPr="00993A18">
        <w:rPr>
          <w:sz w:val="22"/>
          <w:szCs w:val="22"/>
        </w:rPr>
        <w:t xml:space="preserve">. </w:t>
      </w:r>
      <w:r w:rsidR="00FD77A4" w:rsidRPr="00993A18">
        <w:rPr>
          <w:sz w:val="22"/>
          <w:szCs w:val="22"/>
        </w:rPr>
        <w:t xml:space="preserve">The current </w:t>
      </w:r>
      <w:r w:rsidR="00157BFC" w:rsidRPr="00993A18">
        <w:rPr>
          <w:sz w:val="22"/>
          <w:szCs w:val="22"/>
        </w:rPr>
        <w:t xml:space="preserve">exercise </w:t>
      </w:r>
      <w:r w:rsidR="00FD77A4" w:rsidRPr="00993A18">
        <w:rPr>
          <w:sz w:val="22"/>
          <w:szCs w:val="22"/>
        </w:rPr>
        <w:t xml:space="preserve">has </w:t>
      </w:r>
      <w:r w:rsidR="003F7AC0" w:rsidRPr="00993A18">
        <w:rPr>
          <w:sz w:val="22"/>
          <w:szCs w:val="22"/>
        </w:rPr>
        <w:t xml:space="preserve">not </w:t>
      </w:r>
      <w:r w:rsidR="00B35D80" w:rsidRPr="00993A18">
        <w:rPr>
          <w:sz w:val="22"/>
          <w:szCs w:val="22"/>
        </w:rPr>
        <w:t>identified</w:t>
      </w:r>
      <w:r w:rsidR="00157BFC" w:rsidRPr="00993A18">
        <w:rPr>
          <w:sz w:val="22"/>
          <w:szCs w:val="22"/>
        </w:rPr>
        <w:t xml:space="preserve"> any significant matters of concern.</w:t>
      </w:r>
      <w:r w:rsidR="005C306E" w:rsidRPr="00993A18">
        <w:rPr>
          <w:sz w:val="22"/>
          <w:szCs w:val="22"/>
        </w:rPr>
        <w:t xml:space="preserve"> </w:t>
      </w:r>
      <w:r w:rsidR="00A136F8" w:rsidRPr="00993A18">
        <w:rPr>
          <w:sz w:val="22"/>
          <w:szCs w:val="22"/>
        </w:rPr>
        <w:t xml:space="preserve">The </w:t>
      </w:r>
      <w:r w:rsidR="007A6D4F" w:rsidRPr="00993A18">
        <w:rPr>
          <w:sz w:val="22"/>
          <w:szCs w:val="22"/>
        </w:rPr>
        <w:t>C</w:t>
      </w:r>
      <w:r w:rsidR="00EC5B8C" w:rsidRPr="00993A18">
        <w:rPr>
          <w:sz w:val="22"/>
          <w:szCs w:val="22"/>
        </w:rPr>
        <w:t xml:space="preserve">hief Internal Auditor </w:t>
      </w:r>
      <w:r w:rsidR="00157BFC" w:rsidRPr="00993A18">
        <w:rPr>
          <w:sz w:val="22"/>
          <w:szCs w:val="22"/>
        </w:rPr>
        <w:t xml:space="preserve">is preparing </w:t>
      </w:r>
      <w:r w:rsidR="00A136F8" w:rsidRPr="00993A18">
        <w:rPr>
          <w:sz w:val="22"/>
          <w:szCs w:val="22"/>
        </w:rPr>
        <w:t xml:space="preserve">his annual </w:t>
      </w:r>
      <w:r w:rsidR="00B42E22" w:rsidRPr="00993A18">
        <w:rPr>
          <w:sz w:val="22"/>
          <w:szCs w:val="22"/>
        </w:rPr>
        <w:t>report,</w:t>
      </w:r>
      <w:r w:rsidR="00A136F8" w:rsidRPr="00993A18">
        <w:rPr>
          <w:sz w:val="22"/>
          <w:szCs w:val="22"/>
        </w:rPr>
        <w:t xml:space="preserve"> </w:t>
      </w:r>
      <w:r w:rsidR="005C306E" w:rsidRPr="00993A18">
        <w:rPr>
          <w:sz w:val="22"/>
          <w:szCs w:val="22"/>
        </w:rPr>
        <w:t>and d</w:t>
      </w:r>
      <w:r w:rsidR="00157BFC" w:rsidRPr="00993A18">
        <w:rPr>
          <w:sz w:val="22"/>
          <w:szCs w:val="22"/>
        </w:rPr>
        <w:t xml:space="preserve">raft indications are that this is likely to deliver </w:t>
      </w:r>
      <w:r w:rsidR="00A136F8" w:rsidRPr="00993A18">
        <w:rPr>
          <w:sz w:val="22"/>
          <w:szCs w:val="22"/>
        </w:rPr>
        <w:t>‘Reasonable Assurance’ about the Council’s arrangements for governance, risk management and control.</w:t>
      </w:r>
    </w:p>
    <w:p w14:paraId="1BF239CB" w14:textId="77777777" w:rsidR="00625196" w:rsidRDefault="00625196" w:rsidP="00343D87">
      <w:pPr>
        <w:jc w:val="both"/>
        <w:rPr>
          <w:sz w:val="22"/>
          <w:szCs w:val="22"/>
        </w:rPr>
      </w:pPr>
    </w:p>
    <w:p w14:paraId="30EA4ED9" w14:textId="77777777" w:rsidR="00625196" w:rsidRDefault="00625196" w:rsidP="00343D87">
      <w:pPr>
        <w:jc w:val="both"/>
        <w:rPr>
          <w:sz w:val="22"/>
          <w:szCs w:val="22"/>
        </w:rPr>
      </w:pPr>
    </w:p>
    <w:p w14:paraId="4B3FE65F" w14:textId="77777777" w:rsidR="00625196" w:rsidRDefault="00625196" w:rsidP="00343D87">
      <w:pPr>
        <w:jc w:val="both"/>
        <w:rPr>
          <w:sz w:val="22"/>
          <w:szCs w:val="22"/>
        </w:rPr>
      </w:pPr>
    </w:p>
    <w:p w14:paraId="57E962F1" w14:textId="77777777" w:rsidR="00625196" w:rsidRDefault="00625196" w:rsidP="00343D87">
      <w:pPr>
        <w:jc w:val="both"/>
        <w:rPr>
          <w:sz w:val="22"/>
          <w:szCs w:val="22"/>
        </w:rPr>
      </w:pPr>
    </w:p>
    <w:p w14:paraId="3180C281" w14:textId="77777777" w:rsidR="00625196" w:rsidRPr="00993A18" w:rsidRDefault="00625196" w:rsidP="00343D87">
      <w:pPr>
        <w:jc w:val="both"/>
        <w:rPr>
          <w:sz w:val="22"/>
          <w:szCs w:val="22"/>
        </w:rPr>
      </w:pPr>
    </w:p>
    <w:p w14:paraId="2F7C1BFB" w14:textId="77777777" w:rsidR="005B27FC" w:rsidRDefault="005B27FC" w:rsidP="00343D87">
      <w:pPr>
        <w:jc w:val="both"/>
        <w:rPr>
          <w:sz w:val="22"/>
          <w:szCs w:val="22"/>
        </w:rPr>
      </w:pPr>
    </w:p>
    <w:p w14:paraId="07DD40D0" w14:textId="77777777" w:rsidR="005B27FC" w:rsidRDefault="005B27FC" w:rsidP="00343D87">
      <w:pPr>
        <w:jc w:val="both"/>
        <w:rPr>
          <w:sz w:val="22"/>
          <w:szCs w:val="22"/>
        </w:rPr>
      </w:pPr>
    </w:p>
    <w:p w14:paraId="541975F1" w14:textId="60783ED9" w:rsidR="0039068D" w:rsidRPr="005B696D" w:rsidRDefault="0039068D" w:rsidP="00343D87">
      <w:pPr>
        <w:jc w:val="both"/>
        <w:rPr>
          <w:b/>
          <w:bCs/>
          <w:sz w:val="22"/>
          <w:szCs w:val="22"/>
        </w:rPr>
      </w:pPr>
      <w:r w:rsidRPr="005B696D">
        <w:rPr>
          <w:b/>
          <w:bCs/>
          <w:sz w:val="22"/>
          <w:szCs w:val="22"/>
        </w:rPr>
        <w:t>Annual Assurance Mapping Report 202</w:t>
      </w:r>
      <w:r w:rsidR="00993A18" w:rsidRPr="005B696D">
        <w:rPr>
          <w:b/>
          <w:bCs/>
          <w:sz w:val="22"/>
          <w:szCs w:val="22"/>
        </w:rPr>
        <w:t>5/26</w:t>
      </w:r>
    </w:p>
    <w:tbl>
      <w:tblPr>
        <w:tblStyle w:val="TableGrid"/>
        <w:tblW w:w="0" w:type="auto"/>
        <w:tblInd w:w="-5" w:type="dxa"/>
        <w:tblLook w:val="04A0" w:firstRow="1" w:lastRow="0" w:firstColumn="1" w:lastColumn="0" w:noHBand="0" w:noVBand="1"/>
      </w:tblPr>
      <w:tblGrid>
        <w:gridCol w:w="2517"/>
        <w:gridCol w:w="901"/>
        <w:gridCol w:w="2029"/>
        <w:gridCol w:w="1173"/>
      </w:tblGrid>
      <w:tr w:rsidR="00993A18" w:rsidRPr="00993A18" w14:paraId="7BF14A9A" w14:textId="77777777" w:rsidTr="005B27FC">
        <w:tc>
          <w:tcPr>
            <w:tcW w:w="2517" w:type="dxa"/>
            <w:tcBorders>
              <w:top w:val="single" w:sz="4" w:space="0" w:color="auto"/>
              <w:right w:val="single" w:sz="4" w:space="0" w:color="auto"/>
            </w:tcBorders>
            <w:shd w:val="clear" w:color="auto" w:fill="D9D9D9" w:themeFill="background1" w:themeFillShade="D9"/>
          </w:tcPr>
          <w:p w14:paraId="39FE31A7" w14:textId="77777777" w:rsidR="005B27FC" w:rsidRPr="00025C7D" w:rsidRDefault="005B27FC" w:rsidP="00343D87">
            <w:pPr>
              <w:contextualSpacing/>
              <w:jc w:val="both"/>
              <w:rPr>
                <w:rFonts w:eastAsiaTheme="minorHAnsi" w:cs="Arial"/>
                <w:b/>
                <w:bCs/>
                <w:sz w:val="22"/>
                <w:szCs w:val="22"/>
                <w:lang w:eastAsia="en-US"/>
              </w:rPr>
            </w:pPr>
            <w:r w:rsidRPr="00025C7D">
              <w:rPr>
                <w:rFonts w:eastAsiaTheme="minorHAnsi" w:cs="Arial"/>
                <w:b/>
                <w:bCs/>
                <w:sz w:val="22"/>
                <w:szCs w:val="22"/>
                <w:lang w:eastAsia="en-US"/>
              </w:rPr>
              <w:t>Aspect</w:t>
            </w:r>
          </w:p>
        </w:tc>
        <w:tc>
          <w:tcPr>
            <w:tcW w:w="901" w:type="dxa"/>
            <w:tcBorders>
              <w:top w:val="single" w:sz="4" w:space="0" w:color="auto"/>
              <w:left w:val="single" w:sz="4" w:space="0" w:color="auto"/>
              <w:bottom w:val="single" w:sz="4" w:space="0" w:color="auto"/>
              <w:right w:val="thinThickSmallGap" w:sz="24" w:space="0" w:color="auto"/>
            </w:tcBorders>
            <w:shd w:val="clear" w:color="auto" w:fill="D9D9D9" w:themeFill="background1" w:themeFillShade="D9"/>
            <w:vAlign w:val="center"/>
          </w:tcPr>
          <w:p w14:paraId="67C3942E" w14:textId="77777777" w:rsidR="005B27FC" w:rsidRPr="00025C7D" w:rsidRDefault="005B27FC" w:rsidP="00343D87">
            <w:pPr>
              <w:contextualSpacing/>
              <w:jc w:val="both"/>
              <w:rPr>
                <w:rFonts w:eastAsiaTheme="minorHAnsi" w:cs="Arial"/>
                <w:b/>
                <w:bCs/>
                <w:sz w:val="18"/>
                <w:szCs w:val="18"/>
                <w:lang w:eastAsia="en-US"/>
              </w:rPr>
            </w:pPr>
            <w:r w:rsidRPr="00025C7D">
              <w:rPr>
                <w:rFonts w:eastAsiaTheme="minorHAnsi" w:cs="Arial"/>
                <w:b/>
                <w:bCs/>
                <w:sz w:val="22"/>
                <w:szCs w:val="22"/>
                <w:lang w:eastAsia="en-US"/>
              </w:rPr>
              <w:t>Rating</w:t>
            </w:r>
          </w:p>
        </w:tc>
        <w:tc>
          <w:tcPr>
            <w:tcW w:w="2029" w:type="dxa"/>
            <w:tcBorders>
              <w:top w:val="single" w:sz="4" w:space="0" w:color="auto"/>
              <w:left w:val="thinThickSmallGap" w:sz="24" w:space="0" w:color="auto"/>
            </w:tcBorders>
            <w:shd w:val="clear" w:color="auto" w:fill="D9D9D9" w:themeFill="background1" w:themeFillShade="D9"/>
          </w:tcPr>
          <w:p w14:paraId="5518919C" w14:textId="77777777" w:rsidR="005B27FC" w:rsidRPr="00025C7D" w:rsidRDefault="005B27FC" w:rsidP="00343D87">
            <w:pPr>
              <w:contextualSpacing/>
              <w:jc w:val="both"/>
              <w:rPr>
                <w:rFonts w:eastAsiaTheme="minorHAnsi" w:cs="Arial"/>
                <w:b/>
                <w:bCs/>
                <w:sz w:val="22"/>
                <w:szCs w:val="22"/>
                <w:lang w:eastAsia="en-US"/>
              </w:rPr>
            </w:pPr>
            <w:r w:rsidRPr="00025C7D">
              <w:rPr>
                <w:rFonts w:eastAsiaTheme="minorHAnsi" w:cs="Arial"/>
                <w:b/>
                <w:bCs/>
                <w:sz w:val="22"/>
                <w:szCs w:val="22"/>
                <w:lang w:eastAsia="en-US"/>
              </w:rPr>
              <w:t>Aspect</w:t>
            </w:r>
          </w:p>
        </w:tc>
        <w:tc>
          <w:tcPr>
            <w:tcW w:w="1173" w:type="dxa"/>
            <w:tcBorders>
              <w:top w:val="single" w:sz="4" w:space="0" w:color="auto"/>
            </w:tcBorders>
            <w:shd w:val="clear" w:color="auto" w:fill="D9D9D9" w:themeFill="background1" w:themeFillShade="D9"/>
            <w:vAlign w:val="center"/>
          </w:tcPr>
          <w:p w14:paraId="2A96F2E7" w14:textId="77777777" w:rsidR="005B27FC" w:rsidRPr="00025C7D" w:rsidRDefault="005B27FC" w:rsidP="00343D87">
            <w:pPr>
              <w:contextualSpacing/>
              <w:jc w:val="both"/>
              <w:rPr>
                <w:rFonts w:eastAsiaTheme="minorHAnsi" w:cs="Arial"/>
                <w:b/>
                <w:bCs/>
                <w:sz w:val="22"/>
                <w:szCs w:val="22"/>
                <w:lang w:eastAsia="en-US"/>
              </w:rPr>
            </w:pPr>
            <w:r w:rsidRPr="00025C7D">
              <w:rPr>
                <w:rFonts w:eastAsiaTheme="minorHAnsi" w:cs="Arial"/>
                <w:b/>
                <w:bCs/>
                <w:sz w:val="22"/>
                <w:szCs w:val="22"/>
                <w:lang w:eastAsia="en-US"/>
              </w:rPr>
              <w:t>Rating</w:t>
            </w:r>
          </w:p>
        </w:tc>
      </w:tr>
      <w:tr w:rsidR="00993A18" w:rsidRPr="00993A18" w14:paraId="21A0C57B" w14:textId="77777777" w:rsidTr="005B27FC">
        <w:trPr>
          <w:trHeight w:val="345"/>
        </w:trPr>
        <w:tc>
          <w:tcPr>
            <w:tcW w:w="2517" w:type="dxa"/>
            <w:vMerge w:val="restart"/>
            <w:tcBorders>
              <w:right w:val="single" w:sz="4" w:space="0" w:color="auto"/>
            </w:tcBorders>
            <w:vAlign w:val="center"/>
          </w:tcPr>
          <w:p w14:paraId="72C7E91B"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Financial management</w:t>
            </w:r>
          </w:p>
        </w:tc>
        <w:tc>
          <w:tcPr>
            <w:tcW w:w="901" w:type="dxa"/>
            <w:tcBorders>
              <w:top w:val="single" w:sz="4" w:space="0" w:color="auto"/>
              <w:left w:val="single" w:sz="4" w:space="0" w:color="auto"/>
              <w:bottom w:val="single" w:sz="4" w:space="0" w:color="auto"/>
              <w:right w:val="thinThickSmallGap" w:sz="24" w:space="0" w:color="auto"/>
            </w:tcBorders>
            <w:shd w:val="clear" w:color="auto" w:fill="70AD47" w:themeFill="accent6"/>
            <w:vAlign w:val="center"/>
          </w:tcPr>
          <w:p w14:paraId="7A46B80D"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c>
          <w:tcPr>
            <w:tcW w:w="2029" w:type="dxa"/>
            <w:vMerge w:val="restart"/>
            <w:tcBorders>
              <w:left w:val="thinThickSmallGap" w:sz="24" w:space="0" w:color="auto"/>
            </w:tcBorders>
            <w:vAlign w:val="center"/>
          </w:tcPr>
          <w:p w14:paraId="060FC5AF"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People management (environment, capacity &amp; affordability, satisfaction)</w:t>
            </w:r>
          </w:p>
        </w:tc>
        <w:tc>
          <w:tcPr>
            <w:tcW w:w="1173" w:type="dxa"/>
            <w:vMerge w:val="restart"/>
            <w:shd w:val="clear" w:color="auto" w:fill="70AD47" w:themeFill="accent6"/>
            <w:vAlign w:val="center"/>
          </w:tcPr>
          <w:p w14:paraId="261F80E6"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r>
      <w:tr w:rsidR="00993A18" w:rsidRPr="00993A18" w14:paraId="19266D63" w14:textId="77777777" w:rsidTr="005B27FC">
        <w:trPr>
          <w:trHeight w:val="419"/>
        </w:trPr>
        <w:tc>
          <w:tcPr>
            <w:tcW w:w="2517" w:type="dxa"/>
            <w:vMerge/>
            <w:tcBorders>
              <w:right w:val="single" w:sz="4" w:space="0" w:color="auto"/>
            </w:tcBorders>
          </w:tcPr>
          <w:p w14:paraId="2FC4D5ED" w14:textId="77777777" w:rsidR="005B27FC" w:rsidRPr="00025C7D" w:rsidRDefault="005B27FC" w:rsidP="00343D87">
            <w:pPr>
              <w:contextualSpacing/>
              <w:jc w:val="both"/>
              <w:rPr>
                <w:rFonts w:eastAsiaTheme="minorHAnsi" w:cs="Arial"/>
                <w:sz w:val="20"/>
                <w:lang w:eastAsia="en-US"/>
              </w:rPr>
            </w:pPr>
          </w:p>
        </w:tc>
        <w:tc>
          <w:tcPr>
            <w:tcW w:w="901" w:type="dxa"/>
            <w:tcBorders>
              <w:top w:val="single" w:sz="4" w:space="0" w:color="auto"/>
              <w:left w:val="single" w:sz="4" w:space="0" w:color="auto"/>
              <w:bottom w:val="single" w:sz="4" w:space="0" w:color="auto"/>
              <w:right w:val="thinThickSmallGap" w:sz="24" w:space="0" w:color="auto"/>
            </w:tcBorders>
            <w:shd w:val="clear" w:color="auto" w:fill="70AD47" w:themeFill="accent6"/>
            <w:vAlign w:val="center"/>
          </w:tcPr>
          <w:p w14:paraId="2D4FC190"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c>
          <w:tcPr>
            <w:tcW w:w="2029" w:type="dxa"/>
            <w:vMerge/>
            <w:tcBorders>
              <w:left w:val="thinThickSmallGap" w:sz="24" w:space="0" w:color="auto"/>
            </w:tcBorders>
          </w:tcPr>
          <w:p w14:paraId="67C16A55" w14:textId="77777777" w:rsidR="005B27FC" w:rsidRPr="00025C7D" w:rsidRDefault="005B27FC" w:rsidP="00343D87">
            <w:pPr>
              <w:contextualSpacing/>
              <w:jc w:val="both"/>
              <w:rPr>
                <w:rFonts w:eastAsiaTheme="minorHAnsi" w:cs="Arial"/>
                <w:sz w:val="20"/>
                <w:lang w:eastAsia="en-US"/>
              </w:rPr>
            </w:pPr>
          </w:p>
        </w:tc>
        <w:tc>
          <w:tcPr>
            <w:tcW w:w="1173" w:type="dxa"/>
            <w:vMerge/>
            <w:shd w:val="clear" w:color="auto" w:fill="70AD47" w:themeFill="accent6"/>
            <w:vAlign w:val="center"/>
          </w:tcPr>
          <w:p w14:paraId="0219217D" w14:textId="77777777" w:rsidR="005B27FC" w:rsidRPr="00025C7D" w:rsidRDefault="005B27FC" w:rsidP="00343D87">
            <w:pPr>
              <w:contextualSpacing/>
              <w:jc w:val="both"/>
              <w:rPr>
                <w:rFonts w:eastAsiaTheme="minorHAnsi" w:cs="Arial"/>
                <w:sz w:val="18"/>
                <w:szCs w:val="18"/>
                <w:lang w:eastAsia="en-US"/>
              </w:rPr>
            </w:pPr>
          </w:p>
        </w:tc>
      </w:tr>
      <w:tr w:rsidR="00993A18" w:rsidRPr="00993A18" w14:paraId="70F6D267" w14:textId="77777777" w:rsidTr="005B27FC">
        <w:trPr>
          <w:trHeight w:val="493"/>
        </w:trPr>
        <w:tc>
          <w:tcPr>
            <w:tcW w:w="2517" w:type="dxa"/>
            <w:vMerge/>
            <w:tcBorders>
              <w:right w:val="single" w:sz="4" w:space="0" w:color="auto"/>
            </w:tcBorders>
          </w:tcPr>
          <w:p w14:paraId="723F328D" w14:textId="77777777" w:rsidR="005B27FC" w:rsidRPr="00025C7D" w:rsidRDefault="005B27FC" w:rsidP="00343D87">
            <w:pPr>
              <w:contextualSpacing/>
              <w:jc w:val="both"/>
              <w:rPr>
                <w:rFonts w:eastAsiaTheme="minorHAnsi" w:cs="Arial"/>
                <w:sz w:val="20"/>
                <w:lang w:eastAsia="en-US"/>
              </w:rPr>
            </w:pPr>
          </w:p>
        </w:tc>
        <w:tc>
          <w:tcPr>
            <w:tcW w:w="901" w:type="dxa"/>
            <w:tcBorders>
              <w:top w:val="single" w:sz="4" w:space="0" w:color="auto"/>
              <w:left w:val="single" w:sz="4" w:space="0" w:color="auto"/>
              <w:bottom w:val="single" w:sz="4" w:space="0" w:color="auto"/>
              <w:right w:val="thinThickSmallGap" w:sz="24" w:space="0" w:color="auto"/>
            </w:tcBorders>
            <w:shd w:val="clear" w:color="auto" w:fill="70AD47" w:themeFill="accent6"/>
            <w:vAlign w:val="center"/>
          </w:tcPr>
          <w:p w14:paraId="7D8335EB"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c>
          <w:tcPr>
            <w:tcW w:w="2029" w:type="dxa"/>
            <w:vMerge/>
            <w:tcBorders>
              <w:left w:val="thinThickSmallGap" w:sz="24" w:space="0" w:color="auto"/>
            </w:tcBorders>
          </w:tcPr>
          <w:p w14:paraId="2DB86B63" w14:textId="77777777" w:rsidR="005B27FC" w:rsidRPr="00025C7D" w:rsidRDefault="005B27FC" w:rsidP="00343D87">
            <w:pPr>
              <w:contextualSpacing/>
              <w:jc w:val="both"/>
              <w:rPr>
                <w:rFonts w:eastAsiaTheme="minorHAnsi" w:cs="Arial"/>
                <w:sz w:val="20"/>
                <w:lang w:eastAsia="en-US"/>
              </w:rPr>
            </w:pPr>
          </w:p>
        </w:tc>
        <w:tc>
          <w:tcPr>
            <w:tcW w:w="1173" w:type="dxa"/>
            <w:shd w:val="clear" w:color="auto" w:fill="70AD47" w:themeFill="accent6"/>
            <w:vAlign w:val="center"/>
          </w:tcPr>
          <w:p w14:paraId="16FC87EA"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r>
      <w:tr w:rsidR="00993A18" w:rsidRPr="00993A18" w14:paraId="3F619C5B" w14:textId="77777777" w:rsidTr="00025C7D">
        <w:trPr>
          <w:trHeight w:val="75"/>
        </w:trPr>
        <w:tc>
          <w:tcPr>
            <w:tcW w:w="2517" w:type="dxa"/>
            <w:vMerge/>
            <w:tcBorders>
              <w:right w:val="single" w:sz="4" w:space="0" w:color="auto"/>
            </w:tcBorders>
          </w:tcPr>
          <w:p w14:paraId="47F2B4AD" w14:textId="77777777" w:rsidR="005B27FC" w:rsidRPr="00025C7D" w:rsidRDefault="005B27FC" w:rsidP="00343D87">
            <w:pPr>
              <w:contextualSpacing/>
              <w:jc w:val="both"/>
              <w:rPr>
                <w:rFonts w:eastAsiaTheme="minorHAnsi" w:cs="Arial"/>
                <w:sz w:val="20"/>
                <w:lang w:eastAsia="en-US"/>
              </w:rPr>
            </w:pPr>
          </w:p>
        </w:tc>
        <w:tc>
          <w:tcPr>
            <w:tcW w:w="901" w:type="dxa"/>
            <w:tcBorders>
              <w:top w:val="single" w:sz="4" w:space="0" w:color="auto"/>
              <w:left w:val="single" w:sz="4" w:space="0" w:color="auto"/>
              <w:bottom w:val="single" w:sz="4" w:space="0" w:color="auto"/>
              <w:right w:val="thinThickSmallGap" w:sz="24" w:space="0" w:color="auto"/>
            </w:tcBorders>
            <w:shd w:val="clear" w:color="auto" w:fill="FFC000"/>
            <w:vAlign w:val="center"/>
          </w:tcPr>
          <w:p w14:paraId="450A230B"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Amber</w:t>
            </w:r>
          </w:p>
        </w:tc>
        <w:tc>
          <w:tcPr>
            <w:tcW w:w="2029" w:type="dxa"/>
            <w:vMerge/>
            <w:tcBorders>
              <w:left w:val="thinThickSmallGap" w:sz="24" w:space="0" w:color="auto"/>
            </w:tcBorders>
          </w:tcPr>
          <w:p w14:paraId="30EF40CD" w14:textId="77777777" w:rsidR="005B27FC" w:rsidRPr="00025C7D" w:rsidRDefault="005B27FC" w:rsidP="00343D87">
            <w:pPr>
              <w:contextualSpacing/>
              <w:jc w:val="both"/>
              <w:rPr>
                <w:rFonts w:eastAsiaTheme="minorHAnsi" w:cs="Arial"/>
                <w:sz w:val="20"/>
                <w:lang w:eastAsia="en-US"/>
              </w:rPr>
            </w:pPr>
          </w:p>
        </w:tc>
        <w:tc>
          <w:tcPr>
            <w:tcW w:w="1173" w:type="dxa"/>
            <w:shd w:val="clear" w:color="auto" w:fill="70AD47" w:themeFill="accent6"/>
            <w:vAlign w:val="center"/>
          </w:tcPr>
          <w:p w14:paraId="6595D036" w14:textId="2CB8522A" w:rsidR="005B27FC" w:rsidRPr="00025C7D" w:rsidRDefault="00025C7D" w:rsidP="00343D87">
            <w:pPr>
              <w:contextualSpacing/>
              <w:jc w:val="both"/>
              <w:rPr>
                <w:rFonts w:eastAsiaTheme="minorHAnsi" w:cs="Arial"/>
                <w:sz w:val="18"/>
                <w:szCs w:val="18"/>
                <w:lang w:eastAsia="en-US"/>
              </w:rPr>
            </w:pPr>
            <w:r>
              <w:rPr>
                <w:rFonts w:eastAsiaTheme="minorHAnsi" w:cs="Arial"/>
                <w:sz w:val="18"/>
                <w:szCs w:val="18"/>
                <w:lang w:eastAsia="en-US"/>
              </w:rPr>
              <w:t>Green</w:t>
            </w:r>
          </w:p>
        </w:tc>
      </w:tr>
      <w:tr w:rsidR="00993A18" w:rsidRPr="00993A18" w14:paraId="5FA08DBB" w14:textId="77777777" w:rsidTr="005B27FC">
        <w:tc>
          <w:tcPr>
            <w:tcW w:w="2517" w:type="dxa"/>
            <w:tcBorders>
              <w:right w:val="single" w:sz="4" w:space="0" w:color="auto"/>
            </w:tcBorders>
          </w:tcPr>
          <w:p w14:paraId="1EB828C0"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Performance management</w:t>
            </w:r>
          </w:p>
        </w:tc>
        <w:tc>
          <w:tcPr>
            <w:tcW w:w="901" w:type="dxa"/>
            <w:tcBorders>
              <w:top w:val="single" w:sz="4" w:space="0" w:color="auto"/>
              <w:left w:val="single" w:sz="4" w:space="0" w:color="auto"/>
              <w:bottom w:val="single" w:sz="4" w:space="0" w:color="auto"/>
              <w:right w:val="thinThickSmallGap" w:sz="24" w:space="0" w:color="auto"/>
            </w:tcBorders>
            <w:shd w:val="clear" w:color="auto" w:fill="FFC000"/>
            <w:vAlign w:val="center"/>
          </w:tcPr>
          <w:p w14:paraId="1A00117D"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Amber</w:t>
            </w:r>
          </w:p>
        </w:tc>
        <w:tc>
          <w:tcPr>
            <w:tcW w:w="2029" w:type="dxa"/>
            <w:tcBorders>
              <w:left w:val="thinThickSmallGap" w:sz="24" w:space="0" w:color="auto"/>
            </w:tcBorders>
          </w:tcPr>
          <w:p w14:paraId="0FABA3AF"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Information governance</w:t>
            </w:r>
          </w:p>
        </w:tc>
        <w:tc>
          <w:tcPr>
            <w:tcW w:w="1173" w:type="dxa"/>
            <w:shd w:val="clear" w:color="auto" w:fill="FFC000"/>
            <w:vAlign w:val="center"/>
          </w:tcPr>
          <w:p w14:paraId="46B317B0"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Amber</w:t>
            </w:r>
          </w:p>
        </w:tc>
      </w:tr>
      <w:tr w:rsidR="00993A18" w:rsidRPr="00993A18" w14:paraId="62FD4407" w14:textId="77777777" w:rsidTr="0083064E">
        <w:tc>
          <w:tcPr>
            <w:tcW w:w="2517" w:type="dxa"/>
            <w:tcBorders>
              <w:right w:val="single" w:sz="4" w:space="0" w:color="auto"/>
            </w:tcBorders>
          </w:tcPr>
          <w:p w14:paraId="2D6A341F"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Risk management</w:t>
            </w:r>
          </w:p>
        </w:tc>
        <w:tc>
          <w:tcPr>
            <w:tcW w:w="901" w:type="dxa"/>
            <w:tcBorders>
              <w:top w:val="single" w:sz="4" w:space="0" w:color="auto"/>
              <w:left w:val="single" w:sz="4" w:space="0" w:color="auto"/>
              <w:bottom w:val="single" w:sz="4" w:space="0" w:color="auto"/>
              <w:right w:val="thinThickSmallGap" w:sz="24" w:space="0" w:color="auto"/>
            </w:tcBorders>
            <w:shd w:val="clear" w:color="auto" w:fill="70AD47" w:themeFill="accent6"/>
            <w:vAlign w:val="center"/>
          </w:tcPr>
          <w:p w14:paraId="5E5E6665" w14:textId="4AA78DAE" w:rsidR="005B27FC" w:rsidRPr="00025C7D" w:rsidRDefault="0083064E"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c>
          <w:tcPr>
            <w:tcW w:w="2029" w:type="dxa"/>
            <w:tcBorders>
              <w:left w:val="thinThickSmallGap" w:sz="24" w:space="0" w:color="auto"/>
            </w:tcBorders>
          </w:tcPr>
          <w:p w14:paraId="668B286D"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Transformation</w:t>
            </w:r>
          </w:p>
        </w:tc>
        <w:tc>
          <w:tcPr>
            <w:tcW w:w="1173" w:type="dxa"/>
            <w:shd w:val="clear" w:color="auto" w:fill="70AD47" w:themeFill="accent6"/>
            <w:vAlign w:val="center"/>
          </w:tcPr>
          <w:p w14:paraId="039AC17B"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r>
      <w:tr w:rsidR="00993A18" w:rsidRPr="00993A18" w14:paraId="350966D4" w14:textId="77777777" w:rsidTr="00025C7D">
        <w:trPr>
          <w:trHeight w:val="233"/>
        </w:trPr>
        <w:tc>
          <w:tcPr>
            <w:tcW w:w="2517" w:type="dxa"/>
            <w:vMerge w:val="restart"/>
            <w:tcBorders>
              <w:right w:val="single" w:sz="4" w:space="0" w:color="auto"/>
            </w:tcBorders>
          </w:tcPr>
          <w:p w14:paraId="2927B129"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Asset management</w:t>
            </w:r>
          </w:p>
        </w:tc>
        <w:tc>
          <w:tcPr>
            <w:tcW w:w="901" w:type="dxa"/>
            <w:vMerge w:val="restart"/>
            <w:tcBorders>
              <w:top w:val="single" w:sz="4" w:space="0" w:color="auto"/>
              <w:left w:val="single" w:sz="4" w:space="0" w:color="auto"/>
              <w:right w:val="thinThickSmallGap" w:sz="24" w:space="0" w:color="auto"/>
            </w:tcBorders>
            <w:shd w:val="clear" w:color="auto" w:fill="70AD47" w:themeFill="accent6"/>
            <w:vAlign w:val="center"/>
          </w:tcPr>
          <w:p w14:paraId="72C44BF5" w14:textId="77777777" w:rsidR="005B27FC" w:rsidRPr="00025C7D" w:rsidRDefault="005B27FC" w:rsidP="00343D87">
            <w:pPr>
              <w:contextualSpacing/>
              <w:jc w:val="both"/>
              <w:rPr>
                <w:rFonts w:eastAsiaTheme="minorHAnsi" w:cs="Arial"/>
                <w:sz w:val="18"/>
                <w:szCs w:val="18"/>
                <w:lang w:eastAsia="en-US"/>
              </w:rPr>
            </w:pPr>
            <w:r w:rsidRPr="00025C7D">
              <w:rPr>
                <w:rFonts w:eastAsiaTheme="minorHAnsi" w:cs="Arial"/>
                <w:sz w:val="18"/>
                <w:szCs w:val="18"/>
                <w:lang w:eastAsia="en-US"/>
              </w:rPr>
              <w:t>Green</w:t>
            </w:r>
          </w:p>
        </w:tc>
        <w:tc>
          <w:tcPr>
            <w:tcW w:w="2029" w:type="dxa"/>
            <w:vMerge w:val="restart"/>
            <w:tcBorders>
              <w:left w:val="thinThickSmallGap" w:sz="24" w:space="0" w:color="auto"/>
            </w:tcBorders>
          </w:tcPr>
          <w:p w14:paraId="6FA2DC94" w14:textId="77777777" w:rsidR="005B27FC" w:rsidRPr="00025C7D" w:rsidRDefault="005B27FC" w:rsidP="00343D87">
            <w:pPr>
              <w:contextualSpacing/>
              <w:jc w:val="both"/>
              <w:rPr>
                <w:rFonts w:eastAsiaTheme="minorHAnsi" w:cs="Arial"/>
                <w:sz w:val="20"/>
                <w:lang w:eastAsia="en-US"/>
              </w:rPr>
            </w:pPr>
            <w:r w:rsidRPr="00025C7D">
              <w:rPr>
                <w:rFonts w:eastAsiaTheme="minorHAnsi" w:cs="Arial"/>
                <w:sz w:val="20"/>
                <w:lang w:eastAsia="en-US"/>
              </w:rPr>
              <w:t>Commissioning and procurement</w:t>
            </w:r>
          </w:p>
        </w:tc>
        <w:tc>
          <w:tcPr>
            <w:tcW w:w="1173" w:type="dxa"/>
            <w:shd w:val="clear" w:color="auto" w:fill="70AD47" w:themeFill="accent6"/>
            <w:vAlign w:val="center"/>
          </w:tcPr>
          <w:p w14:paraId="55F50D3B" w14:textId="78B284EF" w:rsidR="005B27FC" w:rsidRPr="00025C7D" w:rsidRDefault="00025C7D" w:rsidP="00343D87">
            <w:pPr>
              <w:contextualSpacing/>
              <w:jc w:val="both"/>
              <w:rPr>
                <w:rFonts w:eastAsiaTheme="minorHAnsi" w:cs="Arial"/>
                <w:sz w:val="18"/>
                <w:szCs w:val="18"/>
                <w:lang w:eastAsia="en-US"/>
              </w:rPr>
            </w:pPr>
            <w:r>
              <w:rPr>
                <w:rFonts w:eastAsiaTheme="minorHAnsi" w:cs="Arial"/>
                <w:sz w:val="18"/>
                <w:szCs w:val="18"/>
                <w:lang w:eastAsia="en-US"/>
              </w:rPr>
              <w:t>Green</w:t>
            </w:r>
          </w:p>
        </w:tc>
      </w:tr>
      <w:tr w:rsidR="00993A18" w:rsidRPr="00993A18" w14:paraId="6052BA1D" w14:textId="77777777" w:rsidTr="00025C7D">
        <w:trPr>
          <w:trHeight w:val="232"/>
        </w:trPr>
        <w:tc>
          <w:tcPr>
            <w:tcW w:w="2517" w:type="dxa"/>
            <w:vMerge/>
            <w:tcBorders>
              <w:bottom w:val="single" w:sz="4" w:space="0" w:color="auto"/>
              <w:right w:val="single" w:sz="4" w:space="0" w:color="auto"/>
            </w:tcBorders>
          </w:tcPr>
          <w:p w14:paraId="44BA970D" w14:textId="77777777" w:rsidR="005B27FC" w:rsidRPr="00025C7D" w:rsidRDefault="005B27FC" w:rsidP="00343D87">
            <w:pPr>
              <w:contextualSpacing/>
              <w:jc w:val="both"/>
              <w:rPr>
                <w:rFonts w:eastAsiaTheme="minorHAnsi" w:cs="Arial"/>
                <w:sz w:val="20"/>
                <w:lang w:eastAsia="en-US"/>
              </w:rPr>
            </w:pPr>
          </w:p>
        </w:tc>
        <w:tc>
          <w:tcPr>
            <w:tcW w:w="901" w:type="dxa"/>
            <w:vMerge/>
            <w:tcBorders>
              <w:left w:val="single" w:sz="4" w:space="0" w:color="auto"/>
              <w:bottom w:val="single" w:sz="4" w:space="0" w:color="auto"/>
              <w:right w:val="thinThickSmallGap" w:sz="24" w:space="0" w:color="auto"/>
            </w:tcBorders>
            <w:shd w:val="clear" w:color="auto" w:fill="70AD47" w:themeFill="accent6"/>
            <w:vAlign w:val="center"/>
          </w:tcPr>
          <w:p w14:paraId="4541A4DD" w14:textId="77777777" w:rsidR="005B27FC" w:rsidRPr="00025C7D" w:rsidRDefault="005B27FC" w:rsidP="00343D87">
            <w:pPr>
              <w:contextualSpacing/>
              <w:jc w:val="both"/>
              <w:rPr>
                <w:rFonts w:eastAsiaTheme="minorHAnsi" w:cs="Arial"/>
                <w:sz w:val="18"/>
                <w:szCs w:val="18"/>
                <w:lang w:eastAsia="en-US"/>
              </w:rPr>
            </w:pPr>
          </w:p>
        </w:tc>
        <w:tc>
          <w:tcPr>
            <w:tcW w:w="2029" w:type="dxa"/>
            <w:vMerge/>
            <w:tcBorders>
              <w:left w:val="thinThickSmallGap" w:sz="24" w:space="0" w:color="auto"/>
              <w:bottom w:val="single" w:sz="4" w:space="0" w:color="auto"/>
            </w:tcBorders>
          </w:tcPr>
          <w:p w14:paraId="025E95A5" w14:textId="77777777" w:rsidR="005B27FC" w:rsidRPr="00025C7D" w:rsidRDefault="005B27FC" w:rsidP="00343D87">
            <w:pPr>
              <w:contextualSpacing/>
              <w:jc w:val="both"/>
              <w:rPr>
                <w:rFonts w:eastAsiaTheme="minorHAnsi" w:cs="Arial"/>
                <w:sz w:val="20"/>
                <w:lang w:eastAsia="en-US"/>
              </w:rPr>
            </w:pPr>
          </w:p>
        </w:tc>
        <w:tc>
          <w:tcPr>
            <w:tcW w:w="1173" w:type="dxa"/>
            <w:tcBorders>
              <w:bottom w:val="single" w:sz="4" w:space="0" w:color="auto"/>
            </w:tcBorders>
            <w:shd w:val="clear" w:color="auto" w:fill="70AD47" w:themeFill="accent6"/>
            <w:vAlign w:val="center"/>
          </w:tcPr>
          <w:p w14:paraId="019F88E0" w14:textId="720CB56B" w:rsidR="005B27FC" w:rsidRPr="00025C7D" w:rsidRDefault="00025C7D" w:rsidP="00343D87">
            <w:pPr>
              <w:contextualSpacing/>
              <w:jc w:val="both"/>
              <w:rPr>
                <w:rFonts w:eastAsiaTheme="minorHAnsi" w:cs="Arial"/>
                <w:sz w:val="18"/>
                <w:szCs w:val="18"/>
                <w:lang w:eastAsia="en-US"/>
              </w:rPr>
            </w:pPr>
            <w:r>
              <w:rPr>
                <w:rFonts w:eastAsiaTheme="minorHAnsi" w:cs="Arial"/>
                <w:sz w:val="18"/>
                <w:szCs w:val="18"/>
                <w:lang w:eastAsia="en-US"/>
              </w:rPr>
              <w:t>Green</w:t>
            </w:r>
          </w:p>
        </w:tc>
      </w:tr>
    </w:tbl>
    <w:p w14:paraId="55BF3514" w14:textId="77777777" w:rsidR="00B42E22" w:rsidRPr="00A21221" w:rsidRDefault="00B42E22" w:rsidP="00343D87">
      <w:pPr>
        <w:jc w:val="both"/>
        <w:rPr>
          <w:b/>
          <w:bCs/>
          <w:sz w:val="28"/>
          <w:szCs w:val="28"/>
        </w:rPr>
      </w:pPr>
    </w:p>
    <w:p w14:paraId="7EBBAA42" w14:textId="56FFA999" w:rsidR="00937AF0" w:rsidRPr="00A21221" w:rsidRDefault="00937AF0" w:rsidP="00343D87">
      <w:pPr>
        <w:jc w:val="both"/>
        <w:rPr>
          <w:b/>
          <w:bCs/>
          <w:sz w:val="28"/>
          <w:szCs w:val="28"/>
        </w:rPr>
      </w:pPr>
      <w:r w:rsidRPr="00A21221">
        <w:rPr>
          <w:b/>
          <w:bCs/>
          <w:sz w:val="28"/>
          <w:szCs w:val="28"/>
        </w:rPr>
        <w:t>Improvements &amp; developments during 202</w:t>
      </w:r>
      <w:r w:rsidR="00993A18">
        <w:rPr>
          <w:b/>
          <w:bCs/>
          <w:sz w:val="28"/>
          <w:szCs w:val="28"/>
        </w:rPr>
        <w:t>5/26</w:t>
      </w:r>
    </w:p>
    <w:p w14:paraId="52E34C92" w14:textId="67A0FF13" w:rsidR="003F7AC0" w:rsidRPr="00A21221" w:rsidRDefault="00BB41DE" w:rsidP="00343D87">
      <w:pPr>
        <w:jc w:val="both"/>
        <w:rPr>
          <w:sz w:val="22"/>
          <w:szCs w:val="22"/>
        </w:rPr>
      </w:pPr>
      <w:r w:rsidRPr="00A21221">
        <w:rPr>
          <w:sz w:val="22"/>
          <w:szCs w:val="22"/>
        </w:rPr>
        <w:t>The Internal Audit Team continue</w:t>
      </w:r>
      <w:r w:rsidR="003F7AC0" w:rsidRPr="00A21221">
        <w:rPr>
          <w:sz w:val="22"/>
          <w:szCs w:val="22"/>
        </w:rPr>
        <w:t>s</w:t>
      </w:r>
      <w:r w:rsidRPr="00A21221">
        <w:rPr>
          <w:sz w:val="22"/>
          <w:szCs w:val="22"/>
        </w:rPr>
        <w:t xml:space="preserve"> to </w:t>
      </w:r>
      <w:r w:rsidR="003F7AC0" w:rsidRPr="00A21221">
        <w:rPr>
          <w:sz w:val="22"/>
          <w:szCs w:val="22"/>
        </w:rPr>
        <w:t>provide</w:t>
      </w:r>
      <w:r w:rsidR="00993A18">
        <w:rPr>
          <w:sz w:val="22"/>
          <w:szCs w:val="22"/>
        </w:rPr>
        <w:t xml:space="preserve">, and expanded on, the </w:t>
      </w:r>
      <w:r w:rsidRPr="00A21221">
        <w:rPr>
          <w:sz w:val="22"/>
          <w:szCs w:val="22"/>
        </w:rPr>
        <w:t>‘Continuous Assurance’ report to statutory officers</w:t>
      </w:r>
      <w:r w:rsidR="003F7AC0" w:rsidRPr="00A21221">
        <w:rPr>
          <w:sz w:val="22"/>
          <w:szCs w:val="22"/>
        </w:rPr>
        <w:t xml:space="preserve"> to </w:t>
      </w:r>
      <w:r w:rsidRPr="00A21221">
        <w:rPr>
          <w:sz w:val="22"/>
          <w:szCs w:val="22"/>
        </w:rPr>
        <w:t>provid</w:t>
      </w:r>
      <w:r w:rsidR="003F7AC0" w:rsidRPr="00A21221">
        <w:rPr>
          <w:sz w:val="22"/>
          <w:szCs w:val="22"/>
        </w:rPr>
        <w:t>e</w:t>
      </w:r>
      <w:r w:rsidRPr="00A21221">
        <w:rPr>
          <w:sz w:val="22"/>
          <w:szCs w:val="22"/>
        </w:rPr>
        <w:t xml:space="preserve"> a</w:t>
      </w:r>
      <w:r w:rsidR="003F7AC0" w:rsidRPr="00A21221">
        <w:rPr>
          <w:sz w:val="22"/>
          <w:szCs w:val="22"/>
        </w:rPr>
        <w:t xml:space="preserve">ssurance </w:t>
      </w:r>
      <w:r w:rsidRPr="00A21221">
        <w:rPr>
          <w:sz w:val="22"/>
          <w:szCs w:val="22"/>
        </w:rPr>
        <w:t>over the Council’s core systems</w:t>
      </w:r>
      <w:r w:rsidR="00B42E22" w:rsidRPr="00A21221">
        <w:rPr>
          <w:sz w:val="22"/>
          <w:szCs w:val="22"/>
        </w:rPr>
        <w:t>.</w:t>
      </w:r>
      <w:r w:rsidR="003F7AC0" w:rsidRPr="00A21221">
        <w:rPr>
          <w:sz w:val="22"/>
          <w:szCs w:val="22"/>
        </w:rPr>
        <w:t xml:space="preserve"> Pro-active work by the Internal Audit Team has </w:t>
      </w:r>
      <w:r w:rsidR="00B42E22" w:rsidRPr="00A21221">
        <w:rPr>
          <w:sz w:val="22"/>
          <w:szCs w:val="22"/>
        </w:rPr>
        <w:t xml:space="preserve">continued to </w:t>
      </w:r>
      <w:r w:rsidR="003F7AC0" w:rsidRPr="00A21221">
        <w:rPr>
          <w:sz w:val="22"/>
          <w:szCs w:val="22"/>
        </w:rPr>
        <w:t xml:space="preserve">ensure that the implementation of Priority 1 recommendations achieves target levels to provide assurance over management implementation. </w:t>
      </w:r>
    </w:p>
    <w:p w14:paraId="4573E9FF" w14:textId="77777777" w:rsidR="003F7AC0" w:rsidRPr="00A21221" w:rsidRDefault="003F7AC0" w:rsidP="00343D87">
      <w:pPr>
        <w:jc w:val="both"/>
        <w:rPr>
          <w:sz w:val="22"/>
          <w:szCs w:val="22"/>
        </w:rPr>
      </w:pPr>
    </w:p>
    <w:p w14:paraId="08DC7D90" w14:textId="4C5FFC60" w:rsidR="006C2BB6" w:rsidRDefault="00993A18" w:rsidP="00343D87">
      <w:pPr>
        <w:jc w:val="both"/>
        <w:rPr>
          <w:sz w:val="22"/>
          <w:szCs w:val="22"/>
        </w:rPr>
      </w:pPr>
      <w:r>
        <w:rPr>
          <w:sz w:val="22"/>
          <w:szCs w:val="22"/>
        </w:rPr>
        <w:t xml:space="preserve">The </w:t>
      </w:r>
      <w:r w:rsidR="006C2BB6" w:rsidRPr="00A21221">
        <w:rPr>
          <w:sz w:val="22"/>
          <w:szCs w:val="22"/>
        </w:rPr>
        <w:t>Organisational Change Board (OCB)</w:t>
      </w:r>
      <w:r>
        <w:rPr>
          <w:sz w:val="22"/>
          <w:szCs w:val="22"/>
        </w:rPr>
        <w:t xml:space="preserve"> has embedded the risk management agenda</w:t>
      </w:r>
      <w:r w:rsidR="006C2BB6" w:rsidRPr="00A21221">
        <w:rPr>
          <w:sz w:val="22"/>
          <w:szCs w:val="22"/>
        </w:rPr>
        <w:t>, which now ensures C</w:t>
      </w:r>
      <w:r w:rsidR="00D75F4E">
        <w:rPr>
          <w:sz w:val="22"/>
          <w:szCs w:val="22"/>
        </w:rPr>
        <w:t xml:space="preserve">hief Officers </w:t>
      </w:r>
      <w:r w:rsidR="006C2BB6" w:rsidRPr="00A21221">
        <w:rPr>
          <w:sz w:val="22"/>
          <w:szCs w:val="22"/>
        </w:rPr>
        <w:t xml:space="preserve">routine involvement and a closer integration of risk with performance management and financial planning. A </w:t>
      </w:r>
      <w:r>
        <w:rPr>
          <w:sz w:val="22"/>
          <w:szCs w:val="22"/>
        </w:rPr>
        <w:t xml:space="preserve">refreshed </w:t>
      </w:r>
      <w:r w:rsidR="006C2BB6" w:rsidRPr="00A21221">
        <w:rPr>
          <w:sz w:val="22"/>
          <w:szCs w:val="22"/>
        </w:rPr>
        <w:t xml:space="preserve">Risk Management Framework is now in </w:t>
      </w:r>
      <w:r w:rsidR="00FB549A" w:rsidRPr="00A21221">
        <w:rPr>
          <w:sz w:val="22"/>
          <w:szCs w:val="22"/>
        </w:rPr>
        <w:t>place,</w:t>
      </w:r>
      <w:r w:rsidR="006C2BB6" w:rsidRPr="00A21221">
        <w:rPr>
          <w:sz w:val="22"/>
          <w:szCs w:val="22"/>
        </w:rPr>
        <w:t xml:space="preserve"> and Corporate </w:t>
      </w:r>
      <w:r>
        <w:rPr>
          <w:sz w:val="22"/>
          <w:szCs w:val="22"/>
        </w:rPr>
        <w:t>Risk Registers are being routinely reviewed by OCB.</w:t>
      </w:r>
    </w:p>
    <w:p w14:paraId="42C8B558" w14:textId="77777777" w:rsidR="00FB549A" w:rsidRDefault="00FB549A" w:rsidP="00343D87">
      <w:pPr>
        <w:jc w:val="both"/>
        <w:rPr>
          <w:sz w:val="22"/>
          <w:szCs w:val="22"/>
        </w:rPr>
      </w:pPr>
    </w:p>
    <w:p w14:paraId="3887623E" w14:textId="70146DA6" w:rsidR="00FB549A" w:rsidRPr="00843CA6" w:rsidRDefault="00FB549A" w:rsidP="00FB549A">
      <w:pPr>
        <w:jc w:val="both"/>
        <w:rPr>
          <w:sz w:val="22"/>
          <w:szCs w:val="22"/>
        </w:rPr>
      </w:pPr>
      <w:r w:rsidRPr="00FB549A">
        <w:rPr>
          <w:sz w:val="22"/>
          <w:szCs w:val="22"/>
        </w:rPr>
        <w:lastRenderedPageBreak/>
        <w:t>Robust, well-led formal overview and scrutiny arrangements are in place, and work is ongoing to continue you to embed this within the work of Council. The Statutory Scrutiny Officer now meets with other Statutory Officers on a six-monthly basis to discuss any issues or concerns and develop the Council’s approach to scrutiny.</w:t>
      </w:r>
      <w:r>
        <w:rPr>
          <w:sz w:val="22"/>
          <w:szCs w:val="22"/>
        </w:rPr>
        <w:t xml:space="preserve">  </w:t>
      </w:r>
    </w:p>
    <w:p w14:paraId="730BADF2" w14:textId="77777777" w:rsidR="00B26DC4" w:rsidRPr="00A21221" w:rsidRDefault="00B26DC4" w:rsidP="00343D87">
      <w:pPr>
        <w:jc w:val="both"/>
      </w:pPr>
    </w:p>
    <w:p w14:paraId="407F534D" w14:textId="77777777" w:rsidR="00937AF0" w:rsidRPr="003D6503" w:rsidRDefault="00937AF0" w:rsidP="00343D87">
      <w:pPr>
        <w:jc w:val="both"/>
        <w:rPr>
          <w:b/>
          <w:bCs/>
          <w:sz w:val="28"/>
          <w:szCs w:val="28"/>
        </w:rPr>
      </w:pPr>
      <w:r w:rsidRPr="003D6503">
        <w:rPr>
          <w:b/>
          <w:bCs/>
          <w:sz w:val="28"/>
          <w:szCs w:val="28"/>
        </w:rPr>
        <w:t>Gaps and challenges</w:t>
      </w:r>
    </w:p>
    <w:p w14:paraId="62284BB6" w14:textId="64CE6055" w:rsidR="002909DA" w:rsidRPr="003D6503" w:rsidRDefault="003113C8" w:rsidP="00343D87">
      <w:pPr>
        <w:jc w:val="both"/>
        <w:rPr>
          <w:sz w:val="22"/>
          <w:szCs w:val="22"/>
        </w:rPr>
      </w:pPr>
      <w:r w:rsidRPr="003D6503">
        <w:rPr>
          <w:sz w:val="22"/>
          <w:szCs w:val="22"/>
        </w:rPr>
        <w:t xml:space="preserve">Compliance with the </w:t>
      </w:r>
      <w:r w:rsidR="00AB3AF6" w:rsidRPr="003D6503">
        <w:rPr>
          <w:sz w:val="22"/>
          <w:szCs w:val="22"/>
        </w:rPr>
        <w:t xml:space="preserve">Local </w:t>
      </w:r>
      <w:r w:rsidRPr="003D6503">
        <w:rPr>
          <w:sz w:val="22"/>
          <w:szCs w:val="22"/>
        </w:rPr>
        <w:t xml:space="preserve">Code is good and specific work has been undertaken to develop the internal control environment </w:t>
      </w:r>
      <w:r w:rsidR="006C2BB6" w:rsidRPr="003D6503">
        <w:rPr>
          <w:sz w:val="22"/>
          <w:szCs w:val="22"/>
        </w:rPr>
        <w:t xml:space="preserve">and risk management framework </w:t>
      </w:r>
      <w:r w:rsidRPr="003D6503">
        <w:rPr>
          <w:sz w:val="22"/>
          <w:szCs w:val="22"/>
        </w:rPr>
        <w:t>which provide</w:t>
      </w:r>
      <w:r w:rsidR="00757798" w:rsidRPr="003D6503">
        <w:rPr>
          <w:sz w:val="22"/>
          <w:szCs w:val="22"/>
        </w:rPr>
        <w:t>s</w:t>
      </w:r>
      <w:r w:rsidRPr="003D6503">
        <w:rPr>
          <w:sz w:val="22"/>
          <w:szCs w:val="22"/>
        </w:rPr>
        <w:t xml:space="preserve"> the basis for the reasonable assurance level. </w:t>
      </w:r>
    </w:p>
    <w:p w14:paraId="2D435DDA" w14:textId="66DAA75A" w:rsidR="00A05E4F" w:rsidRPr="003D6503" w:rsidRDefault="00A05E4F" w:rsidP="00343D87">
      <w:pPr>
        <w:jc w:val="both"/>
      </w:pPr>
    </w:p>
    <w:p w14:paraId="49DAC8DD" w14:textId="75DF1164" w:rsidR="00937AF0" w:rsidRPr="003D6503" w:rsidRDefault="000030F1" w:rsidP="00343D87">
      <w:pPr>
        <w:jc w:val="both"/>
        <w:rPr>
          <w:b/>
          <w:bCs/>
          <w:sz w:val="28"/>
          <w:szCs w:val="28"/>
        </w:rPr>
      </w:pPr>
      <w:r w:rsidRPr="003D6503">
        <w:rPr>
          <w:b/>
          <w:bCs/>
          <w:sz w:val="28"/>
          <w:szCs w:val="28"/>
        </w:rPr>
        <w:t xml:space="preserve">Current Key </w:t>
      </w:r>
      <w:r w:rsidR="00937AF0" w:rsidRPr="003D6503">
        <w:rPr>
          <w:b/>
          <w:bCs/>
          <w:sz w:val="28"/>
          <w:szCs w:val="28"/>
        </w:rPr>
        <w:t>Focus for 202</w:t>
      </w:r>
      <w:r w:rsidR="00993A18" w:rsidRPr="003D6503">
        <w:rPr>
          <w:b/>
          <w:bCs/>
          <w:sz w:val="28"/>
          <w:szCs w:val="28"/>
        </w:rPr>
        <w:t>6/27</w:t>
      </w:r>
    </w:p>
    <w:p w14:paraId="30ADC8D8" w14:textId="67B3ACDF" w:rsidR="003758DF" w:rsidRDefault="00CF0264" w:rsidP="00343D87">
      <w:pPr>
        <w:jc w:val="both"/>
        <w:rPr>
          <w:color w:val="FF0000"/>
          <w:sz w:val="22"/>
          <w:szCs w:val="22"/>
        </w:rPr>
      </w:pPr>
      <w:r w:rsidRPr="003D6503">
        <w:rPr>
          <w:sz w:val="22"/>
          <w:szCs w:val="22"/>
        </w:rPr>
        <w:t xml:space="preserve">Ensure the momentum generated </w:t>
      </w:r>
      <w:r w:rsidR="008B66EC">
        <w:rPr>
          <w:sz w:val="22"/>
          <w:szCs w:val="22"/>
        </w:rPr>
        <w:t>during 2026/27</w:t>
      </w:r>
      <w:r w:rsidR="003D6503">
        <w:rPr>
          <w:sz w:val="22"/>
          <w:szCs w:val="22"/>
        </w:rPr>
        <w:t xml:space="preserve"> </w:t>
      </w:r>
      <w:r w:rsidR="006C2BB6" w:rsidRPr="003D6503">
        <w:rPr>
          <w:sz w:val="22"/>
          <w:szCs w:val="22"/>
        </w:rPr>
        <w:t>continues to drive the integration of Risk Management with other key business processes.</w:t>
      </w:r>
      <w:r w:rsidR="003758DF">
        <w:rPr>
          <w:color w:val="FF0000"/>
          <w:sz w:val="22"/>
          <w:szCs w:val="22"/>
        </w:rPr>
        <w:br w:type="page"/>
      </w:r>
    </w:p>
    <w:tbl>
      <w:tblPr>
        <w:tblStyle w:val="TableGrid"/>
        <w:tblpPr w:leftFromText="180" w:rightFromText="180" w:horzAnchor="margin" w:tblpY="-440"/>
        <w:tblW w:w="14029" w:type="dxa"/>
        <w:tblLook w:val="04A0" w:firstRow="1" w:lastRow="0" w:firstColumn="1" w:lastColumn="0" w:noHBand="0" w:noVBand="1"/>
      </w:tblPr>
      <w:tblGrid>
        <w:gridCol w:w="14029"/>
      </w:tblGrid>
      <w:tr w:rsidR="0094758B" w14:paraId="28798132" w14:textId="77777777" w:rsidTr="0094758B">
        <w:tc>
          <w:tcPr>
            <w:tcW w:w="14029" w:type="dxa"/>
            <w:shd w:val="clear" w:color="auto" w:fill="B4C6E7" w:themeFill="accent1" w:themeFillTint="66"/>
          </w:tcPr>
          <w:p w14:paraId="0457272D" w14:textId="197A2DB9" w:rsidR="0094758B" w:rsidRDefault="000B1C4D" w:rsidP="0094758B">
            <w:pPr>
              <w:pStyle w:val="Header"/>
              <w:rPr>
                <w:rFonts w:cs="Arial"/>
                <w:b/>
                <w:color w:val="000000"/>
                <w:sz w:val="28"/>
                <w:szCs w:val="28"/>
              </w:rPr>
            </w:pPr>
            <w:r>
              <w:rPr>
                <w:rFonts w:cs="Arial"/>
                <w:b/>
                <w:color w:val="000000"/>
                <w:sz w:val="28"/>
                <w:szCs w:val="28"/>
              </w:rPr>
              <w:lastRenderedPageBreak/>
              <w:t>G</w:t>
            </w:r>
            <w:r w:rsidR="0094758B" w:rsidRPr="006172FC">
              <w:rPr>
                <w:rFonts w:cs="Arial"/>
                <w:b/>
                <w:color w:val="000000"/>
                <w:sz w:val="28"/>
                <w:szCs w:val="28"/>
              </w:rPr>
              <w:t xml:space="preserve">. </w:t>
            </w:r>
            <w:r w:rsidR="0086611D" w:rsidRPr="0086611D">
              <w:rPr>
                <w:rStyle w:val="cf01"/>
                <w:rFonts w:ascii="Arial" w:hAnsi="Arial" w:cs="Arial"/>
                <w:b/>
                <w:bCs/>
                <w:sz w:val="28"/>
                <w:szCs w:val="28"/>
              </w:rPr>
              <w:t xml:space="preserve">Implementing good practices in transparency, reporting, and audit to deliver effective </w:t>
            </w:r>
            <w:r w:rsidR="00B35D80" w:rsidRPr="0086611D">
              <w:rPr>
                <w:rStyle w:val="cf01"/>
                <w:rFonts w:ascii="Arial" w:hAnsi="Arial" w:cs="Arial"/>
                <w:b/>
                <w:bCs/>
                <w:sz w:val="28"/>
                <w:szCs w:val="28"/>
              </w:rPr>
              <w:t>accountability.</w:t>
            </w:r>
          </w:p>
          <w:p w14:paraId="1E869795" w14:textId="77777777" w:rsidR="0094758B" w:rsidRDefault="0094758B" w:rsidP="0094758B">
            <w:pPr>
              <w:pStyle w:val="Header"/>
              <w:rPr>
                <w:b/>
                <w:szCs w:val="24"/>
              </w:rPr>
            </w:pPr>
          </w:p>
          <w:p w14:paraId="2C71E561" w14:textId="77777777" w:rsidR="0094758B" w:rsidRPr="006172FC" w:rsidRDefault="0094758B" w:rsidP="0094758B">
            <w:pPr>
              <w:pStyle w:val="Header"/>
            </w:pPr>
            <w:r>
              <w:rPr>
                <w:b/>
                <w:szCs w:val="24"/>
              </w:rPr>
              <w:t xml:space="preserve">                                            </w:t>
            </w:r>
            <w:r w:rsidRPr="003E6D4C">
              <w:rPr>
                <w:b/>
                <w:szCs w:val="24"/>
              </w:rPr>
              <w:t xml:space="preserve">Assessed assurance level for compliance with the Code of Corporate Governance: </w:t>
            </w:r>
            <w:r w:rsidRPr="001F7911">
              <w:rPr>
                <w:b/>
                <w:szCs w:val="24"/>
                <w:shd w:val="clear" w:color="auto" w:fill="92D050"/>
              </w:rPr>
              <w:t>Substantial</w:t>
            </w:r>
          </w:p>
        </w:tc>
      </w:tr>
    </w:tbl>
    <w:p w14:paraId="008AE035" w14:textId="77777777" w:rsidR="0094758B" w:rsidRDefault="0094758B" w:rsidP="00937AF0">
      <w:pPr>
        <w:rPr>
          <w:b/>
          <w:bCs/>
          <w:sz w:val="28"/>
          <w:szCs w:val="28"/>
        </w:rPr>
      </w:pPr>
    </w:p>
    <w:p w14:paraId="6BB5DC67" w14:textId="5607D288" w:rsidR="00A05E4F" w:rsidRPr="00A21221" w:rsidRDefault="00937AF0" w:rsidP="00343D87">
      <w:pPr>
        <w:jc w:val="both"/>
        <w:rPr>
          <w:sz w:val="22"/>
          <w:szCs w:val="22"/>
        </w:rPr>
      </w:pPr>
      <w:r w:rsidRPr="00A21221">
        <w:rPr>
          <w:b/>
          <w:bCs/>
          <w:sz w:val="28"/>
          <w:szCs w:val="28"/>
        </w:rPr>
        <w:t>Compliance with the Local Code</w:t>
      </w:r>
      <w:r w:rsidR="000030F1">
        <w:rPr>
          <w:b/>
          <w:bCs/>
          <w:sz w:val="28"/>
          <w:szCs w:val="28"/>
        </w:rPr>
        <w:t xml:space="preserve"> during 202</w:t>
      </w:r>
      <w:r w:rsidR="00CF7B57">
        <w:rPr>
          <w:b/>
          <w:bCs/>
          <w:sz w:val="28"/>
          <w:szCs w:val="28"/>
        </w:rPr>
        <w:t>5/26</w:t>
      </w:r>
      <w:r w:rsidR="000030F1">
        <w:rPr>
          <w:b/>
          <w:bCs/>
          <w:sz w:val="28"/>
          <w:szCs w:val="28"/>
        </w:rPr>
        <w:t xml:space="preserve"> </w:t>
      </w:r>
      <w:r w:rsidR="00381042" w:rsidRPr="00A21221">
        <w:rPr>
          <w:sz w:val="22"/>
          <w:szCs w:val="22"/>
        </w:rPr>
        <w:t>The evidence collected from the sources of assurance set out above at 3.2 confirmed that the key policies, procedures and practices identified in the Local Code of Corporate Governance remained in force during 202</w:t>
      </w:r>
      <w:r w:rsidR="00CF7B57">
        <w:rPr>
          <w:sz w:val="22"/>
          <w:szCs w:val="22"/>
        </w:rPr>
        <w:t>5/26</w:t>
      </w:r>
      <w:r w:rsidR="00381042" w:rsidRPr="00A21221">
        <w:rPr>
          <w:sz w:val="22"/>
          <w:szCs w:val="22"/>
        </w:rPr>
        <w:t>.</w:t>
      </w:r>
      <w:r w:rsidR="00816FCD" w:rsidRPr="00A21221">
        <w:rPr>
          <w:sz w:val="22"/>
          <w:szCs w:val="22"/>
        </w:rPr>
        <w:t xml:space="preserve"> The requirements of the Transparency Code were complied with</w:t>
      </w:r>
      <w:r w:rsidR="000601A0">
        <w:rPr>
          <w:sz w:val="22"/>
          <w:szCs w:val="22"/>
        </w:rPr>
        <w:t xml:space="preserve"> during the year</w:t>
      </w:r>
      <w:r w:rsidR="00816FCD" w:rsidRPr="00A21221">
        <w:rPr>
          <w:sz w:val="22"/>
          <w:szCs w:val="22"/>
        </w:rPr>
        <w:t>.</w:t>
      </w:r>
    </w:p>
    <w:p w14:paraId="0A351170" w14:textId="30EA99F4" w:rsidR="00381042" w:rsidRPr="00A21221" w:rsidRDefault="00381042" w:rsidP="00343D87">
      <w:pPr>
        <w:jc w:val="both"/>
        <w:rPr>
          <w:sz w:val="22"/>
          <w:szCs w:val="22"/>
        </w:rPr>
      </w:pPr>
    </w:p>
    <w:p w14:paraId="3320FC2F" w14:textId="2422CBD7" w:rsidR="00381042" w:rsidRPr="00A21221" w:rsidRDefault="00381042" w:rsidP="00343D87">
      <w:pPr>
        <w:jc w:val="both"/>
        <w:rPr>
          <w:sz w:val="22"/>
          <w:szCs w:val="22"/>
        </w:rPr>
      </w:pPr>
      <w:r w:rsidRPr="00A21221">
        <w:rPr>
          <w:sz w:val="22"/>
          <w:szCs w:val="22"/>
        </w:rPr>
        <w:t>The Head of Internal Audit’s Annual Report confirm</w:t>
      </w:r>
      <w:r w:rsidR="00B92C76" w:rsidRPr="00A21221">
        <w:rPr>
          <w:sz w:val="22"/>
          <w:szCs w:val="22"/>
        </w:rPr>
        <w:t>s</w:t>
      </w:r>
      <w:r w:rsidRPr="00A21221">
        <w:rPr>
          <w:sz w:val="22"/>
          <w:szCs w:val="22"/>
        </w:rPr>
        <w:t xml:space="preserve"> the Internal Audit service remained </w:t>
      </w:r>
      <w:r w:rsidR="00CF7B57">
        <w:rPr>
          <w:sz w:val="22"/>
          <w:szCs w:val="22"/>
        </w:rPr>
        <w:t xml:space="preserve">‘generally </w:t>
      </w:r>
      <w:r w:rsidRPr="00A21221">
        <w:rPr>
          <w:sz w:val="22"/>
          <w:szCs w:val="22"/>
        </w:rPr>
        <w:t>compliant</w:t>
      </w:r>
      <w:r w:rsidR="00CF7B57">
        <w:rPr>
          <w:sz w:val="22"/>
          <w:szCs w:val="22"/>
        </w:rPr>
        <w:t>’</w:t>
      </w:r>
      <w:r w:rsidRPr="00A21221">
        <w:rPr>
          <w:sz w:val="22"/>
          <w:szCs w:val="22"/>
        </w:rPr>
        <w:t xml:space="preserve"> with the </w:t>
      </w:r>
      <w:r w:rsidR="00CF7B57">
        <w:rPr>
          <w:sz w:val="22"/>
          <w:szCs w:val="22"/>
        </w:rPr>
        <w:t xml:space="preserve">Global </w:t>
      </w:r>
      <w:r w:rsidRPr="00A21221">
        <w:rPr>
          <w:sz w:val="22"/>
          <w:szCs w:val="22"/>
        </w:rPr>
        <w:t xml:space="preserve">Internal Audit Standards </w:t>
      </w:r>
      <w:r w:rsidR="00CF7B57">
        <w:rPr>
          <w:sz w:val="22"/>
          <w:szCs w:val="22"/>
        </w:rPr>
        <w:t xml:space="preserve">UK Public Sector </w:t>
      </w:r>
      <w:r w:rsidRPr="00A21221">
        <w:rPr>
          <w:sz w:val="22"/>
          <w:szCs w:val="22"/>
        </w:rPr>
        <w:t>in 202</w:t>
      </w:r>
      <w:r w:rsidR="00CF7B57">
        <w:rPr>
          <w:sz w:val="22"/>
          <w:szCs w:val="22"/>
        </w:rPr>
        <w:t>5/26</w:t>
      </w:r>
      <w:r w:rsidR="00EC06A7" w:rsidRPr="00A21221">
        <w:rPr>
          <w:sz w:val="22"/>
          <w:szCs w:val="22"/>
        </w:rPr>
        <w:t xml:space="preserve">. The service </w:t>
      </w:r>
      <w:r w:rsidR="00B92C76" w:rsidRPr="00A21221">
        <w:rPr>
          <w:sz w:val="22"/>
          <w:szCs w:val="22"/>
        </w:rPr>
        <w:t xml:space="preserve">has </w:t>
      </w:r>
      <w:r w:rsidRPr="00A21221">
        <w:rPr>
          <w:sz w:val="22"/>
          <w:szCs w:val="22"/>
        </w:rPr>
        <w:t>update</w:t>
      </w:r>
      <w:r w:rsidR="00B92C76" w:rsidRPr="00A21221">
        <w:rPr>
          <w:sz w:val="22"/>
          <w:szCs w:val="22"/>
        </w:rPr>
        <w:t>d</w:t>
      </w:r>
      <w:r w:rsidRPr="00A21221">
        <w:rPr>
          <w:sz w:val="22"/>
          <w:szCs w:val="22"/>
        </w:rPr>
        <w:t xml:space="preserve"> its Quality Assurance and Improvement Plan for </w:t>
      </w:r>
      <w:r w:rsidR="005D763A" w:rsidRPr="00A21221">
        <w:rPr>
          <w:sz w:val="22"/>
          <w:szCs w:val="22"/>
        </w:rPr>
        <w:t>the coming year</w:t>
      </w:r>
      <w:r w:rsidR="006C4E93" w:rsidRPr="00A21221">
        <w:rPr>
          <w:sz w:val="22"/>
          <w:szCs w:val="22"/>
        </w:rPr>
        <w:t xml:space="preserve"> and captured </w:t>
      </w:r>
      <w:r w:rsidR="00CF7B57">
        <w:rPr>
          <w:sz w:val="22"/>
          <w:szCs w:val="22"/>
        </w:rPr>
        <w:t xml:space="preserve">continuous </w:t>
      </w:r>
      <w:r w:rsidR="006C4E93" w:rsidRPr="00A21221">
        <w:rPr>
          <w:sz w:val="22"/>
          <w:szCs w:val="22"/>
        </w:rPr>
        <w:t>developments</w:t>
      </w:r>
      <w:r w:rsidR="00CF7B57">
        <w:rPr>
          <w:sz w:val="22"/>
          <w:szCs w:val="22"/>
        </w:rPr>
        <w:t>.</w:t>
      </w:r>
    </w:p>
    <w:p w14:paraId="3AD557CD" w14:textId="77777777" w:rsidR="00A05E4F" w:rsidRPr="00A21221" w:rsidRDefault="00A05E4F" w:rsidP="00343D87">
      <w:pPr>
        <w:jc w:val="both"/>
      </w:pPr>
    </w:p>
    <w:p w14:paraId="763226DA" w14:textId="6D5B81A5" w:rsidR="00A05E4F" w:rsidRPr="00A21221" w:rsidRDefault="00381042" w:rsidP="00343D87">
      <w:pPr>
        <w:jc w:val="both"/>
        <w:rPr>
          <w:sz w:val="22"/>
          <w:szCs w:val="22"/>
        </w:rPr>
      </w:pPr>
      <w:r w:rsidRPr="00A21221">
        <w:rPr>
          <w:sz w:val="22"/>
          <w:szCs w:val="22"/>
        </w:rPr>
        <w:t xml:space="preserve">The Governance and Ethics Committee continued to receive assurance from </w:t>
      </w:r>
      <w:r w:rsidR="00816FCD" w:rsidRPr="00A21221">
        <w:rPr>
          <w:sz w:val="22"/>
          <w:szCs w:val="22"/>
        </w:rPr>
        <w:t>key reporting sources during the year:</w:t>
      </w:r>
    </w:p>
    <w:p w14:paraId="106F30F7" w14:textId="776514C9" w:rsidR="00B92C76" w:rsidRPr="00A21221" w:rsidRDefault="00B92C76" w:rsidP="00343D87">
      <w:pPr>
        <w:pStyle w:val="ListParagraph"/>
        <w:numPr>
          <w:ilvl w:val="0"/>
          <w:numId w:val="6"/>
        </w:numPr>
        <w:ind w:left="426"/>
        <w:jc w:val="both"/>
        <w:rPr>
          <w:sz w:val="22"/>
          <w:szCs w:val="22"/>
        </w:rPr>
      </w:pPr>
      <w:r w:rsidRPr="00A21221">
        <w:rPr>
          <w:sz w:val="22"/>
          <w:szCs w:val="22"/>
        </w:rPr>
        <w:t>Internal Audit Progress and Termly Planning</w:t>
      </w:r>
      <w:r w:rsidR="00CF7B57">
        <w:rPr>
          <w:sz w:val="22"/>
          <w:szCs w:val="22"/>
        </w:rPr>
        <w:t xml:space="preserve"> Reports</w:t>
      </w:r>
    </w:p>
    <w:p w14:paraId="32B4BF26" w14:textId="708A9B28" w:rsidR="00816FCD" w:rsidRPr="00A21221" w:rsidRDefault="00816FCD" w:rsidP="00343D87">
      <w:pPr>
        <w:pStyle w:val="ListParagraph"/>
        <w:numPr>
          <w:ilvl w:val="0"/>
          <w:numId w:val="6"/>
        </w:numPr>
        <w:ind w:left="426"/>
        <w:jc w:val="both"/>
        <w:rPr>
          <w:sz w:val="22"/>
          <w:szCs w:val="22"/>
        </w:rPr>
      </w:pPr>
      <w:r w:rsidRPr="00A21221">
        <w:rPr>
          <w:sz w:val="22"/>
          <w:szCs w:val="22"/>
        </w:rPr>
        <w:t>Reports of Internal Audit</w:t>
      </w:r>
      <w:r w:rsidR="005D763A" w:rsidRPr="00A21221">
        <w:rPr>
          <w:sz w:val="22"/>
          <w:szCs w:val="22"/>
        </w:rPr>
        <w:t xml:space="preserve"> and External Audit</w:t>
      </w:r>
    </w:p>
    <w:p w14:paraId="715ABE17" w14:textId="0205A784" w:rsidR="00816FCD" w:rsidRPr="00A21221" w:rsidRDefault="00CF7B57" w:rsidP="00343D87">
      <w:pPr>
        <w:pStyle w:val="ListParagraph"/>
        <w:numPr>
          <w:ilvl w:val="0"/>
          <w:numId w:val="6"/>
        </w:numPr>
        <w:ind w:left="426"/>
        <w:jc w:val="both"/>
        <w:rPr>
          <w:sz w:val="22"/>
          <w:szCs w:val="22"/>
        </w:rPr>
      </w:pPr>
      <w:r>
        <w:rPr>
          <w:sz w:val="22"/>
          <w:szCs w:val="22"/>
        </w:rPr>
        <w:t>R</w:t>
      </w:r>
      <w:r w:rsidR="00816FCD" w:rsidRPr="00A21221">
        <w:rPr>
          <w:sz w:val="22"/>
          <w:szCs w:val="22"/>
        </w:rPr>
        <w:t>eviewing</w:t>
      </w:r>
      <w:r>
        <w:rPr>
          <w:sz w:val="22"/>
          <w:szCs w:val="22"/>
        </w:rPr>
        <w:t xml:space="preserve"> </w:t>
      </w:r>
      <w:r w:rsidR="00816FCD" w:rsidRPr="00A21221">
        <w:rPr>
          <w:sz w:val="22"/>
          <w:szCs w:val="22"/>
        </w:rPr>
        <w:t>Ombudsman judgments received during the year, including the Ombudsman’s annual report.</w:t>
      </w:r>
    </w:p>
    <w:p w14:paraId="7D097D4A" w14:textId="77777777" w:rsidR="00A05E4F" w:rsidRPr="00A21221" w:rsidRDefault="00A05E4F" w:rsidP="00343D87">
      <w:pPr>
        <w:jc w:val="both"/>
      </w:pPr>
    </w:p>
    <w:p w14:paraId="007FB518" w14:textId="00BE91A7" w:rsidR="00937AF0" w:rsidRPr="00A21221" w:rsidRDefault="00937AF0" w:rsidP="00343D87">
      <w:pPr>
        <w:jc w:val="both"/>
        <w:rPr>
          <w:b/>
          <w:bCs/>
          <w:sz w:val="28"/>
          <w:szCs w:val="28"/>
        </w:rPr>
      </w:pPr>
      <w:r w:rsidRPr="00A21221">
        <w:rPr>
          <w:b/>
          <w:bCs/>
          <w:sz w:val="28"/>
          <w:szCs w:val="28"/>
        </w:rPr>
        <w:t>Improvements &amp; developments during 202</w:t>
      </w:r>
      <w:r w:rsidR="00CF7B57">
        <w:rPr>
          <w:b/>
          <w:bCs/>
          <w:sz w:val="28"/>
          <w:szCs w:val="28"/>
        </w:rPr>
        <w:t>5/26</w:t>
      </w:r>
    </w:p>
    <w:p w14:paraId="655606AF" w14:textId="0E9531F3" w:rsidR="00257B82" w:rsidRPr="00FC73AD" w:rsidRDefault="00FC73AD" w:rsidP="00343D87">
      <w:pPr>
        <w:jc w:val="both"/>
        <w:rPr>
          <w:sz w:val="22"/>
          <w:szCs w:val="22"/>
        </w:rPr>
      </w:pPr>
      <w:r w:rsidRPr="00FC73AD">
        <w:rPr>
          <w:sz w:val="22"/>
          <w:szCs w:val="22"/>
        </w:rPr>
        <w:t xml:space="preserve">The Council has been undertaking a review of its constitution during 2025/26. The process is ongoing and aims to improve the decision-making process for the Council and to strengthen the terms of reference for the Governance &amp; Ethics Committee with </w:t>
      </w:r>
      <w:proofErr w:type="gramStart"/>
      <w:r w:rsidRPr="00FC73AD">
        <w:rPr>
          <w:sz w:val="22"/>
          <w:szCs w:val="22"/>
        </w:rPr>
        <w:t>particular regard</w:t>
      </w:r>
      <w:proofErr w:type="gramEnd"/>
      <w:r w:rsidRPr="00FC73AD">
        <w:rPr>
          <w:sz w:val="22"/>
          <w:szCs w:val="22"/>
        </w:rPr>
        <w:t xml:space="preserve"> to clearer delineation and support for its audit functions.</w:t>
      </w:r>
    </w:p>
    <w:p w14:paraId="7EE3836F" w14:textId="77777777" w:rsidR="00D663D4" w:rsidRPr="00A21221" w:rsidRDefault="00D663D4" w:rsidP="00343D87">
      <w:pPr>
        <w:jc w:val="both"/>
        <w:rPr>
          <w:sz w:val="22"/>
          <w:szCs w:val="22"/>
        </w:rPr>
      </w:pPr>
    </w:p>
    <w:p w14:paraId="341F0ECD" w14:textId="77777777" w:rsidR="00C8747A" w:rsidRPr="00A21221" w:rsidRDefault="00C8747A" w:rsidP="00343D87">
      <w:pPr>
        <w:jc w:val="both"/>
        <w:rPr>
          <w:b/>
          <w:bCs/>
          <w:sz w:val="28"/>
          <w:szCs w:val="28"/>
        </w:rPr>
      </w:pPr>
    </w:p>
    <w:p w14:paraId="1513236A" w14:textId="77777777" w:rsidR="00D663D4" w:rsidRDefault="00D663D4" w:rsidP="00343D87">
      <w:pPr>
        <w:jc w:val="both"/>
        <w:rPr>
          <w:b/>
          <w:bCs/>
          <w:sz w:val="28"/>
          <w:szCs w:val="28"/>
        </w:rPr>
      </w:pPr>
    </w:p>
    <w:p w14:paraId="32AE38D3" w14:textId="77777777" w:rsidR="00FC73AD" w:rsidRPr="00A21221" w:rsidRDefault="00FC73AD" w:rsidP="00343D87">
      <w:pPr>
        <w:jc w:val="both"/>
        <w:rPr>
          <w:b/>
          <w:bCs/>
          <w:sz w:val="28"/>
          <w:szCs w:val="28"/>
        </w:rPr>
      </w:pPr>
    </w:p>
    <w:p w14:paraId="000B4922" w14:textId="77777777" w:rsidR="00D663D4" w:rsidRPr="00A21221" w:rsidRDefault="00D663D4" w:rsidP="00343D87">
      <w:pPr>
        <w:jc w:val="both"/>
        <w:rPr>
          <w:b/>
          <w:bCs/>
          <w:sz w:val="28"/>
          <w:szCs w:val="28"/>
        </w:rPr>
      </w:pPr>
    </w:p>
    <w:p w14:paraId="21480276" w14:textId="77777777" w:rsidR="005249B2" w:rsidRDefault="005249B2" w:rsidP="00343D87">
      <w:pPr>
        <w:jc w:val="both"/>
        <w:rPr>
          <w:b/>
          <w:bCs/>
          <w:sz w:val="28"/>
          <w:szCs w:val="28"/>
        </w:rPr>
      </w:pPr>
    </w:p>
    <w:p w14:paraId="45F166AE" w14:textId="77777777" w:rsidR="00FC73AD" w:rsidRDefault="00FC73AD" w:rsidP="00343D87">
      <w:pPr>
        <w:jc w:val="both"/>
        <w:rPr>
          <w:b/>
          <w:bCs/>
          <w:sz w:val="28"/>
          <w:szCs w:val="28"/>
        </w:rPr>
      </w:pPr>
    </w:p>
    <w:p w14:paraId="6FAB8FFB" w14:textId="60C6CE9E" w:rsidR="00937AF0" w:rsidRPr="00A21221" w:rsidRDefault="00937AF0" w:rsidP="00343D87">
      <w:pPr>
        <w:jc w:val="both"/>
        <w:rPr>
          <w:b/>
          <w:bCs/>
          <w:sz w:val="28"/>
          <w:szCs w:val="28"/>
        </w:rPr>
      </w:pPr>
      <w:r w:rsidRPr="00A21221">
        <w:rPr>
          <w:b/>
          <w:bCs/>
          <w:sz w:val="28"/>
          <w:szCs w:val="28"/>
        </w:rPr>
        <w:t>Gaps and challenges</w:t>
      </w:r>
    </w:p>
    <w:p w14:paraId="138481E6" w14:textId="5844A7A3" w:rsidR="00A05E4F" w:rsidRPr="00A21221" w:rsidRDefault="00171C04" w:rsidP="00343D87">
      <w:pPr>
        <w:jc w:val="both"/>
        <w:rPr>
          <w:sz w:val="22"/>
          <w:szCs w:val="22"/>
        </w:rPr>
      </w:pPr>
      <w:r w:rsidRPr="00A21221">
        <w:rPr>
          <w:sz w:val="22"/>
          <w:szCs w:val="22"/>
        </w:rPr>
        <w:t xml:space="preserve">Compliance to the </w:t>
      </w:r>
      <w:r w:rsidR="00757798" w:rsidRPr="00A21221">
        <w:rPr>
          <w:sz w:val="22"/>
          <w:szCs w:val="22"/>
        </w:rPr>
        <w:t xml:space="preserve">Local </w:t>
      </w:r>
      <w:r w:rsidRPr="00A21221">
        <w:rPr>
          <w:sz w:val="22"/>
          <w:szCs w:val="22"/>
        </w:rPr>
        <w:t xml:space="preserve">Code through the evidence of established procedures and assurance provided to and by the operation of the Governance &amp; Ethics Committee provides substantial assurance. </w:t>
      </w:r>
    </w:p>
    <w:p w14:paraId="6D97F674" w14:textId="79D6A391" w:rsidR="00EC06A7" w:rsidRPr="00A21221" w:rsidRDefault="00EC06A7" w:rsidP="00343D87">
      <w:pPr>
        <w:jc w:val="both"/>
        <w:rPr>
          <w:sz w:val="22"/>
          <w:szCs w:val="22"/>
        </w:rPr>
      </w:pPr>
    </w:p>
    <w:p w14:paraId="3A4DF361" w14:textId="233A1C24" w:rsidR="00EC06A7" w:rsidRPr="00A21221" w:rsidRDefault="00B92C76" w:rsidP="00343D87">
      <w:pPr>
        <w:jc w:val="both"/>
        <w:rPr>
          <w:sz w:val="22"/>
          <w:szCs w:val="22"/>
        </w:rPr>
      </w:pPr>
      <w:r w:rsidRPr="00A21221">
        <w:rPr>
          <w:sz w:val="22"/>
          <w:szCs w:val="22"/>
        </w:rPr>
        <w:t xml:space="preserve">Despite </w:t>
      </w:r>
      <w:r w:rsidR="00CF7B57">
        <w:rPr>
          <w:sz w:val="22"/>
          <w:szCs w:val="22"/>
        </w:rPr>
        <w:t>pressures due to national capacity issues in the sector, beyond the control of the Council</w:t>
      </w:r>
      <w:r w:rsidR="00EC06A7" w:rsidRPr="00A21221">
        <w:rPr>
          <w:sz w:val="22"/>
          <w:szCs w:val="22"/>
        </w:rPr>
        <w:t xml:space="preserve">, </w:t>
      </w:r>
      <w:r w:rsidR="00CF7B57">
        <w:rPr>
          <w:sz w:val="22"/>
          <w:szCs w:val="22"/>
        </w:rPr>
        <w:t xml:space="preserve">our </w:t>
      </w:r>
      <w:r w:rsidR="00F362D0" w:rsidRPr="00A21221">
        <w:rPr>
          <w:sz w:val="22"/>
          <w:szCs w:val="22"/>
        </w:rPr>
        <w:t>external auditor</w:t>
      </w:r>
      <w:r w:rsidR="00CF7B57">
        <w:rPr>
          <w:sz w:val="22"/>
          <w:szCs w:val="22"/>
        </w:rPr>
        <w:t xml:space="preserve"> issued, an </w:t>
      </w:r>
      <w:r w:rsidR="00E51356" w:rsidRPr="00A21221">
        <w:rPr>
          <w:sz w:val="22"/>
          <w:szCs w:val="22"/>
        </w:rPr>
        <w:t xml:space="preserve">unqualified opinion on the </w:t>
      </w:r>
      <w:r w:rsidR="00CF7B57">
        <w:rPr>
          <w:sz w:val="22"/>
          <w:szCs w:val="22"/>
        </w:rPr>
        <w:t xml:space="preserve">latest </w:t>
      </w:r>
      <w:r w:rsidR="00E51356" w:rsidRPr="00A21221">
        <w:rPr>
          <w:sz w:val="22"/>
          <w:szCs w:val="22"/>
        </w:rPr>
        <w:t>financial statements</w:t>
      </w:r>
      <w:r w:rsidR="00CF7B57">
        <w:rPr>
          <w:sz w:val="22"/>
          <w:szCs w:val="22"/>
        </w:rPr>
        <w:t xml:space="preserve"> and their An</w:t>
      </w:r>
      <w:r w:rsidR="00F362D0" w:rsidRPr="00A21221">
        <w:rPr>
          <w:sz w:val="22"/>
          <w:szCs w:val="22"/>
        </w:rPr>
        <w:t xml:space="preserve">nual </w:t>
      </w:r>
      <w:r w:rsidRPr="00A21221">
        <w:rPr>
          <w:sz w:val="22"/>
          <w:szCs w:val="22"/>
        </w:rPr>
        <w:t>Audit Report</w:t>
      </w:r>
      <w:r w:rsidR="00E51356" w:rsidRPr="00A21221">
        <w:rPr>
          <w:sz w:val="22"/>
          <w:szCs w:val="22"/>
        </w:rPr>
        <w:t>.</w:t>
      </w:r>
    </w:p>
    <w:p w14:paraId="790E041E" w14:textId="29C0E192" w:rsidR="009B2F19" w:rsidRPr="00A21221" w:rsidRDefault="009B2F19" w:rsidP="00343D87">
      <w:pPr>
        <w:jc w:val="both"/>
        <w:rPr>
          <w:sz w:val="22"/>
          <w:szCs w:val="22"/>
        </w:rPr>
      </w:pPr>
    </w:p>
    <w:p w14:paraId="679A5C74" w14:textId="10536EA8" w:rsidR="009B2F19" w:rsidRPr="00A21221" w:rsidRDefault="00B92C76" w:rsidP="00343D87">
      <w:pPr>
        <w:jc w:val="both"/>
        <w:rPr>
          <w:sz w:val="22"/>
          <w:szCs w:val="22"/>
        </w:rPr>
      </w:pPr>
      <w:r w:rsidRPr="00A21221">
        <w:rPr>
          <w:sz w:val="22"/>
          <w:szCs w:val="22"/>
        </w:rPr>
        <w:t>P</w:t>
      </w:r>
      <w:r w:rsidR="003D12C9" w:rsidRPr="00A21221">
        <w:rPr>
          <w:sz w:val="22"/>
          <w:szCs w:val="22"/>
        </w:rPr>
        <w:t>ro-active work by the Internal Audit Team ha</w:t>
      </w:r>
      <w:r w:rsidRPr="00A21221">
        <w:rPr>
          <w:sz w:val="22"/>
          <w:szCs w:val="22"/>
        </w:rPr>
        <w:t xml:space="preserve">s </w:t>
      </w:r>
      <w:r w:rsidR="006C4E93" w:rsidRPr="00A21221">
        <w:rPr>
          <w:sz w:val="22"/>
          <w:szCs w:val="22"/>
        </w:rPr>
        <w:t xml:space="preserve">continued to </w:t>
      </w:r>
      <w:r w:rsidRPr="00A21221">
        <w:rPr>
          <w:sz w:val="22"/>
          <w:szCs w:val="22"/>
        </w:rPr>
        <w:t xml:space="preserve">see the assurance obtained through the implementation of Priority 1 recommendations maintain target levels </w:t>
      </w:r>
      <w:r w:rsidR="00171C04" w:rsidRPr="00A21221">
        <w:rPr>
          <w:sz w:val="22"/>
          <w:szCs w:val="22"/>
        </w:rPr>
        <w:t>and</w:t>
      </w:r>
      <w:r w:rsidR="006C4E93" w:rsidRPr="00A21221">
        <w:rPr>
          <w:sz w:val="22"/>
          <w:szCs w:val="22"/>
        </w:rPr>
        <w:t xml:space="preserve"> work </w:t>
      </w:r>
      <w:r w:rsidR="003D12C9" w:rsidRPr="00A21221">
        <w:rPr>
          <w:sz w:val="22"/>
          <w:szCs w:val="22"/>
        </w:rPr>
        <w:t xml:space="preserve">will continue to </w:t>
      </w:r>
      <w:r w:rsidRPr="00A21221">
        <w:rPr>
          <w:sz w:val="22"/>
          <w:szCs w:val="22"/>
        </w:rPr>
        <w:t>ensure this continues to be achieved.</w:t>
      </w:r>
    </w:p>
    <w:p w14:paraId="0D3C40D1" w14:textId="77777777" w:rsidR="00A05E4F" w:rsidRPr="00A21221" w:rsidRDefault="00A05E4F" w:rsidP="00343D87">
      <w:pPr>
        <w:jc w:val="both"/>
      </w:pPr>
    </w:p>
    <w:p w14:paraId="7359D88D" w14:textId="77777777" w:rsidR="00A05E4F" w:rsidRPr="00A21221" w:rsidRDefault="00A05E4F" w:rsidP="00343D87">
      <w:pPr>
        <w:jc w:val="both"/>
      </w:pPr>
    </w:p>
    <w:p w14:paraId="6958A751" w14:textId="1AF951BB" w:rsidR="00937AF0" w:rsidRPr="00A21221" w:rsidRDefault="000030F1" w:rsidP="00343D87">
      <w:pPr>
        <w:jc w:val="both"/>
        <w:rPr>
          <w:b/>
          <w:bCs/>
          <w:sz w:val="28"/>
          <w:szCs w:val="28"/>
        </w:rPr>
      </w:pPr>
      <w:r>
        <w:rPr>
          <w:b/>
          <w:bCs/>
          <w:sz w:val="28"/>
          <w:szCs w:val="28"/>
        </w:rPr>
        <w:t xml:space="preserve">Current Key </w:t>
      </w:r>
      <w:r w:rsidR="00937AF0" w:rsidRPr="00A21221">
        <w:rPr>
          <w:b/>
          <w:bCs/>
          <w:sz w:val="28"/>
          <w:szCs w:val="28"/>
        </w:rPr>
        <w:t>Focus for 202</w:t>
      </w:r>
      <w:r w:rsidR="007C2489">
        <w:rPr>
          <w:b/>
          <w:bCs/>
          <w:sz w:val="28"/>
          <w:szCs w:val="28"/>
        </w:rPr>
        <w:t>6</w:t>
      </w:r>
      <w:r w:rsidR="00016087" w:rsidRPr="00A21221">
        <w:rPr>
          <w:b/>
          <w:bCs/>
          <w:sz w:val="28"/>
          <w:szCs w:val="28"/>
        </w:rPr>
        <w:t>/2</w:t>
      </w:r>
      <w:r w:rsidR="007C2489">
        <w:rPr>
          <w:b/>
          <w:bCs/>
          <w:sz w:val="28"/>
          <w:szCs w:val="28"/>
        </w:rPr>
        <w:t>7</w:t>
      </w:r>
    </w:p>
    <w:p w14:paraId="4508F313" w14:textId="1EEA484A" w:rsidR="009B2F19" w:rsidRPr="00A21221" w:rsidRDefault="00B92C76" w:rsidP="00343D87">
      <w:pPr>
        <w:jc w:val="both"/>
        <w:rPr>
          <w:sz w:val="22"/>
          <w:szCs w:val="22"/>
        </w:rPr>
      </w:pPr>
      <w:r w:rsidRPr="00A21221">
        <w:rPr>
          <w:sz w:val="22"/>
          <w:szCs w:val="22"/>
        </w:rPr>
        <w:t xml:space="preserve">Continue to </w:t>
      </w:r>
      <w:r w:rsidR="006C4E93" w:rsidRPr="00A21221">
        <w:rPr>
          <w:sz w:val="22"/>
          <w:szCs w:val="22"/>
        </w:rPr>
        <w:t xml:space="preserve">ensure the effective implementation of </w:t>
      </w:r>
      <w:r w:rsidR="00CF7B57">
        <w:rPr>
          <w:sz w:val="22"/>
          <w:szCs w:val="22"/>
        </w:rPr>
        <w:t>Global I</w:t>
      </w:r>
      <w:r w:rsidR="006C4E93" w:rsidRPr="00A21221">
        <w:rPr>
          <w:sz w:val="22"/>
          <w:szCs w:val="22"/>
        </w:rPr>
        <w:t>nternal Audit Standards and delivery of termly planned activities.</w:t>
      </w:r>
    </w:p>
    <w:p w14:paraId="627FCB21" w14:textId="77777777" w:rsidR="009B2F19" w:rsidRPr="00A21221" w:rsidRDefault="009B2F19" w:rsidP="00343D87">
      <w:pPr>
        <w:jc w:val="both"/>
        <w:rPr>
          <w:sz w:val="22"/>
          <w:szCs w:val="22"/>
        </w:rPr>
      </w:pPr>
    </w:p>
    <w:p w14:paraId="65CE2A93" w14:textId="77777777" w:rsidR="009B2F19" w:rsidRDefault="008711D7" w:rsidP="00343D87">
      <w:pPr>
        <w:jc w:val="both"/>
        <w:rPr>
          <w:sz w:val="22"/>
          <w:szCs w:val="22"/>
        </w:rPr>
      </w:pPr>
      <w:r w:rsidRPr="00A21221">
        <w:rPr>
          <w:sz w:val="22"/>
          <w:szCs w:val="22"/>
        </w:rPr>
        <w:t>Continue to maintain</w:t>
      </w:r>
      <w:r w:rsidR="00B92C76" w:rsidRPr="00A21221">
        <w:rPr>
          <w:sz w:val="22"/>
          <w:szCs w:val="22"/>
        </w:rPr>
        <w:t xml:space="preserve"> impetus </w:t>
      </w:r>
      <w:r w:rsidR="009B2F19" w:rsidRPr="00A21221">
        <w:rPr>
          <w:sz w:val="22"/>
          <w:szCs w:val="22"/>
        </w:rPr>
        <w:t>to drive through agreed actions from internal audit reports in a timely manner.</w:t>
      </w:r>
    </w:p>
    <w:p w14:paraId="3092EDBB" w14:textId="77777777" w:rsidR="00FB549A" w:rsidRDefault="00FB549A" w:rsidP="00343D87">
      <w:pPr>
        <w:jc w:val="both"/>
        <w:rPr>
          <w:sz w:val="22"/>
          <w:szCs w:val="22"/>
        </w:rPr>
      </w:pPr>
    </w:p>
    <w:p w14:paraId="3F7CD6F0" w14:textId="706FFB04" w:rsidR="00FB549A" w:rsidRPr="00A21221" w:rsidRDefault="00FB549A" w:rsidP="00343D87">
      <w:pPr>
        <w:jc w:val="both"/>
        <w:rPr>
          <w:sz w:val="22"/>
          <w:szCs w:val="22"/>
        </w:rPr>
        <w:sectPr w:rsidR="00FB549A" w:rsidRPr="00A21221" w:rsidSect="00411D17">
          <w:headerReference w:type="default" r:id="rId20"/>
          <w:pgSz w:w="16838" w:h="11906" w:orient="landscape"/>
          <w:pgMar w:top="851" w:right="1440" w:bottom="1440" w:left="1440" w:header="709" w:footer="709" w:gutter="0"/>
          <w:cols w:num="2" w:space="708"/>
          <w:docGrid w:linePitch="360"/>
        </w:sectPr>
      </w:pPr>
      <w:r w:rsidRPr="00FB549A">
        <w:rPr>
          <w:sz w:val="22"/>
          <w:szCs w:val="22"/>
        </w:rPr>
        <w:t xml:space="preserve">Following an Audit and feedback from the Corporate Peer Challenge, the arrangements for the Council’s strategic oversight of its Arm’s Length Companies are being strengthened by the creation of a Cabinet Shareholder Sub Committee. Work is underway to develop and embed the approach within the Council’s reporting and governance structures and ensure appropriate support and training is available for officers and members in relation to their </w:t>
      </w:r>
      <w:proofErr w:type="gramStart"/>
      <w:r w:rsidRPr="00FB549A">
        <w:rPr>
          <w:sz w:val="22"/>
          <w:szCs w:val="22"/>
        </w:rPr>
        <w:t>particular roles</w:t>
      </w:r>
      <w:proofErr w:type="gramEnd"/>
      <w:r w:rsidRPr="00FB549A">
        <w:rPr>
          <w:sz w:val="22"/>
          <w:szCs w:val="22"/>
        </w:rPr>
        <w:t>.</w:t>
      </w:r>
      <w:r>
        <w:rPr>
          <w:sz w:val="22"/>
          <w:szCs w:val="22"/>
        </w:rPr>
        <w:t xml:space="preserve">  </w:t>
      </w:r>
    </w:p>
    <w:p w14:paraId="7448EA6D" w14:textId="5ABB7574" w:rsidR="009E35D4" w:rsidRPr="00E67341" w:rsidRDefault="009E35D4" w:rsidP="009E35D4">
      <w:pPr>
        <w:pStyle w:val="ListParagraph"/>
        <w:numPr>
          <w:ilvl w:val="0"/>
          <w:numId w:val="1"/>
        </w:numPr>
        <w:ind w:left="709" w:hanging="709"/>
        <w:rPr>
          <w:b/>
          <w:szCs w:val="24"/>
        </w:rPr>
      </w:pPr>
      <w:r w:rsidRPr="00E67341">
        <w:rPr>
          <w:b/>
          <w:szCs w:val="24"/>
        </w:rPr>
        <w:lastRenderedPageBreak/>
        <w:t>SIGNIFICANT GOVERNANCE ISSUES</w:t>
      </w:r>
    </w:p>
    <w:p w14:paraId="6495C705" w14:textId="77777777" w:rsidR="009E35D4" w:rsidRPr="00E67341" w:rsidRDefault="009E35D4" w:rsidP="009E35D4">
      <w:pPr>
        <w:rPr>
          <w:b/>
          <w:szCs w:val="24"/>
        </w:rPr>
      </w:pPr>
    </w:p>
    <w:p w14:paraId="1E06009A" w14:textId="02FA4DDE" w:rsidR="0066488F" w:rsidRPr="00256FF9" w:rsidRDefault="0066488F" w:rsidP="00631648">
      <w:pPr>
        <w:rPr>
          <w:sz w:val="22"/>
          <w:szCs w:val="22"/>
        </w:rPr>
      </w:pPr>
      <w:r w:rsidRPr="00256FF9">
        <w:rPr>
          <w:sz w:val="22"/>
          <w:szCs w:val="22"/>
        </w:rPr>
        <w:t>The following table sets out significant governance issues along with comments and actions that are being undertaken to address the issues. The current Corporate Risk Register has been used to generate the table for the 2026/26 AGS. It should be noted that the Corporate Risk Register is an operational document and is subject to routine review by CLT and OCB.</w:t>
      </w:r>
    </w:p>
    <w:p w14:paraId="23DD2503" w14:textId="77777777" w:rsidR="0066488F" w:rsidRPr="0066488F" w:rsidRDefault="0066488F" w:rsidP="0066488F">
      <w:pPr>
        <w:pStyle w:val="ListParagraph"/>
        <w:rPr>
          <w:rFonts w:cs="Arial"/>
          <w:sz w:val="22"/>
        </w:rPr>
      </w:pPr>
    </w:p>
    <w:tbl>
      <w:tblPr>
        <w:tblStyle w:val="TableGrid"/>
        <w:tblW w:w="13892" w:type="dxa"/>
        <w:tblInd w:w="-5" w:type="dxa"/>
        <w:tblLook w:val="04A0" w:firstRow="1" w:lastRow="0" w:firstColumn="1" w:lastColumn="0" w:noHBand="0" w:noVBand="1"/>
      </w:tblPr>
      <w:tblGrid>
        <w:gridCol w:w="1719"/>
        <w:gridCol w:w="12173"/>
      </w:tblGrid>
      <w:tr w:rsidR="0066488F" w:rsidRPr="00AC0CE2" w14:paraId="2F2BE04B" w14:textId="77777777" w:rsidTr="00D663B2">
        <w:tc>
          <w:tcPr>
            <w:tcW w:w="1719" w:type="dxa"/>
            <w:shd w:val="clear" w:color="auto" w:fill="A8D08D" w:themeFill="accent6" w:themeFillTint="99"/>
          </w:tcPr>
          <w:p w14:paraId="75E0B325" w14:textId="77777777" w:rsidR="0066488F" w:rsidRPr="00631648" w:rsidRDefault="0066488F" w:rsidP="005B0130">
            <w:pPr>
              <w:rPr>
                <w:rFonts w:cs="Arial"/>
                <w:b/>
                <w:bCs/>
                <w:sz w:val="22"/>
                <w:szCs w:val="22"/>
              </w:rPr>
            </w:pPr>
            <w:r w:rsidRPr="00631648">
              <w:rPr>
                <w:rFonts w:cs="Arial"/>
                <w:b/>
                <w:bCs/>
                <w:sz w:val="22"/>
                <w:szCs w:val="22"/>
              </w:rPr>
              <w:t>Issue</w:t>
            </w:r>
          </w:p>
        </w:tc>
        <w:tc>
          <w:tcPr>
            <w:tcW w:w="12173" w:type="dxa"/>
            <w:shd w:val="clear" w:color="auto" w:fill="A8D08D" w:themeFill="accent6" w:themeFillTint="99"/>
          </w:tcPr>
          <w:p w14:paraId="48458C80" w14:textId="77777777" w:rsidR="0066488F" w:rsidRPr="00631648" w:rsidRDefault="0066488F" w:rsidP="005B0130">
            <w:pPr>
              <w:rPr>
                <w:rFonts w:cs="Arial"/>
                <w:b/>
                <w:bCs/>
                <w:sz w:val="22"/>
                <w:szCs w:val="22"/>
              </w:rPr>
            </w:pPr>
            <w:r w:rsidRPr="00631648">
              <w:rPr>
                <w:rFonts w:cs="Arial"/>
                <w:b/>
                <w:bCs/>
                <w:sz w:val="22"/>
                <w:szCs w:val="22"/>
              </w:rPr>
              <w:t>Comments /Actions</w:t>
            </w:r>
          </w:p>
        </w:tc>
      </w:tr>
      <w:tr w:rsidR="0066488F" w:rsidRPr="0038597C" w14:paraId="13EDBA17" w14:textId="77777777" w:rsidTr="00D663B2">
        <w:tc>
          <w:tcPr>
            <w:tcW w:w="13892" w:type="dxa"/>
            <w:gridSpan w:val="2"/>
          </w:tcPr>
          <w:p w14:paraId="41487643" w14:textId="77777777" w:rsidR="0066488F" w:rsidRPr="00A67F07" w:rsidRDefault="0066488F" w:rsidP="005B0130">
            <w:pPr>
              <w:rPr>
                <w:rFonts w:cs="Arial"/>
                <w:sz w:val="22"/>
                <w:szCs w:val="22"/>
              </w:rPr>
            </w:pPr>
            <w:r w:rsidRPr="00A67F07">
              <w:rPr>
                <w:rFonts w:cs="Arial"/>
                <w:b/>
                <w:bCs/>
                <w:sz w:val="22"/>
                <w:szCs w:val="22"/>
              </w:rPr>
              <w:t>Corporate Strategy</w:t>
            </w:r>
          </w:p>
        </w:tc>
      </w:tr>
      <w:tr w:rsidR="0066488F" w:rsidRPr="00796A18" w14:paraId="68F54E34" w14:textId="77777777" w:rsidTr="00D663B2">
        <w:tc>
          <w:tcPr>
            <w:tcW w:w="13892" w:type="dxa"/>
            <w:gridSpan w:val="2"/>
          </w:tcPr>
          <w:p w14:paraId="196AE18A" w14:textId="77777777" w:rsidR="00A67F07" w:rsidRPr="00A67F07" w:rsidRDefault="00A67F07" w:rsidP="00A67F07">
            <w:pPr>
              <w:rPr>
                <w:rFonts w:cs="Arial"/>
                <w:b/>
                <w:bCs/>
                <w:i/>
                <w:iCs/>
                <w:sz w:val="22"/>
                <w:szCs w:val="22"/>
              </w:rPr>
            </w:pPr>
            <w:r w:rsidRPr="00A67F07">
              <w:rPr>
                <w:rFonts w:cs="Arial"/>
                <w:b/>
                <w:bCs/>
                <w:i/>
                <w:iCs/>
                <w:sz w:val="22"/>
                <w:szCs w:val="22"/>
              </w:rPr>
              <w:t>Comments</w:t>
            </w:r>
          </w:p>
          <w:p w14:paraId="345B1A1D" w14:textId="77777777" w:rsidR="00A67F07" w:rsidRPr="00A67F07" w:rsidRDefault="00A67F07" w:rsidP="00A67F07">
            <w:pPr>
              <w:rPr>
                <w:rFonts w:cs="Arial"/>
                <w:sz w:val="22"/>
                <w:szCs w:val="22"/>
              </w:rPr>
            </w:pPr>
            <w:r w:rsidRPr="00A67F07">
              <w:rPr>
                <w:rFonts w:cs="Arial"/>
                <w:sz w:val="22"/>
                <w:szCs w:val="22"/>
              </w:rPr>
              <w:t xml:space="preserve">The new Council plan may fail to deliver its intended outcomes (benefits, service standards, savings) within the agreed timeframe. Government’s plans for local government reorganisation will affect the delivery of the Council’s plan. The Council fails to transform its service delivery sufficiently to meet future demands and priorities while working within constraints and rising costs. </w:t>
            </w:r>
          </w:p>
          <w:p w14:paraId="2605A01B" w14:textId="77777777" w:rsidR="00A67F07" w:rsidRPr="00A67F07" w:rsidRDefault="00A67F07" w:rsidP="00A67F07">
            <w:pPr>
              <w:rPr>
                <w:rFonts w:cs="Arial"/>
                <w:b/>
                <w:bCs/>
                <w:i/>
                <w:iCs/>
                <w:sz w:val="22"/>
                <w:szCs w:val="22"/>
              </w:rPr>
            </w:pPr>
            <w:r w:rsidRPr="00A67F07">
              <w:rPr>
                <w:rFonts w:cs="Arial"/>
                <w:b/>
                <w:bCs/>
                <w:i/>
                <w:iCs/>
                <w:sz w:val="22"/>
                <w:szCs w:val="22"/>
              </w:rPr>
              <w:t>Actions</w:t>
            </w:r>
          </w:p>
          <w:p w14:paraId="40DBEFEB" w14:textId="77777777" w:rsidR="00A67F07" w:rsidRPr="00A67F07" w:rsidRDefault="00A67F07" w:rsidP="00A67F07">
            <w:pPr>
              <w:rPr>
                <w:rFonts w:cs="Arial"/>
                <w:sz w:val="22"/>
                <w:szCs w:val="22"/>
              </w:rPr>
            </w:pPr>
            <w:r w:rsidRPr="00A67F07">
              <w:rPr>
                <w:rFonts w:cs="Arial"/>
                <w:sz w:val="22"/>
                <w:szCs w:val="22"/>
              </w:rPr>
              <w:t>The Annual Delivery Plan was approved by Cabinet in April 2026 which outlines the priority actions for the year ahead, including a strengthened quarterly assurance report, which are linked to the Council’s budget and the Council’s Plan’s core Outcomes and Ambitions. The Council has a strong track record of delivering on its priorities as evidenced by the previous annual and quarterly reports. The updated performance reporting regime will include newly developed more frequent reported performance indicators together with monitoring of performance by Overview and relevant scrutiny committees.</w:t>
            </w:r>
          </w:p>
          <w:p w14:paraId="093247B3" w14:textId="77777777" w:rsidR="0066488F" w:rsidRPr="00A67F07" w:rsidRDefault="0066488F" w:rsidP="00A67F07">
            <w:pPr>
              <w:rPr>
                <w:rFonts w:cs="Arial"/>
                <w:b/>
                <w:bCs/>
                <w:sz w:val="22"/>
                <w:szCs w:val="22"/>
              </w:rPr>
            </w:pPr>
          </w:p>
        </w:tc>
      </w:tr>
      <w:tr w:rsidR="0066488F" w:rsidRPr="0038597C" w14:paraId="3BC294F8" w14:textId="77777777" w:rsidTr="00D663B2">
        <w:tc>
          <w:tcPr>
            <w:tcW w:w="13892" w:type="dxa"/>
            <w:gridSpan w:val="2"/>
          </w:tcPr>
          <w:p w14:paraId="25C6193A" w14:textId="77777777" w:rsidR="0066488F" w:rsidRPr="00A67F07" w:rsidRDefault="0066488F" w:rsidP="005B0130">
            <w:pPr>
              <w:rPr>
                <w:rFonts w:cs="Arial"/>
                <w:sz w:val="22"/>
                <w:szCs w:val="22"/>
              </w:rPr>
            </w:pPr>
            <w:r w:rsidRPr="00A67F07">
              <w:rPr>
                <w:rFonts w:cs="Arial"/>
                <w:b/>
                <w:bCs/>
                <w:sz w:val="22"/>
                <w:szCs w:val="22"/>
              </w:rPr>
              <w:t>Financial Resilience</w:t>
            </w:r>
          </w:p>
        </w:tc>
      </w:tr>
      <w:tr w:rsidR="0066488F" w:rsidRPr="00796A18" w14:paraId="31F95F73" w14:textId="77777777" w:rsidTr="00D663B2">
        <w:tc>
          <w:tcPr>
            <w:tcW w:w="13892" w:type="dxa"/>
            <w:gridSpan w:val="2"/>
          </w:tcPr>
          <w:p w14:paraId="4FC5C72F" w14:textId="77777777" w:rsidR="00A67F07" w:rsidRPr="00A67F07" w:rsidRDefault="00A67F07" w:rsidP="00A67F07">
            <w:pPr>
              <w:rPr>
                <w:rFonts w:cs="Arial"/>
                <w:b/>
                <w:bCs/>
                <w:i/>
                <w:iCs/>
                <w:sz w:val="22"/>
                <w:szCs w:val="22"/>
              </w:rPr>
            </w:pPr>
            <w:r w:rsidRPr="00A67F07">
              <w:rPr>
                <w:rFonts w:cs="Arial"/>
                <w:b/>
                <w:bCs/>
                <w:i/>
                <w:iCs/>
                <w:sz w:val="22"/>
                <w:szCs w:val="22"/>
              </w:rPr>
              <w:t>Comments</w:t>
            </w:r>
          </w:p>
          <w:p w14:paraId="717747BD" w14:textId="77777777" w:rsidR="00A67F07" w:rsidRPr="00A67F07" w:rsidRDefault="00A67F07" w:rsidP="00A67F07">
            <w:pPr>
              <w:rPr>
                <w:rFonts w:cs="Arial"/>
                <w:sz w:val="22"/>
                <w:szCs w:val="22"/>
              </w:rPr>
            </w:pPr>
            <w:r w:rsidRPr="00A67F07">
              <w:rPr>
                <w:rFonts w:cs="Arial"/>
                <w:sz w:val="22"/>
                <w:szCs w:val="22"/>
              </w:rPr>
              <w:t>Increased costs due to inflation, controlled funding, increasing demand on services and unmet savings targets will affect financial sustainability. 2025/26 continued to see additional pressures emerge through the year on Adult Social Care services together with rising costs on the DSG High Needs Block, leading to budget overspends in these areas.</w:t>
            </w:r>
          </w:p>
          <w:p w14:paraId="08080C8F" w14:textId="77777777" w:rsidR="00A67F07" w:rsidRPr="00A67F07" w:rsidRDefault="00A67F07" w:rsidP="00A67F07">
            <w:pPr>
              <w:rPr>
                <w:rFonts w:cs="Arial"/>
                <w:b/>
                <w:bCs/>
                <w:i/>
                <w:iCs/>
                <w:sz w:val="22"/>
                <w:szCs w:val="22"/>
              </w:rPr>
            </w:pPr>
            <w:r w:rsidRPr="00A67F07">
              <w:rPr>
                <w:rFonts w:cs="Arial"/>
                <w:b/>
                <w:bCs/>
                <w:i/>
                <w:iCs/>
                <w:sz w:val="22"/>
                <w:szCs w:val="22"/>
              </w:rPr>
              <w:t>Actions</w:t>
            </w:r>
          </w:p>
          <w:p w14:paraId="37D676D5" w14:textId="77777777" w:rsidR="00A67F07" w:rsidRPr="00A67F07" w:rsidRDefault="00A67F07" w:rsidP="00A67F07">
            <w:pPr>
              <w:rPr>
                <w:rFonts w:cs="Arial"/>
                <w:sz w:val="22"/>
                <w:szCs w:val="22"/>
              </w:rPr>
            </w:pPr>
            <w:r w:rsidRPr="00A67F07">
              <w:rPr>
                <w:rFonts w:cs="Arial"/>
                <w:sz w:val="22"/>
                <w:szCs w:val="22"/>
              </w:rPr>
              <w:t>The Council will continue to use its annual budget and budget reporting cycle to identify areas of overspend early and implement mitigations. The overall risks to the budget 2026/27 are set out in the Budget report approved at last February’s Full Council. Monitoring, especially due to the impacts upon the UK economy and inflation due to the current conflict in the Middle East will be assessed as 2026/27 progresses. The Government announced additional funding through the High Needs Block Stability Grant subject to the approval of the recovery plan through the DfE. This plan is progressing well and likely to be approved in the Summer, although the Government has yet to announce measures and further grant to manage the deficits in funding for future years.</w:t>
            </w:r>
          </w:p>
          <w:p w14:paraId="2D04F35F" w14:textId="77777777" w:rsidR="0066488F" w:rsidRPr="00A67F07" w:rsidRDefault="0066488F" w:rsidP="00A67F07">
            <w:pPr>
              <w:rPr>
                <w:rFonts w:cs="Arial"/>
                <w:b/>
                <w:bCs/>
                <w:sz w:val="22"/>
                <w:szCs w:val="22"/>
              </w:rPr>
            </w:pPr>
          </w:p>
        </w:tc>
      </w:tr>
      <w:tr w:rsidR="0066488F" w:rsidRPr="00D16EEE" w14:paraId="0EFD20D4" w14:textId="77777777" w:rsidTr="00D663B2">
        <w:tc>
          <w:tcPr>
            <w:tcW w:w="13892" w:type="dxa"/>
            <w:gridSpan w:val="2"/>
          </w:tcPr>
          <w:p w14:paraId="47186C3C" w14:textId="77777777" w:rsidR="0066488F" w:rsidRPr="003E5D26" w:rsidRDefault="0066488F" w:rsidP="005B0130">
            <w:pPr>
              <w:rPr>
                <w:rFonts w:cs="Arial"/>
                <w:b/>
                <w:bCs/>
                <w:color w:val="00B050"/>
                <w:sz w:val="22"/>
                <w:szCs w:val="22"/>
              </w:rPr>
            </w:pPr>
            <w:r w:rsidRPr="00A67F07">
              <w:rPr>
                <w:rFonts w:cs="Arial"/>
                <w:b/>
                <w:bCs/>
                <w:sz w:val="22"/>
                <w:szCs w:val="22"/>
              </w:rPr>
              <w:t>People &amp; Wellbeing</w:t>
            </w:r>
          </w:p>
        </w:tc>
      </w:tr>
      <w:tr w:rsidR="0066488F" w:rsidRPr="00D16EEE" w14:paraId="1A2AD685" w14:textId="77777777" w:rsidTr="00D663B2">
        <w:tc>
          <w:tcPr>
            <w:tcW w:w="13892" w:type="dxa"/>
            <w:gridSpan w:val="2"/>
          </w:tcPr>
          <w:p w14:paraId="72914F80" w14:textId="77777777" w:rsidR="00A67F07" w:rsidRPr="00A67F07" w:rsidRDefault="00A67F07" w:rsidP="00A67F07">
            <w:pPr>
              <w:rPr>
                <w:rFonts w:cs="Arial"/>
                <w:b/>
                <w:bCs/>
                <w:i/>
                <w:iCs/>
                <w:sz w:val="22"/>
                <w:szCs w:val="22"/>
              </w:rPr>
            </w:pPr>
            <w:r w:rsidRPr="00A67F07">
              <w:rPr>
                <w:rFonts w:cs="Arial"/>
                <w:b/>
                <w:bCs/>
                <w:i/>
                <w:iCs/>
                <w:sz w:val="22"/>
                <w:szCs w:val="22"/>
              </w:rPr>
              <w:t xml:space="preserve">Comments </w:t>
            </w:r>
          </w:p>
          <w:p w14:paraId="4BA3DD35" w14:textId="77777777" w:rsidR="00A67F07" w:rsidRPr="00A67F07" w:rsidRDefault="00A67F07" w:rsidP="00A67F07">
            <w:pPr>
              <w:rPr>
                <w:rFonts w:cs="Arial"/>
                <w:sz w:val="22"/>
                <w:szCs w:val="22"/>
              </w:rPr>
            </w:pPr>
            <w:r w:rsidRPr="00A67F07">
              <w:rPr>
                <w:rFonts w:cs="Arial"/>
                <w:sz w:val="22"/>
                <w:szCs w:val="22"/>
              </w:rPr>
              <w:lastRenderedPageBreak/>
              <w:t>Insufficient staffing capacity because of poor succession planning, sickness levels will all impact the ability to attract and retain a skilled workforce. This may be exacerbated as the Council is delivering multiple high-level transformational programmes and in preparation for local government reorganisation.</w:t>
            </w:r>
          </w:p>
          <w:p w14:paraId="686A0FE5" w14:textId="77777777" w:rsidR="00A67F07" w:rsidRPr="00A67F07" w:rsidRDefault="00A67F07" w:rsidP="00A67F07">
            <w:pPr>
              <w:rPr>
                <w:rFonts w:cs="Arial"/>
                <w:b/>
                <w:bCs/>
                <w:i/>
                <w:iCs/>
                <w:sz w:val="22"/>
                <w:szCs w:val="22"/>
              </w:rPr>
            </w:pPr>
            <w:r w:rsidRPr="00A67F07">
              <w:rPr>
                <w:rFonts w:cs="Arial"/>
                <w:b/>
                <w:bCs/>
                <w:i/>
                <w:iCs/>
                <w:sz w:val="22"/>
                <w:szCs w:val="22"/>
              </w:rPr>
              <w:t>Actions</w:t>
            </w:r>
          </w:p>
          <w:p w14:paraId="47F0B5A2" w14:textId="77777777" w:rsidR="00A67F07" w:rsidRPr="00A67F07" w:rsidRDefault="00A67F07" w:rsidP="00A67F07">
            <w:pPr>
              <w:rPr>
                <w:rFonts w:cs="Arial"/>
                <w:sz w:val="22"/>
                <w:szCs w:val="22"/>
              </w:rPr>
            </w:pPr>
            <w:r w:rsidRPr="00A67F07">
              <w:rPr>
                <w:rFonts w:cs="Arial"/>
                <w:sz w:val="22"/>
                <w:szCs w:val="22"/>
              </w:rPr>
              <w:t xml:space="preserve">The Council continues to review and adapt to meet these challenges. A review of workforce, including benefits package and training &amp; development is being undertaken to ensure a skilled workforce is maintained. Our aim is to ensure that we have a skilled, motivated, cost effective, resilient, sustainable workforce. </w:t>
            </w:r>
          </w:p>
          <w:p w14:paraId="7874E1D6" w14:textId="77777777" w:rsidR="00A67F07" w:rsidRPr="00A67F07" w:rsidRDefault="00A67F07" w:rsidP="00A67F07">
            <w:pPr>
              <w:rPr>
                <w:rFonts w:cs="Arial"/>
                <w:sz w:val="22"/>
                <w:szCs w:val="22"/>
              </w:rPr>
            </w:pPr>
            <w:r w:rsidRPr="00A67F07">
              <w:rPr>
                <w:rFonts w:cs="Arial"/>
                <w:sz w:val="22"/>
                <w:szCs w:val="22"/>
              </w:rPr>
              <w:t xml:space="preserve">To support this, we are developing workforce plans with service areas to ensure succession plans, career paths and skills pathways are in place. We are continuously reviewing and updating our interventions and support linked to staff health and wellbeing. We have made a range of improvements to our wellbeing offer over the past year and it is a well-regarded service. Feedback about our wellbeing provision is strong and absence figures and reliance on agency staff have reduced significantly over the past 2 years.   </w:t>
            </w:r>
          </w:p>
          <w:p w14:paraId="3708D4B7" w14:textId="1C7B04E4" w:rsidR="00A67F07" w:rsidRPr="00A67F07" w:rsidRDefault="00A67F07" w:rsidP="00A67F07">
            <w:pPr>
              <w:rPr>
                <w:rFonts w:cs="Arial"/>
                <w:sz w:val="22"/>
                <w:szCs w:val="22"/>
              </w:rPr>
            </w:pPr>
            <w:r w:rsidRPr="00A67F07">
              <w:rPr>
                <w:rFonts w:cs="Arial"/>
                <w:sz w:val="22"/>
                <w:szCs w:val="22"/>
              </w:rPr>
              <w:t>Staff development is at the core of ensuring we have a skilled workforce, and we have rolled out a new learning platform to ensure courses are available to all staff, alongside a range of skills and employment pathways supporting staff development</w:t>
            </w:r>
            <w:r w:rsidR="00890383">
              <w:rPr>
                <w:rFonts w:cs="Arial"/>
                <w:sz w:val="22"/>
                <w:szCs w:val="22"/>
              </w:rPr>
              <w:t>.</w:t>
            </w:r>
            <w:r w:rsidRPr="00A67F07">
              <w:rPr>
                <w:rFonts w:cs="Arial"/>
                <w:sz w:val="22"/>
                <w:szCs w:val="22"/>
              </w:rPr>
              <w:t xml:space="preserve"> </w:t>
            </w:r>
          </w:p>
          <w:p w14:paraId="4C4BFCB7" w14:textId="58FE1A73" w:rsidR="0066488F" w:rsidRPr="003E5D26" w:rsidRDefault="0066488F" w:rsidP="005B0130">
            <w:pPr>
              <w:rPr>
                <w:rFonts w:cs="Arial"/>
                <w:color w:val="00B050"/>
                <w:sz w:val="22"/>
                <w:szCs w:val="22"/>
              </w:rPr>
            </w:pPr>
          </w:p>
        </w:tc>
      </w:tr>
      <w:tr w:rsidR="0066488F" w:rsidRPr="007E3BB7" w14:paraId="234F6323" w14:textId="77777777" w:rsidTr="00D663B2">
        <w:tc>
          <w:tcPr>
            <w:tcW w:w="13892" w:type="dxa"/>
            <w:gridSpan w:val="2"/>
          </w:tcPr>
          <w:p w14:paraId="78745E37" w14:textId="77777777" w:rsidR="0066488F" w:rsidRPr="00631648" w:rsidRDefault="0066488F" w:rsidP="005B0130">
            <w:pPr>
              <w:rPr>
                <w:rFonts w:cs="Arial"/>
                <w:b/>
                <w:bCs/>
                <w:sz w:val="22"/>
                <w:szCs w:val="22"/>
              </w:rPr>
            </w:pPr>
            <w:r w:rsidRPr="00631648">
              <w:rPr>
                <w:rFonts w:cs="Arial"/>
                <w:b/>
                <w:bCs/>
                <w:sz w:val="22"/>
                <w:szCs w:val="22"/>
              </w:rPr>
              <w:lastRenderedPageBreak/>
              <w:t>Technology &amp; Digital</w:t>
            </w:r>
          </w:p>
        </w:tc>
      </w:tr>
      <w:tr w:rsidR="0066488F" w:rsidRPr="007E3BB7" w14:paraId="73696731" w14:textId="77777777" w:rsidTr="00D663B2">
        <w:tc>
          <w:tcPr>
            <w:tcW w:w="13892" w:type="dxa"/>
            <w:gridSpan w:val="2"/>
          </w:tcPr>
          <w:p w14:paraId="6FFE5145" w14:textId="77777777" w:rsidR="00A67F07" w:rsidRPr="00A67F07" w:rsidRDefault="00A67F07" w:rsidP="00A67F07">
            <w:pPr>
              <w:rPr>
                <w:rFonts w:cs="Arial"/>
                <w:b/>
                <w:bCs/>
                <w:i/>
                <w:iCs/>
                <w:sz w:val="22"/>
                <w:szCs w:val="22"/>
              </w:rPr>
            </w:pPr>
            <w:r w:rsidRPr="00A67F07">
              <w:rPr>
                <w:rFonts w:cs="Arial"/>
                <w:b/>
                <w:bCs/>
                <w:i/>
                <w:iCs/>
                <w:sz w:val="22"/>
                <w:szCs w:val="22"/>
              </w:rPr>
              <w:t xml:space="preserve">Comments </w:t>
            </w:r>
          </w:p>
          <w:p w14:paraId="0A80AF98" w14:textId="77777777" w:rsidR="00A67F07" w:rsidRPr="00A67F07" w:rsidRDefault="00A67F07" w:rsidP="00A67F07">
            <w:pPr>
              <w:rPr>
                <w:rFonts w:cs="Arial"/>
                <w:sz w:val="22"/>
                <w:szCs w:val="22"/>
              </w:rPr>
            </w:pPr>
            <w:r w:rsidRPr="00A67F07">
              <w:rPr>
                <w:rFonts w:cs="Arial"/>
                <w:sz w:val="22"/>
                <w:szCs w:val="22"/>
              </w:rPr>
              <w:t>Like elsewhere, the Council is constantly having to manage cyber threats. Ensuring hardware, software application and skills remain up to date to delivery services whilst protecting the ICT environment from cyber-attack and third-party failure is essential. Whilst exploring options to exploit new technologies, especially AI, to support and enhance our services to our residents is vital.</w:t>
            </w:r>
          </w:p>
          <w:p w14:paraId="05DD0083" w14:textId="77777777" w:rsidR="00A67F07" w:rsidRPr="00A67F07" w:rsidRDefault="00A67F07" w:rsidP="00A67F07">
            <w:pPr>
              <w:rPr>
                <w:rFonts w:cs="Arial"/>
                <w:b/>
                <w:bCs/>
                <w:i/>
                <w:iCs/>
                <w:sz w:val="22"/>
                <w:szCs w:val="22"/>
              </w:rPr>
            </w:pPr>
            <w:r w:rsidRPr="00A67F07">
              <w:rPr>
                <w:rFonts w:cs="Arial"/>
                <w:b/>
                <w:bCs/>
                <w:i/>
                <w:iCs/>
                <w:sz w:val="22"/>
                <w:szCs w:val="22"/>
              </w:rPr>
              <w:t>Actions</w:t>
            </w:r>
          </w:p>
          <w:p w14:paraId="0A694E1A" w14:textId="77777777" w:rsidR="00A67F07" w:rsidRPr="00A67F07" w:rsidRDefault="00A67F07" w:rsidP="00A67F07">
            <w:pPr>
              <w:rPr>
                <w:rFonts w:cs="Arial"/>
                <w:sz w:val="22"/>
                <w:szCs w:val="22"/>
              </w:rPr>
            </w:pPr>
            <w:r w:rsidRPr="00A67F07">
              <w:rPr>
                <w:rFonts w:cs="Arial"/>
                <w:sz w:val="22"/>
                <w:szCs w:val="22"/>
              </w:rPr>
              <w:t>Investment in infrastructure and software is being undertaken to ensure service delivery whilst preventative controls are in place to protect the Council. We will complete the upgrade of our SAP system and re-platforming of Mosaic, social care system, through 2026/27.</w:t>
            </w:r>
          </w:p>
          <w:p w14:paraId="04E5EAE1" w14:textId="77777777" w:rsidR="00A67F07" w:rsidRPr="00A67F07" w:rsidRDefault="00A67F07" w:rsidP="00A67F07">
            <w:pPr>
              <w:rPr>
                <w:rFonts w:cs="Arial"/>
                <w:sz w:val="22"/>
                <w:szCs w:val="22"/>
              </w:rPr>
            </w:pPr>
            <w:r w:rsidRPr="00A67F07">
              <w:rPr>
                <w:rFonts w:cs="Arial"/>
                <w:sz w:val="22"/>
                <w:szCs w:val="22"/>
              </w:rPr>
              <w:t>The new ICT Strategy will set out how technology and digital will be used to support the Council’s priorities, enable high quality services, and ensure the organisation remains secure, resilient, efficient, and financially sustainable in a rapidly changing environment. It provides a clear framework for how IT investment, capability, and governance will be directed over the life of the strategy.</w:t>
            </w:r>
          </w:p>
          <w:p w14:paraId="11548B1C" w14:textId="01E291C1" w:rsidR="0066488F" w:rsidRPr="00631648" w:rsidRDefault="0066488F" w:rsidP="005B0130">
            <w:pPr>
              <w:rPr>
                <w:rFonts w:cs="Arial"/>
                <w:sz w:val="22"/>
                <w:szCs w:val="22"/>
              </w:rPr>
            </w:pPr>
          </w:p>
        </w:tc>
      </w:tr>
      <w:tr w:rsidR="0066488F" w:rsidRPr="00A80BAC" w14:paraId="3E17317E" w14:textId="77777777" w:rsidTr="00D663B2">
        <w:tc>
          <w:tcPr>
            <w:tcW w:w="13892" w:type="dxa"/>
            <w:gridSpan w:val="2"/>
          </w:tcPr>
          <w:p w14:paraId="2DA8C195" w14:textId="77777777" w:rsidR="0066488F" w:rsidRPr="003E5D26" w:rsidRDefault="0066488F" w:rsidP="005B0130">
            <w:pPr>
              <w:rPr>
                <w:rFonts w:cs="Arial"/>
                <w:b/>
                <w:bCs/>
                <w:color w:val="00B050"/>
                <w:sz w:val="22"/>
                <w:szCs w:val="22"/>
              </w:rPr>
            </w:pPr>
            <w:r w:rsidRPr="00A67F07">
              <w:rPr>
                <w:rFonts w:cs="Arial"/>
                <w:b/>
                <w:bCs/>
                <w:sz w:val="22"/>
                <w:szCs w:val="22"/>
              </w:rPr>
              <w:t>Legal &amp; Compliance</w:t>
            </w:r>
          </w:p>
        </w:tc>
      </w:tr>
      <w:tr w:rsidR="0066488F" w:rsidRPr="00A80BAC" w14:paraId="38B9A069" w14:textId="77777777" w:rsidTr="00D663B2">
        <w:tc>
          <w:tcPr>
            <w:tcW w:w="13892" w:type="dxa"/>
            <w:gridSpan w:val="2"/>
          </w:tcPr>
          <w:p w14:paraId="576CEA22" w14:textId="77777777" w:rsidR="00A67F07" w:rsidRPr="00A67F07" w:rsidRDefault="00A67F07" w:rsidP="00A67F07">
            <w:pPr>
              <w:rPr>
                <w:rFonts w:cs="Arial"/>
                <w:b/>
                <w:bCs/>
                <w:i/>
                <w:iCs/>
                <w:sz w:val="22"/>
                <w:szCs w:val="22"/>
              </w:rPr>
            </w:pPr>
            <w:r w:rsidRPr="00A67F07">
              <w:rPr>
                <w:rFonts w:cs="Arial"/>
                <w:b/>
                <w:bCs/>
                <w:i/>
                <w:iCs/>
                <w:sz w:val="22"/>
                <w:szCs w:val="22"/>
              </w:rPr>
              <w:t xml:space="preserve">Comments </w:t>
            </w:r>
          </w:p>
          <w:p w14:paraId="085F05CD" w14:textId="77777777" w:rsidR="00A67F07" w:rsidRPr="00A67F07" w:rsidRDefault="00A67F07" w:rsidP="00A67F07">
            <w:pPr>
              <w:rPr>
                <w:rFonts w:cs="Arial"/>
                <w:sz w:val="22"/>
                <w:szCs w:val="22"/>
              </w:rPr>
            </w:pPr>
            <w:r w:rsidRPr="00A67F07">
              <w:rPr>
                <w:rFonts w:cs="Arial"/>
                <w:sz w:val="22"/>
                <w:szCs w:val="22"/>
              </w:rPr>
              <w:t>The Council fails to meet it statutory duty and suffers reputational damage and financial loss from the failure to improve on external inspection outcomes. In addition, weakened governance arrangements may arise due to competing priorities leading up to LGR and ineffective governance of Council owned companies</w:t>
            </w:r>
          </w:p>
          <w:p w14:paraId="406E4F15" w14:textId="77777777" w:rsidR="00A67F07" w:rsidRPr="00A67F07" w:rsidRDefault="00A67F07" w:rsidP="00A67F07">
            <w:pPr>
              <w:rPr>
                <w:rFonts w:cs="Arial"/>
                <w:b/>
                <w:bCs/>
                <w:i/>
                <w:iCs/>
                <w:sz w:val="22"/>
                <w:szCs w:val="22"/>
              </w:rPr>
            </w:pPr>
            <w:r w:rsidRPr="00A67F07">
              <w:rPr>
                <w:rFonts w:cs="Arial"/>
                <w:b/>
                <w:bCs/>
                <w:i/>
                <w:iCs/>
                <w:sz w:val="22"/>
                <w:szCs w:val="22"/>
              </w:rPr>
              <w:t>Actions</w:t>
            </w:r>
          </w:p>
          <w:p w14:paraId="62DCA8A7" w14:textId="77777777" w:rsidR="00A67F07" w:rsidRPr="00A67F07" w:rsidRDefault="00A67F07" w:rsidP="00A67F07">
            <w:pPr>
              <w:rPr>
                <w:rFonts w:cs="Arial"/>
                <w:sz w:val="22"/>
                <w:szCs w:val="22"/>
              </w:rPr>
            </w:pPr>
            <w:r w:rsidRPr="00A67F07">
              <w:rPr>
                <w:rFonts w:cs="Arial"/>
                <w:sz w:val="22"/>
                <w:szCs w:val="22"/>
              </w:rPr>
              <w:t xml:space="preserve">The Council had a good outcome from its Care Quality Commission (CQC) review of Adult Social Care and continues to have good outcomes from Ofsted inspections of its Children’s services. </w:t>
            </w:r>
          </w:p>
          <w:p w14:paraId="463EE835" w14:textId="77777777" w:rsidR="00A67F07" w:rsidRPr="00A67F07" w:rsidRDefault="00A67F07" w:rsidP="00A67F07">
            <w:pPr>
              <w:rPr>
                <w:rFonts w:cs="Arial"/>
                <w:sz w:val="22"/>
                <w:szCs w:val="22"/>
              </w:rPr>
            </w:pPr>
            <w:r w:rsidRPr="00A67F07">
              <w:rPr>
                <w:rFonts w:cs="Arial"/>
                <w:sz w:val="22"/>
                <w:szCs w:val="22"/>
              </w:rPr>
              <w:lastRenderedPageBreak/>
              <w:t xml:space="preserve">In January 2023, the Nottinghamshire local area partnership was the first local area in the country to be inspected under the Ofsted/CQC inspection framework exploring the experiences and outcomes of children and young people with special educational needs and disabilities (SEND).  </w:t>
            </w:r>
          </w:p>
          <w:p w14:paraId="765F156A" w14:textId="245C05E3" w:rsidR="00A67F07" w:rsidRPr="00A67F07" w:rsidRDefault="00A67F07" w:rsidP="00A67F07">
            <w:pPr>
              <w:rPr>
                <w:rFonts w:cs="Arial"/>
                <w:sz w:val="22"/>
                <w:szCs w:val="22"/>
              </w:rPr>
            </w:pPr>
            <w:r w:rsidRPr="00A67F07">
              <w:rPr>
                <w:rFonts w:cs="Arial"/>
                <w:sz w:val="22"/>
                <w:szCs w:val="22"/>
              </w:rPr>
              <w:t>The inspection report, published in May 2023, concluded with the narrative judgement that “there are widespread and/or systemic failings leading to significant concerns about the experiences and outcomes of children and young people with SEND, which the local area partnership must address urgently.</w:t>
            </w:r>
          </w:p>
          <w:p w14:paraId="38C56D62" w14:textId="41DBB282" w:rsidR="00A67F07" w:rsidRPr="00A67F07" w:rsidRDefault="00A67F07" w:rsidP="00A67F07">
            <w:pPr>
              <w:rPr>
                <w:rFonts w:cs="Arial"/>
                <w:sz w:val="22"/>
                <w:szCs w:val="22"/>
              </w:rPr>
            </w:pPr>
            <w:r w:rsidRPr="00A67F07">
              <w:rPr>
                <w:rFonts w:cs="Arial"/>
                <w:sz w:val="22"/>
                <w:szCs w:val="22"/>
              </w:rPr>
              <w:t>In response to the inspection findings, the Partnership developed a joint SEND Priority Action Plan and established a SEND Improvement Programme, which continues to be monitored routinely through SEND partnership governance forums, to assess progress made to date against priority activity. SEND governance arrangements included an independently chaired SEND Partnership Improvement Board</w:t>
            </w:r>
            <w:r w:rsidR="00890383">
              <w:rPr>
                <w:rFonts w:cs="Arial"/>
                <w:sz w:val="22"/>
                <w:szCs w:val="22"/>
              </w:rPr>
              <w:t>.</w:t>
            </w:r>
            <w:r w:rsidRPr="00A67F07">
              <w:rPr>
                <w:rFonts w:cs="Arial"/>
                <w:sz w:val="22"/>
                <w:szCs w:val="22"/>
              </w:rPr>
              <w:t xml:space="preserve"> </w:t>
            </w:r>
          </w:p>
          <w:p w14:paraId="09021568" w14:textId="77777777" w:rsidR="00A67F07" w:rsidRPr="00A67F07" w:rsidRDefault="00A67F07" w:rsidP="00A67F07">
            <w:pPr>
              <w:rPr>
                <w:rFonts w:cs="Arial"/>
                <w:sz w:val="22"/>
                <w:szCs w:val="22"/>
              </w:rPr>
            </w:pPr>
            <w:r w:rsidRPr="00A67F07">
              <w:rPr>
                <w:rFonts w:cs="Arial"/>
                <w:sz w:val="22"/>
                <w:szCs w:val="22"/>
              </w:rPr>
              <w:t>The significant improvements in these services are recognised and are additionally scrutinised as a standing item at Children and Families Select Committee and ICB’s Quality &amp; People Committee, as well as through regular monitoring from the Department for Education and NHS England. A monitoring inspection was undertaken in the summer of 2025, a full, local area reinspection of SEND provision is due in 2026.</w:t>
            </w:r>
          </w:p>
          <w:p w14:paraId="2FFBF13A" w14:textId="77777777" w:rsidR="00A67F07" w:rsidRPr="00A67F07" w:rsidRDefault="00A67F07" w:rsidP="00A67F07">
            <w:pPr>
              <w:rPr>
                <w:rFonts w:cs="Arial"/>
                <w:sz w:val="22"/>
                <w:szCs w:val="22"/>
              </w:rPr>
            </w:pPr>
            <w:r w:rsidRPr="00A67F07">
              <w:rPr>
                <w:rFonts w:cs="Arial"/>
                <w:sz w:val="22"/>
                <w:szCs w:val="22"/>
              </w:rPr>
              <w:t>The Government’s consultation on SEND reform closed on 18</w:t>
            </w:r>
            <w:r w:rsidRPr="00A67F07">
              <w:rPr>
                <w:rFonts w:cs="Arial"/>
                <w:sz w:val="22"/>
                <w:szCs w:val="22"/>
                <w:vertAlign w:val="superscript"/>
              </w:rPr>
              <w:t>th</w:t>
            </w:r>
            <w:r w:rsidRPr="00A67F07">
              <w:rPr>
                <w:rFonts w:cs="Arial"/>
                <w:sz w:val="22"/>
                <w:szCs w:val="22"/>
              </w:rPr>
              <w:t xml:space="preserve"> May 2026 which the DfE will consider and help shape the forthcoming Education for All Bill which are anticipated to introduce changes to Individual Support Plans, Tiered support and inclusive mainstream education.</w:t>
            </w:r>
          </w:p>
          <w:p w14:paraId="7DE441B4" w14:textId="430B61A8" w:rsidR="0066488F" w:rsidRPr="00A67F07" w:rsidRDefault="0066488F" w:rsidP="005B0130">
            <w:pPr>
              <w:rPr>
                <w:rFonts w:cs="Arial"/>
                <w:color w:val="00B050"/>
                <w:sz w:val="22"/>
                <w:szCs w:val="22"/>
              </w:rPr>
            </w:pPr>
          </w:p>
        </w:tc>
      </w:tr>
    </w:tbl>
    <w:p w14:paraId="1806DA6B" w14:textId="77777777" w:rsidR="0066488F" w:rsidRDefault="0066488F" w:rsidP="0066488F">
      <w:pPr>
        <w:pStyle w:val="ListParagraph"/>
        <w:ind w:left="709"/>
      </w:pPr>
    </w:p>
    <w:p w14:paraId="30DBF128" w14:textId="77777777" w:rsidR="00890383" w:rsidRDefault="00890383" w:rsidP="0066488F">
      <w:pPr>
        <w:pStyle w:val="ListParagraph"/>
        <w:ind w:left="709"/>
      </w:pPr>
    </w:p>
    <w:p w14:paraId="48420EF6" w14:textId="77777777" w:rsidR="00890383" w:rsidRDefault="00890383" w:rsidP="0066488F">
      <w:pPr>
        <w:pStyle w:val="ListParagraph"/>
        <w:ind w:left="709"/>
      </w:pPr>
    </w:p>
    <w:p w14:paraId="500B412E" w14:textId="77777777" w:rsidR="00890383" w:rsidRDefault="00890383" w:rsidP="0066488F">
      <w:pPr>
        <w:pStyle w:val="ListParagraph"/>
        <w:ind w:left="709"/>
      </w:pPr>
    </w:p>
    <w:p w14:paraId="09E9F8A5" w14:textId="77777777" w:rsidR="00890383" w:rsidRDefault="00890383" w:rsidP="0066488F">
      <w:pPr>
        <w:pStyle w:val="ListParagraph"/>
        <w:ind w:left="709"/>
      </w:pPr>
    </w:p>
    <w:p w14:paraId="11141E0A" w14:textId="77777777" w:rsidR="00890383" w:rsidRDefault="00890383" w:rsidP="0066488F">
      <w:pPr>
        <w:pStyle w:val="ListParagraph"/>
        <w:ind w:left="709"/>
      </w:pPr>
    </w:p>
    <w:p w14:paraId="31C28191" w14:textId="77777777" w:rsidR="00890383" w:rsidRDefault="00890383" w:rsidP="0066488F">
      <w:pPr>
        <w:pStyle w:val="ListParagraph"/>
        <w:ind w:left="709"/>
      </w:pPr>
    </w:p>
    <w:p w14:paraId="009CFDA6" w14:textId="77777777" w:rsidR="00890383" w:rsidRDefault="00890383" w:rsidP="0066488F">
      <w:pPr>
        <w:pStyle w:val="ListParagraph"/>
        <w:ind w:left="709"/>
      </w:pPr>
    </w:p>
    <w:p w14:paraId="314FCF17" w14:textId="77777777" w:rsidR="00890383" w:rsidRDefault="00890383" w:rsidP="0066488F">
      <w:pPr>
        <w:pStyle w:val="ListParagraph"/>
        <w:ind w:left="709"/>
      </w:pPr>
    </w:p>
    <w:p w14:paraId="6B95B302" w14:textId="77777777" w:rsidR="00890383" w:rsidRDefault="00890383" w:rsidP="0066488F">
      <w:pPr>
        <w:pStyle w:val="ListParagraph"/>
        <w:ind w:left="709"/>
      </w:pPr>
    </w:p>
    <w:p w14:paraId="7020A41C" w14:textId="77777777" w:rsidR="00890383" w:rsidRDefault="00890383" w:rsidP="0066488F">
      <w:pPr>
        <w:pStyle w:val="ListParagraph"/>
        <w:ind w:left="709"/>
      </w:pPr>
    </w:p>
    <w:p w14:paraId="4EF5CDC4" w14:textId="77777777" w:rsidR="0066488F" w:rsidRDefault="0066488F" w:rsidP="0066488F">
      <w:pPr>
        <w:pStyle w:val="ListParagraph"/>
        <w:ind w:left="709"/>
      </w:pPr>
    </w:p>
    <w:p w14:paraId="27BC46F9" w14:textId="77777777" w:rsidR="0066488F" w:rsidRDefault="0066488F" w:rsidP="0066488F">
      <w:pPr>
        <w:pStyle w:val="ListParagraph"/>
        <w:ind w:left="709"/>
      </w:pPr>
    </w:p>
    <w:p w14:paraId="15EB74B1" w14:textId="77777777" w:rsidR="00D663B2" w:rsidRDefault="00D663B2" w:rsidP="0066488F">
      <w:pPr>
        <w:pStyle w:val="ListParagraph"/>
        <w:ind w:left="709"/>
      </w:pPr>
    </w:p>
    <w:p w14:paraId="621D448F" w14:textId="77777777" w:rsidR="00D663B2" w:rsidRDefault="00D663B2" w:rsidP="0066488F">
      <w:pPr>
        <w:pStyle w:val="ListParagraph"/>
        <w:ind w:left="709"/>
      </w:pPr>
    </w:p>
    <w:p w14:paraId="6D5FE5AA" w14:textId="77777777" w:rsidR="00D663B2" w:rsidRDefault="00D663B2" w:rsidP="0066488F">
      <w:pPr>
        <w:pStyle w:val="ListParagraph"/>
        <w:ind w:left="709"/>
      </w:pPr>
    </w:p>
    <w:p w14:paraId="3391E728" w14:textId="77777777" w:rsidR="00D663B2" w:rsidRDefault="00D663B2" w:rsidP="0066488F">
      <w:pPr>
        <w:pStyle w:val="ListParagraph"/>
        <w:ind w:left="709"/>
      </w:pPr>
    </w:p>
    <w:p w14:paraId="0956CE19" w14:textId="77777777" w:rsidR="0066488F" w:rsidRDefault="0066488F" w:rsidP="0066488F">
      <w:pPr>
        <w:pStyle w:val="ListParagraph"/>
        <w:ind w:left="709"/>
      </w:pPr>
    </w:p>
    <w:p w14:paraId="58CFE3EB" w14:textId="77777777" w:rsidR="001F1561" w:rsidRPr="00E67341" w:rsidRDefault="001F1561" w:rsidP="001F1561">
      <w:pPr>
        <w:rPr>
          <w:b/>
          <w:szCs w:val="24"/>
          <w:u w:val="single"/>
        </w:rPr>
      </w:pPr>
      <w:r w:rsidRPr="00E67341">
        <w:rPr>
          <w:b/>
          <w:szCs w:val="24"/>
          <w:u w:val="single"/>
        </w:rPr>
        <w:t>APPROVAL OF THE LEADER OF THE COUNCIL AND THE CHIEF EXECUTIVE</w:t>
      </w:r>
    </w:p>
    <w:p w14:paraId="3A679420" w14:textId="77777777" w:rsidR="001F1561" w:rsidRPr="00E67341" w:rsidRDefault="001F1561" w:rsidP="001F1561">
      <w:pPr>
        <w:rPr>
          <w:szCs w:val="24"/>
        </w:rPr>
      </w:pPr>
    </w:p>
    <w:p w14:paraId="32AA5CBA" w14:textId="77777777" w:rsidR="001F1561" w:rsidRPr="00E67341" w:rsidRDefault="001F1561" w:rsidP="001F1561">
      <w:pPr>
        <w:rPr>
          <w:szCs w:val="24"/>
        </w:rPr>
      </w:pPr>
    </w:p>
    <w:p w14:paraId="4CB421E3" w14:textId="77777777" w:rsidR="001F1561" w:rsidRPr="00E67341" w:rsidRDefault="001F1561" w:rsidP="001F1561">
      <w:pPr>
        <w:ind w:left="1134" w:hanging="720"/>
        <w:jc w:val="both"/>
        <w:rPr>
          <w:i/>
          <w:szCs w:val="24"/>
        </w:rPr>
      </w:pPr>
      <w:r w:rsidRPr="00E67341">
        <w:rPr>
          <w:szCs w:val="24"/>
        </w:rPr>
        <w:tab/>
      </w:r>
      <w:r w:rsidRPr="00E67341">
        <w:rPr>
          <w:i/>
          <w:szCs w:val="24"/>
        </w:rPr>
        <w:t>The Council has adopted a robust approach to addressing these financial, demographic, technological and legislative challenges.</w:t>
      </w:r>
    </w:p>
    <w:p w14:paraId="3584E4E5" w14:textId="77777777" w:rsidR="001F1561" w:rsidRPr="00E67341" w:rsidRDefault="001F1561" w:rsidP="001F1561">
      <w:pPr>
        <w:ind w:left="1134" w:hanging="720"/>
        <w:jc w:val="both"/>
        <w:rPr>
          <w:i/>
          <w:szCs w:val="24"/>
        </w:rPr>
      </w:pPr>
    </w:p>
    <w:p w14:paraId="3974451F" w14:textId="4E82400C" w:rsidR="001F1561" w:rsidRPr="001D5AC8" w:rsidRDefault="001F1561" w:rsidP="001D5AC8">
      <w:pPr>
        <w:ind w:left="1134" w:hanging="720"/>
        <w:jc w:val="both"/>
        <w:rPr>
          <w:i/>
          <w:szCs w:val="24"/>
        </w:rPr>
      </w:pPr>
      <w:r w:rsidRPr="00E67341">
        <w:rPr>
          <w:i/>
          <w:szCs w:val="24"/>
        </w:rPr>
        <w:tab/>
        <w:t xml:space="preserve">The </w:t>
      </w:r>
      <w:r w:rsidR="007113B8">
        <w:rPr>
          <w:i/>
          <w:szCs w:val="24"/>
        </w:rPr>
        <w:t xml:space="preserve">Audit and </w:t>
      </w:r>
      <w:r w:rsidRPr="00AE0C58">
        <w:rPr>
          <w:i/>
          <w:szCs w:val="24"/>
        </w:rPr>
        <w:t xml:space="preserve">Governance Committee reviewed the local code of corporate governance and this statement at their meeting on </w:t>
      </w:r>
      <w:r w:rsidR="002C717C" w:rsidRPr="00AE0C58">
        <w:rPr>
          <w:i/>
          <w:szCs w:val="24"/>
        </w:rPr>
        <w:t>24 June</w:t>
      </w:r>
      <w:r w:rsidR="008E31B9" w:rsidRPr="00AE0C58">
        <w:rPr>
          <w:i/>
          <w:szCs w:val="24"/>
        </w:rPr>
        <w:t xml:space="preserve"> </w:t>
      </w:r>
      <w:r w:rsidR="00446A58" w:rsidRPr="00AE0C58">
        <w:rPr>
          <w:i/>
          <w:szCs w:val="24"/>
        </w:rPr>
        <w:t>202</w:t>
      </w:r>
      <w:r w:rsidR="009C31C3" w:rsidRPr="00AE0C58">
        <w:rPr>
          <w:i/>
          <w:szCs w:val="24"/>
        </w:rPr>
        <w:t>6</w:t>
      </w:r>
      <w:r w:rsidR="002749A0" w:rsidRPr="00AE0C58">
        <w:rPr>
          <w:i/>
          <w:szCs w:val="24"/>
        </w:rPr>
        <w:t xml:space="preserve">. </w:t>
      </w:r>
      <w:r w:rsidRPr="00AE0C58">
        <w:rPr>
          <w:i/>
          <w:szCs w:val="24"/>
        </w:rPr>
        <w:t xml:space="preserve">We </w:t>
      </w:r>
      <w:r w:rsidRPr="00E67341">
        <w:rPr>
          <w:i/>
          <w:szCs w:val="24"/>
        </w:rPr>
        <w:t xml:space="preserve">are aware of the steps that are being and will be taken to address the above significant governance </w:t>
      </w:r>
      <w:r w:rsidR="00B35D80" w:rsidRPr="00E67341">
        <w:rPr>
          <w:i/>
          <w:szCs w:val="24"/>
        </w:rPr>
        <w:t>issues,</w:t>
      </w:r>
      <w:r w:rsidRPr="00E67341">
        <w:rPr>
          <w:i/>
          <w:szCs w:val="24"/>
        </w:rPr>
        <w:t xml:space="preserve"> and we are satisfied that these are appropriate. We will monitor their implementation </w:t>
      </w:r>
      <w:r w:rsidR="005B5076" w:rsidRPr="00E67341">
        <w:rPr>
          <w:i/>
          <w:szCs w:val="24"/>
        </w:rPr>
        <w:t>during</w:t>
      </w:r>
      <w:r w:rsidRPr="00E67341">
        <w:rPr>
          <w:i/>
          <w:szCs w:val="24"/>
        </w:rPr>
        <w:t xml:space="preserve"> 202</w:t>
      </w:r>
      <w:r w:rsidR="009C31C3">
        <w:rPr>
          <w:i/>
          <w:szCs w:val="24"/>
        </w:rPr>
        <w:t>6/27</w:t>
      </w:r>
      <w:r w:rsidRPr="00E67341">
        <w:rPr>
          <w:i/>
          <w:szCs w:val="24"/>
        </w:rPr>
        <w:t xml:space="preserve"> and beyond.</w:t>
      </w:r>
    </w:p>
    <w:p w14:paraId="3C8C8E14" w14:textId="77777777" w:rsidR="001F1561" w:rsidRPr="00E67341" w:rsidRDefault="001F1561" w:rsidP="001F1561">
      <w:pPr>
        <w:rPr>
          <w:szCs w:val="24"/>
        </w:rPr>
      </w:pPr>
    </w:p>
    <w:p w14:paraId="79E1E6C8" w14:textId="77777777" w:rsidR="001F1561" w:rsidRPr="00E67341" w:rsidRDefault="001F1561" w:rsidP="001F1561">
      <w:pPr>
        <w:rPr>
          <w:szCs w:val="24"/>
        </w:rPr>
      </w:pPr>
    </w:p>
    <w:p w14:paraId="6A5F72B3" w14:textId="77777777" w:rsidR="001F1561" w:rsidRPr="00E67341" w:rsidRDefault="001F1561" w:rsidP="001F1561">
      <w:pPr>
        <w:rPr>
          <w:szCs w:val="24"/>
        </w:rPr>
      </w:pPr>
    </w:p>
    <w:p w14:paraId="6AC03A88" w14:textId="77777777" w:rsidR="001F1561" w:rsidRPr="00E67341" w:rsidRDefault="001F1561" w:rsidP="001F1561">
      <w:pPr>
        <w:rPr>
          <w:szCs w:val="24"/>
        </w:rPr>
      </w:pPr>
    </w:p>
    <w:p w14:paraId="6B9256C2" w14:textId="512194F3" w:rsidR="001F1561" w:rsidRPr="00E67341" w:rsidRDefault="00B35D80" w:rsidP="001F1561">
      <w:pPr>
        <w:ind w:left="720" w:hanging="720"/>
        <w:rPr>
          <w:b/>
          <w:szCs w:val="24"/>
        </w:rPr>
      </w:pPr>
      <w:r w:rsidRPr="00E67341">
        <w:rPr>
          <w:b/>
          <w:szCs w:val="24"/>
        </w:rPr>
        <w:t>Signed…</w:t>
      </w:r>
      <w:r w:rsidR="001F1561" w:rsidRPr="00E67341">
        <w:rPr>
          <w:b/>
          <w:szCs w:val="24"/>
        </w:rPr>
        <w:t>………………………………………</w:t>
      </w:r>
      <w:r w:rsidR="00470376">
        <w:rPr>
          <w:b/>
          <w:szCs w:val="24"/>
        </w:rPr>
        <w:t>………………………</w:t>
      </w:r>
      <w:r w:rsidR="00F17251">
        <w:rPr>
          <w:b/>
          <w:szCs w:val="24"/>
        </w:rPr>
        <w:t>.</w:t>
      </w:r>
    </w:p>
    <w:p w14:paraId="68174B22" w14:textId="77777777" w:rsidR="001F1561" w:rsidRPr="00E67341" w:rsidRDefault="001F1561" w:rsidP="001F1561">
      <w:pPr>
        <w:ind w:left="720" w:hanging="720"/>
        <w:rPr>
          <w:b/>
          <w:szCs w:val="24"/>
        </w:rPr>
      </w:pPr>
    </w:p>
    <w:p w14:paraId="60AA3E87" w14:textId="77777777" w:rsidR="001F1561" w:rsidRPr="00E67341" w:rsidRDefault="001F1561" w:rsidP="001F1561">
      <w:pPr>
        <w:ind w:left="720" w:hanging="720"/>
        <w:rPr>
          <w:b/>
          <w:szCs w:val="24"/>
        </w:rPr>
      </w:pPr>
      <w:r w:rsidRPr="00E67341">
        <w:rPr>
          <w:b/>
          <w:szCs w:val="24"/>
        </w:rPr>
        <w:t>LEADER</w:t>
      </w:r>
    </w:p>
    <w:p w14:paraId="7E2D9F73" w14:textId="77777777" w:rsidR="001F1561" w:rsidRPr="00E67341" w:rsidRDefault="001F1561" w:rsidP="001F1561">
      <w:pPr>
        <w:ind w:left="720" w:hanging="720"/>
        <w:rPr>
          <w:b/>
          <w:szCs w:val="24"/>
        </w:rPr>
      </w:pPr>
    </w:p>
    <w:p w14:paraId="374AF9E3" w14:textId="77777777" w:rsidR="001F1561" w:rsidRPr="00E67341" w:rsidRDefault="001F1561" w:rsidP="001F1561">
      <w:pPr>
        <w:ind w:left="720" w:hanging="720"/>
        <w:rPr>
          <w:b/>
          <w:szCs w:val="24"/>
        </w:rPr>
      </w:pPr>
    </w:p>
    <w:p w14:paraId="52613DB9" w14:textId="77777777" w:rsidR="001F1561" w:rsidRPr="00E67341" w:rsidRDefault="001F1561" w:rsidP="001F1561">
      <w:pPr>
        <w:ind w:left="720" w:hanging="720"/>
        <w:rPr>
          <w:b/>
          <w:szCs w:val="24"/>
        </w:rPr>
      </w:pPr>
    </w:p>
    <w:p w14:paraId="169891CE" w14:textId="77777777" w:rsidR="001F1561" w:rsidRPr="00E67341" w:rsidRDefault="001F1561" w:rsidP="001F1561">
      <w:pPr>
        <w:ind w:left="720" w:hanging="720"/>
        <w:rPr>
          <w:b/>
          <w:szCs w:val="24"/>
        </w:rPr>
      </w:pPr>
    </w:p>
    <w:p w14:paraId="02E560ED" w14:textId="77777777" w:rsidR="001F1561" w:rsidRPr="00E67341" w:rsidRDefault="001F1561" w:rsidP="001F1561">
      <w:pPr>
        <w:ind w:left="720" w:hanging="720"/>
        <w:rPr>
          <w:b/>
          <w:szCs w:val="24"/>
        </w:rPr>
      </w:pPr>
    </w:p>
    <w:p w14:paraId="34C41879" w14:textId="77777777" w:rsidR="001F1561" w:rsidRPr="00E67341" w:rsidRDefault="001F1561" w:rsidP="001F1561">
      <w:pPr>
        <w:ind w:left="720" w:hanging="720"/>
        <w:rPr>
          <w:b/>
          <w:szCs w:val="24"/>
        </w:rPr>
      </w:pPr>
    </w:p>
    <w:p w14:paraId="61EBB286" w14:textId="77777777" w:rsidR="001F1561" w:rsidRPr="00E67341" w:rsidRDefault="001F1561" w:rsidP="001F1561">
      <w:pPr>
        <w:ind w:left="720" w:hanging="720"/>
        <w:rPr>
          <w:b/>
          <w:szCs w:val="24"/>
        </w:rPr>
      </w:pPr>
    </w:p>
    <w:p w14:paraId="2A2CA3FC" w14:textId="77777777" w:rsidR="001F1561" w:rsidRPr="00E67341" w:rsidRDefault="001F1561" w:rsidP="001F1561">
      <w:pPr>
        <w:ind w:left="720" w:hanging="720"/>
        <w:rPr>
          <w:b/>
          <w:szCs w:val="24"/>
        </w:rPr>
      </w:pPr>
    </w:p>
    <w:p w14:paraId="0D9BC434" w14:textId="3D264163" w:rsidR="001F1561" w:rsidRPr="00E67341" w:rsidRDefault="00B35D80" w:rsidP="001F1561">
      <w:pPr>
        <w:ind w:left="720" w:hanging="720"/>
        <w:rPr>
          <w:b/>
          <w:szCs w:val="24"/>
        </w:rPr>
      </w:pPr>
      <w:r w:rsidRPr="00E67341">
        <w:rPr>
          <w:b/>
          <w:szCs w:val="24"/>
        </w:rPr>
        <w:t>Signed…</w:t>
      </w:r>
      <w:r w:rsidR="001F1561" w:rsidRPr="00E67341">
        <w:rPr>
          <w:b/>
          <w:szCs w:val="24"/>
        </w:rPr>
        <w:t>……………………………………………………………</w:t>
      </w:r>
      <w:r w:rsidR="00D64CC5">
        <w:rPr>
          <w:b/>
          <w:szCs w:val="24"/>
        </w:rPr>
        <w:t>…</w:t>
      </w:r>
    </w:p>
    <w:p w14:paraId="2BC2C793" w14:textId="64F46BFC" w:rsidR="001F1561" w:rsidRPr="00E67341" w:rsidRDefault="001F1561" w:rsidP="00097A58">
      <w:pPr>
        <w:rPr>
          <w:b/>
          <w:szCs w:val="24"/>
        </w:rPr>
      </w:pPr>
    </w:p>
    <w:p w14:paraId="2F765FBE" w14:textId="29B6985D" w:rsidR="00A55447" w:rsidRPr="00E67341" w:rsidRDefault="001F1561" w:rsidP="001F1561">
      <w:r w:rsidRPr="00E67341">
        <w:rPr>
          <w:b/>
          <w:szCs w:val="24"/>
        </w:rPr>
        <w:t>CHIEF EXECUTIVE</w:t>
      </w:r>
    </w:p>
    <w:sectPr w:rsidR="00A55447" w:rsidRPr="00E67341" w:rsidSect="005C7809">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C531" w14:textId="77777777" w:rsidR="00DA6708" w:rsidRDefault="00DA6708" w:rsidP="00A05E4F">
      <w:r>
        <w:separator/>
      </w:r>
    </w:p>
  </w:endnote>
  <w:endnote w:type="continuationSeparator" w:id="0">
    <w:p w14:paraId="68E5C247" w14:textId="77777777" w:rsidR="00DA6708" w:rsidRDefault="00DA6708" w:rsidP="00A0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Lola">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C200" w14:textId="77777777" w:rsidR="00B76033" w:rsidRDefault="00B76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316843306"/>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p w14:paraId="7346D7EA" w14:textId="77777777" w:rsidR="00F566CB" w:rsidRDefault="00F566C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7CDEA25A" wp14:editId="64020234">
                      <wp:simplePos x="0" y="0"/>
                      <wp:positionH relativeFrom="margin">
                        <wp:posOffset>4441209</wp:posOffset>
                      </wp:positionH>
                      <wp:positionV relativeFrom="bottomMargin">
                        <wp:posOffset>189865</wp:posOffset>
                      </wp:positionV>
                      <wp:extent cx="345831" cy="320919"/>
                      <wp:effectExtent l="0" t="0" r="0" b="31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831" cy="320919"/>
                              </a:xfrm>
                              <a:prstGeom prst="ellipse">
                                <a:avLst/>
                              </a:prstGeom>
                              <a:solidFill>
                                <a:schemeClr val="accent1">
                                  <a:lumMod val="20000"/>
                                  <a:lumOff val="80000"/>
                                </a:schemeClr>
                              </a:solidFill>
                              <a:ln>
                                <a:noFill/>
                              </a:ln>
                            </wps:spPr>
                            <wps:txbx>
                              <w:txbxContent>
                                <w:p w14:paraId="1E63A73A" w14:textId="77777777" w:rsidR="00F566CB" w:rsidRPr="00690506" w:rsidRDefault="00F566CB" w:rsidP="00621B49">
                                  <w:pPr>
                                    <w:pStyle w:val="Footer"/>
                                    <w:ind w:left="-227" w:firstLine="142"/>
                                    <w:rPr>
                                      <w:b/>
                                      <w:bCs/>
                                      <w:color w:val="FFFFFF" w:themeColor="background1"/>
                                      <w:szCs w:val="24"/>
                                    </w:rPr>
                                  </w:pPr>
                                  <w:r w:rsidRPr="00690506">
                                    <w:rPr>
                                      <w:szCs w:val="24"/>
                                    </w:rPr>
                                    <w:fldChar w:fldCharType="begin"/>
                                  </w:r>
                                  <w:r w:rsidRPr="00690506">
                                    <w:rPr>
                                      <w:szCs w:val="24"/>
                                    </w:rPr>
                                    <w:instrText xml:space="preserve"> PAGE    \* MERGEFORMAT </w:instrText>
                                  </w:r>
                                  <w:r w:rsidRPr="00690506">
                                    <w:rPr>
                                      <w:szCs w:val="24"/>
                                    </w:rPr>
                                    <w:fldChar w:fldCharType="separate"/>
                                  </w:r>
                                  <w:r w:rsidRPr="00690506">
                                    <w:rPr>
                                      <w:b/>
                                      <w:bCs/>
                                      <w:noProof/>
                                      <w:szCs w:val="24"/>
                                    </w:rPr>
                                    <w:t>2</w:t>
                                  </w:r>
                                  <w:r w:rsidRPr="00690506">
                                    <w:rPr>
                                      <w:b/>
                                      <w:bCs/>
                                      <w:noProof/>
                                      <w:szCs w:val="24"/>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CDEA25A" id="Oval 1" o:spid="_x0000_s1029" style="position:absolute;margin-left:349.7pt;margin-top:14.95pt;width:27.25pt;height:2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" fillcolor="#d9e2f3 [660]" stroked="f">
                      <v:textbox>
                        <w:txbxContent>
                          <w:p w14:paraId="1E63A73A" w14:textId="77777777" w:rsidR="00F566CB" w:rsidRPr="00690506" w:rsidRDefault="00F566CB" w:rsidP="00621B49">
                            <w:pPr>
                              <w:pStyle w:val="Footer"/>
                              <w:ind w:left="-227" w:firstLine="142"/>
                              <w:rPr>
                                <w:b/>
                                <w:bCs/>
                                <w:color w:val="FFFFFF" w:themeColor="background1"/>
                                <w:szCs w:val="24"/>
                              </w:rPr>
                            </w:pPr>
                            <w:r w:rsidRPr="00690506">
                              <w:rPr>
                                <w:szCs w:val="24"/>
                              </w:rPr>
                              <w:fldChar w:fldCharType="begin"/>
                            </w:r>
                            <w:r w:rsidRPr="00690506">
                              <w:rPr>
                                <w:szCs w:val="24"/>
                              </w:rPr>
                              <w:instrText xml:space="preserve"> PAGE    \* MERGEFORMAT </w:instrText>
                            </w:r>
                            <w:r w:rsidRPr="00690506">
                              <w:rPr>
                                <w:szCs w:val="24"/>
                              </w:rPr>
                              <w:fldChar w:fldCharType="separate"/>
                            </w:r>
                            <w:r w:rsidRPr="00690506">
                              <w:rPr>
                                <w:b/>
                                <w:bCs/>
                                <w:noProof/>
                                <w:szCs w:val="24"/>
                              </w:rPr>
                              <w:t>2</w:t>
                            </w:r>
                            <w:r w:rsidRPr="00690506">
                              <w:rPr>
                                <w:b/>
                                <w:bCs/>
                                <w:noProof/>
                                <w:szCs w:val="24"/>
                              </w:rPr>
                              <w:fldChar w:fldCharType="end"/>
                            </w:r>
                          </w:p>
                        </w:txbxContent>
                      </v:textbox>
                      <w10:wrap anchorx="margin" anchory="margin"/>
                    </v:oval>
                  </w:pict>
                </mc:Fallback>
              </mc:AlternateConten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E719" w14:textId="77777777" w:rsidR="00B76033" w:rsidRDefault="00B7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B279" w14:textId="77777777" w:rsidR="00DA6708" w:rsidRDefault="00DA6708" w:rsidP="00A05E4F">
      <w:r>
        <w:separator/>
      </w:r>
    </w:p>
  </w:footnote>
  <w:footnote w:type="continuationSeparator" w:id="0">
    <w:p w14:paraId="26F2B855" w14:textId="77777777" w:rsidR="00DA6708" w:rsidRDefault="00DA6708" w:rsidP="00A0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159C" w14:textId="77777777" w:rsidR="00B76033" w:rsidRDefault="00B76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555E" w14:textId="09C1C661" w:rsidR="00F566CB" w:rsidRPr="008A1597" w:rsidRDefault="00F566CB" w:rsidP="008A1597">
    <w:pPr>
      <w:jc w:val="center"/>
      <w:rPr>
        <w:b/>
        <w:sz w:val="28"/>
        <w:szCs w:val="28"/>
        <w:u w:val="single"/>
      </w:rPr>
    </w:pPr>
    <w:r>
      <w:rPr>
        <w:b/>
        <w:sz w:val="28"/>
        <w:szCs w:val="28"/>
        <w:u w:val="single"/>
      </w:rPr>
      <w:t>NOTTINGHAMSHIRE COUNTY COUNCIL - ANNUAL GOVERNANCE STATEMENT 202</w:t>
    </w:r>
    <w:r w:rsidR="00B76033">
      <w:rPr>
        <w:b/>
        <w:sz w:val="28"/>
        <w:szCs w:val="28"/>
        <w:u w:val="single"/>
      </w:rPr>
      <w:t>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7D91" w14:textId="77777777" w:rsidR="00B76033" w:rsidRDefault="00B76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14029"/>
    </w:tblGrid>
    <w:tr w:rsidR="00172569" w14:paraId="6E9DDC14" w14:textId="77777777" w:rsidTr="003E6D4C">
      <w:tc>
        <w:tcPr>
          <w:tcW w:w="14029" w:type="dxa"/>
          <w:shd w:val="clear" w:color="auto" w:fill="B4C6E7" w:themeFill="accent1" w:themeFillTint="66"/>
        </w:tcPr>
        <w:p w14:paraId="2A295119" w14:textId="77777777" w:rsidR="00172569" w:rsidRDefault="00172569" w:rsidP="0046411F">
          <w:pPr>
            <w:pStyle w:val="Header"/>
            <w:numPr>
              <w:ilvl w:val="0"/>
              <w:numId w:val="13"/>
            </w:numPr>
            <w:ind w:left="314"/>
            <w:rPr>
              <w:b/>
              <w:sz w:val="22"/>
              <w:szCs w:val="22"/>
            </w:rPr>
          </w:pPr>
          <w:r w:rsidRPr="006172FC">
            <w:rPr>
              <w:rFonts w:cs="Arial"/>
              <w:b/>
              <w:color w:val="000000"/>
              <w:sz w:val="28"/>
              <w:szCs w:val="28"/>
            </w:rPr>
            <w:t>Behaving with integrity, demonstrating strong commitment to ethical values, and respecting the rule of law</w:t>
          </w:r>
          <w:r w:rsidRPr="007371AF">
            <w:rPr>
              <w:b/>
              <w:sz w:val="22"/>
              <w:szCs w:val="22"/>
            </w:rPr>
            <w:t xml:space="preserve"> </w:t>
          </w:r>
        </w:p>
        <w:p w14:paraId="0E18F5E4" w14:textId="77777777" w:rsidR="00172569" w:rsidRPr="003E6D4C" w:rsidRDefault="00172569" w:rsidP="003E6D4C">
          <w:pPr>
            <w:pStyle w:val="Header"/>
            <w:ind w:left="720"/>
            <w:rPr>
              <w:b/>
              <w:szCs w:val="24"/>
            </w:rPr>
          </w:pPr>
          <w:r>
            <w:rPr>
              <w:b/>
              <w:sz w:val="22"/>
              <w:szCs w:val="22"/>
            </w:rPr>
            <w:t xml:space="preserve">                                    </w:t>
          </w:r>
          <w:r w:rsidRPr="003E6D4C">
            <w:rPr>
              <w:b/>
              <w:szCs w:val="24"/>
            </w:rPr>
            <w:t xml:space="preserve">Assessed assurance level for compliance with the Code of Corporate Governance: </w:t>
          </w:r>
          <w:r w:rsidRPr="00CE502E">
            <w:rPr>
              <w:b/>
              <w:szCs w:val="24"/>
              <w:shd w:val="clear" w:color="auto" w:fill="92D050"/>
            </w:rPr>
            <w:t>Substantial</w:t>
          </w:r>
        </w:p>
      </w:tc>
    </w:tr>
  </w:tbl>
  <w:p w14:paraId="3910EA92" w14:textId="77777777" w:rsidR="00172569" w:rsidRDefault="00172569" w:rsidP="006172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14029"/>
    </w:tblGrid>
    <w:tr w:rsidR="007032A0" w14:paraId="79D9B187" w14:textId="77777777" w:rsidTr="00343D87">
      <w:tc>
        <w:tcPr>
          <w:tcW w:w="14029" w:type="dxa"/>
        </w:tcPr>
        <w:p w14:paraId="15E86B33" w14:textId="610395B3" w:rsidR="007032A0" w:rsidRDefault="007032A0" w:rsidP="006172FC">
          <w:pPr>
            <w:pStyle w:val="Header"/>
            <w:rPr>
              <w:b/>
              <w:szCs w:val="24"/>
            </w:rPr>
          </w:pPr>
          <w:r w:rsidRPr="006172FC">
            <w:rPr>
              <w:rFonts w:cs="Arial"/>
              <w:b/>
              <w:color w:val="000000"/>
              <w:sz w:val="28"/>
              <w:szCs w:val="28"/>
            </w:rPr>
            <w:t xml:space="preserve">B. Ensuring openness and comprehensive stakeholder </w:t>
          </w:r>
          <w:r w:rsidR="00B35D80" w:rsidRPr="006172FC">
            <w:rPr>
              <w:rFonts w:cs="Arial"/>
              <w:b/>
              <w:color w:val="000000"/>
              <w:sz w:val="28"/>
              <w:szCs w:val="28"/>
            </w:rPr>
            <w:t>engagement.</w:t>
          </w:r>
          <w:r w:rsidRPr="003E6D4C">
            <w:rPr>
              <w:b/>
              <w:szCs w:val="24"/>
            </w:rPr>
            <w:t xml:space="preserve"> </w:t>
          </w:r>
        </w:p>
        <w:p w14:paraId="1065319D" w14:textId="77777777" w:rsidR="007032A0" w:rsidRDefault="007032A0" w:rsidP="006172FC">
          <w:pPr>
            <w:pStyle w:val="Header"/>
            <w:rPr>
              <w:b/>
              <w:szCs w:val="24"/>
            </w:rPr>
          </w:pPr>
        </w:p>
        <w:p w14:paraId="152CFC59" w14:textId="77777777" w:rsidR="007032A0" w:rsidRPr="006172FC" w:rsidRDefault="007032A0" w:rsidP="006172FC">
          <w:pPr>
            <w:pStyle w:val="Header"/>
          </w:pPr>
          <w:r>
            <w:rPr>
              <w:b/>
              <w:szCs w:val="24"/>
            </w:rPr>
            <w:t xml:space="preserve">                                            </w:t>
          </w:r>
          <w:r w:rsidRPr="003E6D4C">
            <w:rPr>
              <w:b/>
              <w:szCs w:val="24"/>
            </w:rPr>
            <w:t xml:space="preserve">Assessed assurance level for compliance with the Code of Corporate Governance: </w:t>
          </w:r>
          <w:r w:rsidRPr="00343D87">
            <w:rPr>
              <w:b/>
              <w:szCs w:val="24"/>
              <w:highlight w:val="green"/>
              <w:shd w:val="clear" w:color="auto" w:fill="70AD47" w:themeFill="accent6"/>
            </w:rPr>
            <w:t>Substantial</w:t>
          </w:r>
        </w:p>
      </w:tc>
    </w:tr>
  </w:tbl>
  <w:p w14:paraId="2F7C8806" w14:textId="77777777" w:rsidR="007032A0" w:rsidRPr="006172FC" w:rsidRDefault="007032A0" w:rsidP="006172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FE53" w14:textId="77777777" w:rsidR="00A61C75" w:rsidRPr="006172FC" w:rsidRDefault="00A61C75" w:rsidP="006172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9" w:type="dxa"/>
      <w:tblLook w:val="04A0" w:firstRow="1" w:lastRow="0" w:firstColumn="1" w:lastColumn="0" w:noHBand="0" w:noVBand="1"/>
    </w:tblPr>
    <w:tblGrid>
      <w:gridCol w:w="14029"/>
    </w:tblGrid>
    <w:tr w:rsidR="00F566CB" w14:paraId="4AED898B" w14:textId="77777777" w:rsidTr="0046411F">
      <w:tc>
        <w:tcPr>
          <w:tcW w:w="14029" w:type="dxa"/>
          <w:shd w:val="clear" w:color="auto" w:fill="B4C6E7" w:themeFill="accent1" w:themeFillTint="66"/>
        </w:tcPr>
        <w:p w14:paraId="39FCFDC7" w14:textId="4FE83585" w:rsidR="00F566CB" w:rsidRDefault="00F566CB" w:rsidP="0046411F">
          <w:pPr>
            <w:pStyle w:val="Header"/>
            <w:ind w:left="314" w:hanging="314"/>
            <w:rPr>
              <w:rFonts w:cs="Arial"/>
              <w:b/>
              <w:color w:val="000000"/>
              <w:sz w:val="28"/>
              <w:szCs w:val="28"/>
            </w:rPr>
          </w:pPr>
          <w:r>
            <w:rPr>
              <w:rFonts w:cs="Arial"/>
              <w:b/>
              <w:color w:val="000000"/>
              <w:sz w:val="28"/>
              <w:szCs w:val="28"/>
            </w:rPr>
            <w:t xml:space="preserve">E. </w:t>
          </w:r>
          <w:r w:rsidRPr="006172FC">
            <w:rPr>
              <w:rFonts w:cs="Arial"/>
              <w:b/>
              <w:color w:val="000000"/>
              <w:sz w:val="28"/>
              <w:szCs w:val="28"/>
            </w:rPr>
            <w:t xml:space="preserve">Developing the entity’s capacity, including the capability of its leadership and the individuals within </w:t>
          </w:r>
          <w:r w:rsidR="00B35D80" w:rsidRPr="006172FC">
            <w:rPr>
              <w:rFonts w:cs="Arial"/>
              <w:b/>
              <w:color w:val="000000"/>
              <w:sz w:val="28"/>
              <w:szCs w:val="28"/>
            </w:rPr>
            <w:t>it.</w:t>
          </w:r>
        </w:p>
        <w:p w14:paraId="7F35B855" w14:textId="6C56BAFA" w:rsidR="00F566CB" w:rsidRPr="006172FC" w:rsidRDefault="00F566CB" w:rsidP="006172FC">
          <w:pPr>
            <w:pStyle w:val="Header"/>
          </w:pPr>
          <w:r>
            <w:rPr>
              <w:b/>
              <w:szCs w:val="24"/>
            </w:rPr>
            <w:t xml:space="preserve">                                            </w:t>
          </w:r>
          <w:r w:rsidRPr="003E6D4C">
            <w:rPr>
              <w:b/>
              <w:szCs w:val="24"/>
            </w:rPr>
            <w:t xml:space="preserve">Assessed assurance level for compliance with the Code of Corporate Governance: </w:t>
          </w:r>
          <w:r w:rsidR="00220D03" w:rsidRPr="00220D03">
            <w:rPr>
              <w:b/>
              <w:szCs w:val="24"/>
              <w:shd w:val="clear" w:color="auto" w:fill="FFC000"/>
            </w:rPr>
            <w:t>Reasonable</w:t>
          </w:r>
        </w:p>
      </w:tc>
    </w:tr>
  </w:tbl>
  <w:p w14:paraId="15C26C4B" w14:textId="77777777" w:rsidR="00F566CB" w:rsidRPr="006172FC" w:rsidRDefault="00F566CB" w:rsidP="006172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5C63" w14:textId="77777777" w:rsidR="00F566CB" w:rsidRPr="006172FC" w:rsidRDefault="00F566CB" w:rsidP="006172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DCBC" w14:textId="77777777" w:rsidR="00F566CB" w:rsidRPr="00690506" w:rsidRDefault="00F566CB" w:rsidP="0069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0EB"/>
    <w:multiLevelType w:val="hybridMultilevel"/>
    <w:tmpl w:val="5B369E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516210"/>
    <w:multiLevelType w:val="hybridMultilevel"/>
    <w:tmpl w:val="8C10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51FB1"/>
    <w:multiLevelType w:val="hybridMultilevel"/>
    <w:tmpl w:val="F04080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A2097"/>
    <w:multiLevelType w:val="hybridMultilevel"/>
    <w:tmpl w:val="CE7CF1B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956916"/>
    <w:multiLevelType w:val="hybridMultilevel"/>
    <w:tmpl w:val="82E89C7C"/>
    <w:lvl w:ilvl="0" w:tplc="08090017">
      <w:start w:val="1"/>
      <w:numFmt w:val="lowerLetter"/>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5" w15:restartNumberingAfterBreak="0">
    <w:nsid w:val="16F15831"/>
    <w:multiLevelType w:val="hybridMultilevel"/>
    <w:tmpl w:val="31CCE8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3C16835"/>
    <w:multiLevelType w:val="hybridMultilevel"/>
    <w:tmpl w:val="F0F6D3B6"/>
    <w:lvl w:ilvl="0" w:tplc="91DE912C">
      <w:start w:val="1"/>
      <w:numFmt w:val="upperLetter"/>
      <w:lvlText w:val="%1."/>
      <w:lvlJc w:val="left"/>
      <w:pPr>
        <w:ind w:left="720" w:hanging="360"/>
      </w:pPr>
      <w:rPr>
        <w:rFonts w:cs="Arial" w:hint="default"/>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653C55"/>
    <w:multiLevelType w:val="hybridMultilevel"/>
    <w:tmpl w:val="792CEAA6"/>
    <w:lvl w:ilvl="0" w:tplc="3D6A7B0C">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0422F"/>
    <w:multiLevelType w:val="hybridMultilevel"/>
    <w:tmpl w:val="1DAC9068"/>
    <w:lvl w:ilvl="0" w:tplc="5DC26E9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E7CBF"/>
    <w:multiLevelType w:val="hybridMultilevel"/>
    <w:tmpl w:val="02ACEA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A0C89"/>
    <w:multiLevelType w:val="hybridMultilevel"/>
    <w:tmpl w:val="4614D1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53168"/>
    <w:multiLevelType w:val="hybridMultilevel"/>
    <w:tmpl w:val="45F2B0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1E551A4"/>
    <w:multiLevelType w:val="multilevel"/>
    <w:tmpl w:val="AE848976"/>
    <w:styleLink w:val="HiddenBulletsGreen"/>
    <w:lvl w:ilvl="0">
      <w:numFmt w:val="bullet"/>
      <w:lvlText w:val=""/>
      <w:lvlJc w:val="left"/>
      <w:pPr>
        <w:ind w:left="1080" w:hanging="360"/>
      </w:pPr>
      <w:rPr>
        <w:rFonts w:ascii="Symbol" w:hAnsi="Symbol"/>
        <w:vanish/>
        <w:color w:val="33996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E929C2"/>
    <w:multiLevelType w:val="hybridMultilevel"/>
    <w:tmpl w:val="8102C0CC"/>
    <w:lvl w:ilvl="0" w:tplc="08090017">
      <w:start w:val="1"/>
      <w:numFmt w:val="lowerLetter"/>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4" w15:restartNumberingAfterBreak="0">
    <w:nsid w:val="43AF64DA"/>
    <w:multiLevelType w:val="hybridMultilevel"/>
    <w:tmpl w:val="922408E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A5809"/>
    <w:multiLevelType w:val="hybridMultilevel"/>
    <w:tmpl w:val="2912F8F4"/>
    <w:lvl w:ilvl="0" w:tplc="3D6A7B0C">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27098"/>
    <w:multiLevelType w:val="hybridMultilevel"/>
    <w:tmpl w:val="8A7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07532"/>
    <w:multiLevelType w:val="hybridMultilevel"/>
    <w:tmpl w:val="A49A3AA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D587463"/>
    <w:multiLevelType w:val="multilevel"/>
    <w:tmpl w:val="AD6C9542"/>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4D724EBC"/>
    <w:multiLevelType w:val="hybridMultilevel"/>
    <w:tmpl w:val="D35E61D6"/>
    <w:lvl w:ilvl="0" w:tplc="9DD2E738">
      <w:start w:val="1"/>
      <w:numFmt w:val="upperLetter"/>
      <w:lvlText w:val="%1."/>
      <w:lvlJc w:val="left"/>
      <w:pPr>
        <w:ind w:left="720" w:hanging="360"/>
      </w:pPr>
      <w:rPr>
        <w:rFonts w:cs="Arial" w:hint="default"/>
        <w:color w:val="00000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926D6"/>
    <w:multiLevelType w:val="hybridMultilevel"/>
    <w:tmpl w:val="20527462"/>
    <w:lvl w:ilvl="0" w:tplc="3D6A7B0C">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F72185F"/>
    <w:multiLevelType w:val="multilevel"/>
    <w:tmpl w:val="564E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05F2B"/>
    <w:multiLevelType w:val="hybridMultilevel"/>
    <w:tmpl w:val="7C66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A030B"/>
    <w:multiLevelType w:val="hybridMultilevel"/>
    <w:tmpl w:val="C4E65FB8"/>
    <w:lvl w:ilvl="0" w:tplc="B3902988">
      <w:numFmt w:val="bullet"/>
      <w:lvlText w:val="-"/>
      <w:lvlJc w:val="left"/>
      <w:pPr>
        <w:ind w:left="780" w:hanging="360"/>
      </w:pPr>
      <w:rPr>
        <w:rFonts w:ascii="Arial" w:eastAsia="Times New Roman" w:hAnsi="Arial" w:cs="Aria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423185A"/>
    <w:multiLevelType w:val="multilevel"/>
    <w:tmpl w:val="93FC95F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D201D9"/>
    <w:multiLevelType w:val="hybridMultilevel"/>
    <w:tmpl w:val="112AD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5C069C"/>
    <w:multiLevelType w:val="hybridMultilevel"/>
    <w:tmpl w:val="A8A40EC2"/>
    <w:lvl w:ilvl="0" w:tplc="0809000F">
      <w:start w:val="1"/>
      <w:numFmt w:val="decimal"/>
      <w:lvlText w:val="%1."/>
      <w:lvlJc w:val="left"/>
      <w:pPr>
        <w:ind w:left="61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EA451A"/>
    <w:multiLevelType w:val="hybridMultilevel"/>
    <w:tmpl w:val="283E1BC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C690F"/>
    <w:multiLevelType w:val="hybridMultilevel"/>
    <w:tmpl w:val="79F2A90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9" w15:restartNumberingAfterBreak="0">
    <w:nsid w:val="64C77862"/>
    <w:multiLevelType w:val="hybridMultilevel"/>
    <w:tmpl w:val="32E2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86F53"/>
    <w:multiLevelType w:val="hybridMultilevel"/>
    <w:tmpl w:val="19F2B4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4530AE"/>
    <w:multiLevelType w:val="hybridMultilevel"/>
    <w:tmpl w:val="6106AF4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5101964">
    <w:abstractNumId w:val="24"/>
  </w:num>
  <w:num w:numId="2" w16cid:durableId="391932384">
    <w:abstractNumId w:val="11"/>
  </w:num>
  <w:num w:numId="3" w16cid:durableId="607201187">
    <w:abstractNumId w:val="25"/>
  </w:num>
  <w:num w:numId="4" w16cid:durableId="1449854930">
    <w:abstractNumId w:val="9"/>
  </w:num>
  <w:num w:numId="5" w16cid:durableId="1940486620">
    <w:abstractNumId w:val="2"/>
  </w:num>
  <w:num w:numId="6" w16cid:durableId="1131748801">
    <w:abstractNumId w:val="20"/>
  </w:num>
  <w:num w:numId="7" w16cid:durableId="1522088155">
    <w:abstractNumId w:val="17"/>
  </w:num>
  <w:num w:numId="8" w16cid:durableId="301543252">
    <w:abstractNumId w:val="26"/>
  </w:num>
  <w:num w:numId="9" w16cid:durableId="1950505696">
    <w:abstractNumId w:val="13"/>
  </w:num>
  <w:num w:numId="10" w16cid:durableId="133766487">
    <w:abstractNumId w:val="10"/>
  </w:num>
  <w:num w:numId="11" w16cid:durableId="382292267">
    <w:abstractNumId w:val="4"/>
  </w:num>
  <w:num w:numId="12" w16cid:durableId="970358200">
    <w:abstractNumId w:val="19"/>
  </w:num>
  <w:num w:numId="13" w16cid:durableId="291061729">
    <w:abstractNumId w:val="6"/>
  </w:num>
  <w:num w:numId="14" w16cid:durableId="731975082">
    <w:abstractNumId w:val="1"/>
  </w:num>
  <w:num w:numId="15" w16cid:durableId="1866098248">
    <w:abstractNumId w:val="7"/>
  </w:num>
  <w:num w:numId="16" w16cid:durableId="730036222">
    <w:abstractNumId w:val="15"/>
  </w:num>
  <w:num w:numId="17" w16cid:durableId="2007244545">
    <w:abstractNumId w:val="27"/>
  </w:num>
  <w:num w:numId="18" w16cid:durableId="5791812">
    <w:abstractNumId w:val="14"/>
  </w:num>
  <w:num w:numId="19" w16cid:durableId="920021770">
    <w:abstractNumId w:val="22"/>
  </w:num>
  <w:num w:numId="20" w16cid:durableId="1759713322">
    <w:abstractNumId w:val="5"/>
  </w:num>
  <w:num w:numId="21" w16cid:durableId="1698702925">
    <w:abstractNumId w:val="8"/>
  </w:num>
  <w:num w:numId="22" w16cid:durableId="1529949787">
    <w:abstractNumId w:val="0"/>
  </w:num>
  <w:num w:numId="23" w16cid:durableId="724915803">
    <w:abstractNumId w:val="29"/>
  </w:num>
  <w:num w:numId="24" w16cid:durableId="733356406">
    <w:abstractNumId w:val="31"/>
  </w:num>
  <w:num w:numId="25" w16cid:durableId="1560281290">
    <w:abstractNumId w:val="30"/>
  </w:num>
  <w:num w:numId="26" w16cid:durableId="1304852631">
    <w:abstractNumId w:val="3"/>
  </w:num>
  <w:num w:numId="27" w16cid:durableId="901910700">
    <w:abstractNumId w:val="21"/>
  </w:num>
  <w:num w:numId="28" w16cid:durableId="1703478088">
    <w:abstractNumId w:val="12"/>
  </w:num>
  <w:num w:numId="29" w16cid:durableId="1256478544">
    <w:abstractNumId w:val="23"/>
  </w:num>
  <w:num w:numId="30" w16cid:durableId="1295604215">
    <w:abstractNumId w:val="18"/>
  </w:num>
  <w:num w:numId="31" w16cid:durableId="333411450">
    <w:abstractNumId w:val="16"/>
  </w:num>
  <w:num w:numId="32" w16cid:durableId="13098222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4F"/>
    <w:rsid w:val="00000590"/>
    <w:rsid w:val="000030F1"/>
    <w:rsid w:val="00003E9D"/>
    <w:rsid w:val="00006A84"/>
    <w:rsid w:val="00007124"/>
    <w:rsid w:val="0000733B"/>
    <w:rsid w:val="00007687"/>
    <w:rsid w:val="00011A21"/>
    <w:rsid w:val="00012ED3"/>
    <w:rsid w:val="00012ED6"/>
    <w:rsid w:val="00014A68"/>
    <w:rsid w:val="00016087"/>
    <w:rsid w:val="00024967"/>
    <w:rsid w:val="00025030"/>
    <w:rsid w:val="00025A92"/>
    <w:rsid w:val="00025C7D"/>
    <w:rsid w:val="00027574"/>
    <w:rsid w:val="00030DB7"/>
    <w:rsid w:val="0003520B"/>
    <w:rsid w:val="0003572C"/>
    <w:rsid w:val="000375EC"/>
    <w:rsid w:val="0004464B"/>
    <w:rsid w:val="000452EA"/>
    <w:rsid w:val="00046B49"/>
    <w:rsid w:val="00052A1E"/>
    <w:rsid w:val="0005433A"/>
    <w:rsid w:val="00056E1A"/>
    <w:rsid w:val="000601A0"/>
    <w:rsid w:val="00061978"/>
    <w:rsid w:val="0006742F"/>
    <w:rsid w:val="00071A38"/>
    <w:rsid w:val="00075512"/>
    <w:rsid w:val="000768A5"/>
    <w:rsid w:val="00077176"/>
    <w:rsid w:val="00077788"/>
    <w:rsid w:val="000802B2"/>
    <w:rsid w:val="0008079E"/>
    <w:rsid w:val="00080C4F"/>
    <w:rsid w:val="00081643"/>
    <w:rsid w:val="000827BD"/>
    <w:rsid w:val="00083C41"/>
    <w:rsid w:val="000840D2"/>
    <w:rsid w:val="0008495F"/>
    <w:rsid w:val="000910A9"/>
    <w:rsid w:val="0009121F"/>
    <w:rsid w:val="00092E38"/>
    <w:rsid w:val="00093FB8"/>
    <w:rsid w:val="00096C34"/>
    <w:rsid w:val="00097A58"/>
    <w:rsid w:val="00097B54"/>
    <w:rsid w:val="000A0D1C"/>
    <w:rsid w:val="000A19C4"/>
    <w:rsid w:val="000A19DD"/>
    <w:rsid w:val="000A377B"/>
    <w:rsid w:val="000A39BF"/>
    <w:rsid w:val="000A4194"/>
    <w:rsid w:val="000A68AE"/>
    <w:rsid w:val="000B1C4D"/>
    <w:rsid w:val="000B4CE2"/>
    <w:rsid w:val="000B6211"/>
    <w:rsid w:val="000B6D7D"/>
    <w:rsid w:val="000C053A"/>
    <w:rsid w:val="000C07B8"/>
    <w:rsid w:val="000C18CC"/>
    <w:rsid w:val="000C21F5"/>
    <w:rsid w:val="000C5E78"/>
    <w:rsid w:val="000D0D9A"/>
    <w:rsid w:val="000D4475"/>
    <w:rsid w:val="000D4534"/>
    <w:rsid w:val="000D71AC"/>
    <w:rsid w:val="000E1931"/>
    <w:rsid w:val="000E3C8C"/>
    <w:rsid w:val="000E6930"/>
    <w:rsid w:val="000E6E74"/>
    <w:rsid w:val="000E73BB"/>
    <w:rsid w:val="000E77D0"/>
    <w:rsid w:val="000F54FA"/>
    <w:rsid w:val="000F59EB"/>
    <w:rsid w:val="000F63D8"/>
    <w:rsid w:val="000F6B33"/>
    <w:rsid w:val="000F745E"/>
    <w:rsid w:val="000F7CE1"/>
    <w:rsid w:val="00100800"/>
    <w:rsid w:val="001009D3"/>
    <w:rsid w:val="00101004"/>
    <w:rsid w:val="00103636"/>
    <w:rsid w:val="00105936"/>
    <w:rsid w:val="00107EB8"/>
    <w:rsid w:val="00112D91"/>
    <w:rsid w:val="00120304"/>
    <w:rsid w:val="00120BCC"/>
    <w:rsid w:val="001214F5"/>
    <w:rsid w:val="0012344A"/>
    <w:rsid w:val="0012379F"/>
    <w:rsid w:val="001239A2"/>
    <w:rsid w:val="00125271"/>
    <w:rsid w:val="00132F51"/>
    <w:rsid w:val="00133E2D"/>
    <w:rsid w:val="00134235"/>
    <w:rsid w:val="00135A13"/>
    <w:rsid w:val="00136005"/>
    <w:rsid w:val="00136164"/>
    <w:rsid w:val="00143652"/>
    <w:rsid w:val="001452B1"/>
    <w:rsid w:val="00150A23"/>
    <w:rsid w:val="00152D2A"/>
    <w:rsid w:val="001556DC"/>
    <w:rsid w:val="00157BFC"/>
    <w:rsid w:val="00160486"/>
    <w:rsid w:val="00161942"/>
    <w:rsid w:val="00164249"/>
    <w:rsid w:val="001643B1"/>
    <w:rsid w:val="0016520A"/>
    <w:rsid w:val="00165499"/>
    <w:rsid w:val="001656EE"/>
    <w:rsid w:val="00167FE9"/>
    <w:rsid w:val="00171C04"/>
    <w:rsid w:val="00172569"/>
    <w:rsid w:val="00173D77"/>
    <w:rsid w:val="001812A3"/>
    <w:rsid w:val="00181AD2"/>
    <w:rsid w:val="00181BA2"/>
    <w:rsid w:val="00183148"/>
    <w:rsid w:val="00187ABF"/>
    <w:rsid w:val="0019155E"/>
    <w:rsid w:val="001931A4"/>
    <w:rsid w:val="00193CED"/>
    <w:rsid w:val="001940A3"/>
    <w:rsid w:val="00195285"/>
    <w:rsid w:val="00197F06"/>
    <w:rsid w:val="001A2D4C"/>
    <w:rsid w:val="001A3FF9"/>
    <w:rsid w:val="001A540D"/>
    <w:rsid w:val="001B0F83"/>
    <w:rsid w:val="001B54CD"/>
    <w:rsid w:val="001B645A"/>
    <w:rsid w:val="001B6754"/>
    <w:rsid w:val="001B7926"/>
    <w:rsid w:val="001C1B1D"/>
    <w:rsid w:val="001C300B"/>
    <w:rsid w:val="001C7DB5"/>
    <w:rsid w:val="001D0389"/>
    <w:rsid w:val="001D070E"/>
    <w:rsid w:val="001D1085"/>
    <w:rsid w:val="001D5AC8"/>
    <w:rsid w:val="001D784A"/>
    <w:rsid w:val="001E5869"/>
    <w:rsid w:val="001E6536"/>
    <w:rsid w:val="001E6904"/>
    <w:rsid w:val="001F054A"/>
    <w:rsid w:val="001F0C53"/>
    <w:rsid w:val="001F1561"/>
    <w:rsid w:val="001F3C96"/>
    <w:rsid w:val="001F479A"/>
    <w:rsid w:val="001F7911"/>
    <w:rsid w:val="00200C26"/>
    <w:rsid w:val="00201F22"/>
    <w:rsid w:val="002022CD"/>
    <w:rsid w:val="002024FF"/>
    <w:rsid w:val="002037FB"/>
    <w:rsid w:val="002072EE"/>
    <w:rsid w:val="0021182F"/>
    <w:rsid w:val="00212F27"/>
    <w:rsid w:val="002133CD"/>
    <w:rsid w:val="00213931"/>
    <w:rsid w:val="0021433A"/>
    <w:rsid w:val="00216C34"/>
    <w:rsid w:val="00216CAE"/>
    <w:rsid w:val="00220D03"/>
    <w:rsid w:val="002234EB"/>
    <w:rsid w:val="0022407D"/>
    <w:rsid w:val="00224E60"/>
    <w:rsid w:val="00224FDF"/>
    <w:rsid w:val="00233AD6"/>
    <w:rsid w:val="0023487E"/>
    <w:rsid w:val="00236214"/>
    <w:rsid w:val="0023672A"/>
    <w:rsid w:val="00236C84"/>
    <w:rsid w:val="00241572"/>
    <w:rsid w:val="00246464"/>
    <w:rsid w:val="002471CF"/>
    <w:rsid w:val="002512D6"/>
    <w:rsid w:val="00254885"/>
    <w:rsid w:val="00256FF9"/>
    <w:rsid w:val="00257B82"/>
    <w:rsid w:val="002631FE"/>
    <w:rsid w:val="00264C3C"/>
    <w:rsid w:val="00265ACA"/>
    <w:rsid w:val="00265DC9"/>
    <w:rsid w:val="00267368"/>
    <w:rsid w:val="0027232F"/>
    <w:rsid w:val="00272E19"/>
    <w:rsid w:val="0027320E"/>
    <w:rsid w:val="002749A0"/>
    <w:rsid w:val="00276170"/>
    <w:rsid w:val="00276500"/>
    <w:rsid w:val="002768EF"/>
    <w:rsid w:val="002823B0"/>
    <w:rsid w:val="002909DA"/>
    <w:rsid w:val="00290DEB"/>
    <w:rsid w:val="00292095"/>
    <w:rsid w:val="0029408A"/>
    <w:rsid w:val="00294231"/>
    <w:rsid w:val="002953A4"/>
    <w:rsid w:val="002A1F14"/>
    <w:rsid w:val="002A34C5"/>
    <w:rsid w:val="002A578B"/>
    <w:rsid w:val="002A5A3B"/>
    <w:rsid w:val="002A6A72"/>
    <w:rsid w:val="002A7316"/>
    <w:rsid w:val="002A739B"/>
    <w:rsid w:val="002A7EDB"/>
    <w:rsid w:val="002B1628"/>
    <w:rsid w:val="002B210D"/>
    <w:rsid w:val="002B3135"/>
    <w:rsid w:val="002B4B22"/>
    <w:rsid w:val="002B542E"/>
    <w:rsid w:val="002B56D3"/>
    <w:rsid w:val="002B7EEA"/>
    <w:rsid w:val="002C12EA"/>
    <w:rsid w:val="002C3137"/>
    <w:rsid w:val="002C6980"/>
    <w:rsid w:val="002C717C"/>
    <w:rsid w:val="002C7D95"/>
    <w:rsid w:val="002D2F37"/>
    <w:rsid w:val="002D3E9A"/>
    <w:rsid w:val="002D53FF"/>
    <w:rsid w:val="002D5D73"/>
    <w:rsid w:val="002D7FFD"/>
    <w:rsid w:val="002E0344"/>
    <w:rsid w:val="002E3CAA"/>
    <w:rsid w:val="002E4EDA"/>
    <w:rsid w:val="002E7B5E"/>
    <w:rsid w:val="002F3C55"/>
    <w:rsid w:val="002F48FC"/>
    <w:rsid w:val="002F4B28"/>
    <w:rsid w:val="00300822"/>
    <w:rsid w:val="00303EBB"/>
    <w:rsid w:val="00305925"/>
    <w:rsid w:val="00306697"/>
    <w:rsid w:val="003066D3"/>
    <w:rsid w:val="00307212"/>
    <w:rsid w:val="003113C8"/>
    <w:rsid w:val="003118B4"/>
    <w:rsid w:val="00315308"/>
    <w:rsid w:val="0031761D"/>
    <w:rsid w:val="0032169E"/>
    <w:rsid w:val="00321BB6"/>
    <w:rsid w:val="0032273F"/>
    <w:rsid w:val="00322B96"/>
    <w:rsid w:val="00331EB1"/>
    <w:rsid w:val="00331F2E"/>
    <w:rsid w:val="003320B6"/>
    <w:rsid w:val="0033425D"/>
    <w:rsid w:val="003365BC"/>
    <w:rsid w:val="00337D69"/>
    <w:rsid w:val="0034092B"/>
    <w:rsid w:val="00343D87"/>
    <w:rsid w:val="00346221"/>
    <w:rsid w:val="0034664B"/>
    <w:rsid w:val="00351944"/>
    <w:rsid w:val="003528F2"/>
    <w:rsid w:val="003531A5"/>
    <w:rsid w:val="0035496F"/>
    <w:rsid w:val="00355E4C"/>
    <w:rsid w:val="003563C6"/>
    <w:rsid w:val="0035640F"/>
    <w:rsid w:val="00357C86"/>
    <w:rsid w:val="00360422"/>
    <w:rsid w:val="00360E26"/>
    <w:rsid w:val="00362A6E"/>
    <w:rsid w:val="0037006A"/>
    <w:rsid w:val="003717E2"/>
    <w:rsid w:val="00373E65"/>
    <w:rsid w:val="003757ED"/>
    <w:rsid w:val="003758DF"/>
    <w:rsid w:val="00381042"/>
    <w:rsid w:val="00381101"/>
    <w:rsid w:val="003816C4"/>
    <w:rsid w:val="00383614"/>
    <w:rsid w:val="003846A9"/>
    <w:rsid w:val="0039068D"/>
    <w:rsid w:val="00391238"/>
    <w:rsid w:val="003936FC"/>
    <w:rsid w:val="003A1143"/>
    <w:rsid w:val="003A42D5"/>
    <w:rsid w:val="003A5A13"/>
    <w:rsid w:val="003A7225"/>
    <w:rsid w:val="003A7E6B"/>
    <w:rsid w:val="003B5A5D"/>
    <w:rsid w:val="003C0A7B"/>
    <w:rsid w:val="003C20DD"/>
    <w:rsid w:val="003C2759"/>
    <w:rsid w:val="003C52A8"/>
    <w:rsid w:val="003C68C6"/>
    <w:rsid w:val="003C7378"/>
    <w:rsid w:val="003D12C9"/>
    <w:rsid w:val="003D4E5B"/>
    <w:rsid w:val="003D6503"/>
    <w:rsid w:val="003E14D6"/>
    <w:rsid w:val="003E247A"/>
    <w:rsid w:val="003E5D26"/>
    <w:rsid w:val="003E6D4C"/>
    <w:rsid w:val="003E78F8"/>
    <w:rsid w:val="003F2984"/>
    <w:rsid w:val="003F3F4F"/>
    <w:rsid w:val="003F5F05"/>
    <w:rsid w:val="003F7AC0"/>
    <w:rsid w:val="00400FCB"/>
    <w:rsid w:val="00406960"/>
    <w:rsid w:val="00411D17"/>
    <w:rsid w:val="0041212D"/>
    <w:rsid w:val="00413EF6"/>
    <w:rsid w:val="0041419B"/>
    <w:rsid w:val="0041627C"/>
    <w:rsid w:val="00421E65"/>
    <w:rsid w:val="00427F05"/>
    <w:rsid w:val="004301CA"/>
    <w:rsid w:val="00430D13"/>
    <w:rsid w:val="00431E8A"/>
    <w:rsid w:val="00433193"/>
    <w:rsid w:val="00436DA1"/>
    <w:rsid w:val="00441837"/>
    <w:rsid w:val="004430D6"/>
    <w:rsid w:val="00446A58"/>
    <w:rsid w:val="00446FEE"/>
    <w:rsid w:val="00452FEC"/>
    <w:rsid w:val="004640C5"/>
    <w:rsid w:val="0046411F"/>
    <w:rsid w:val="00466D79"/>
    <w:rsid w:val="00467653"/>
    <w:rsid w:val="00467815"/>
    <w:rsid w:val="00467D61"/>
    <w:rsid w:val="00470376"/>
    <w:rsid w:val="00474468"/>
    <w:rsid w:val="00475680"/>
    <w:rsid w:val="00476847"/>
    <w:rsid w:val="004805DD"/>
    <w:rsid w:val="004838AB"/>
    <w:rsid w:val="00483E3C"/>
    <w:rsid w:val="004852BE"/>
    <w:rsid w:val="00485904"/>
    <w:rsid w:val="00487794"/>
    <w:rsid w:val="00487F84"/>
    <w:rsid w:val="00490A15"/>
    <w:rsid w:val="00491BC4"/>
    <w:rsid w:val="00491E2F"/>
    <w:rsid w:val="0049399E"/>
    <w:rsid w:val="00494F27"/>
    <w:rsid w:val="004959B4"/>
    <w:rsid w:val="004964D3"/>
    <w:rsid w:val="00496AF5"/>
    <w:rsid w:val="00497CFF"/>
    <w:rsid w:val="004A1652"/>
    <w:rsid w:val="004A2089"/>
    <w:rsid w:val="004A6156"/>
    <w:rsid w:val="004A7997"/>
    <w:rsid w:val="004B09D4"/>
    <w:rsid w:val="004B1205"/>
    <w:rsid w:val="004B1D87"/>
    <w:rsid w:val="004B2E83"/>
    <w:rsid w:val="004B2F8E"/>
    <w:rsid w:val="004B3345"/>
    <w:rsid w:val="004B5FB5"/>
    <w:rsid w:val="004B65B6"/>
    <w:rsid w:val="004B7F4F"/>
    <w:rsid w:val="004C144F"/>
    <w:rsid w:val="004C2F2D"/>
    <w:rsid w:val="004C7B49"/>
    <w:rsid w:val="004D0EC2"/>
    <w:rsid w:val="004D5746"/>
    <w:rsid w:val="004D7D05"/>
    <w:rsid w:val="004E0F1B"/>
    <w:rsid w:val="004E3033"/>
    <w:rsid w:val="004E3910"/>
    <w:rsid w:val="004E5207"/>
    <w:rsid w:val="004F1BCF"/>
    <w:rsid w:val="004F2456"/>
    <w:rsid w:val="004F3BB4"/>
    <w:rsid w:val="004F4EBF"/>
    <w:rsid w:val="00500E26"/>
    <w:rsid w:val="00502801"/>
    <w:rsid w:val="00506510"/>
    <w:rsid w:val="00506663"/>
    <w:rsid w:val="00506DCF"/>
    <w:rsid w:val="00507EC0"/>
    <w:rsid w:val="005124C4"/>
    <w:rsid w:val="0051252E"/>
    <w:rsid w:val="00512C14"/>
    <w:rsid w:val="00514A3E"/>
    <w:rsid w:val="00515C26"/>
    <w:rsid w:val="00516178"/>
    <w:rsid w:val="0052183F"/>
    <w:rsid w:val="00521F7C"/>
    <w:rsid w:val="005249B2"/>
    <w:rsid w:val="005256E9"/>
    <w:rsid w:val="005312AA"/>
    <w:rsid w:val="00531F3A"/>
    <w:rsid w:val="005323DD"/>
    <w:rsid w:val="00533F9D"/>
    <w:rsid w:val="0053677D"/>
    <w:rsid w:val="00536B23"/>
    <w:rsid w:val="00543600"/>
    <w:rsid w:val="00543D32"/>
    <w:rsid w:val="005449E9"/>
    <w:rsid w:val="00545BA4"/>
    <w:rsid w:val="0054622C"/>
    <w:rsid w:val="005469CD"/>
    <w:rsid w:val="00547F55"/>
    <w:rsid w:val="005526F2"/>
    <w:rsid w:val="00555BFE"/>
    <w:rsid w:val="0055668A"/>
    <w:rsid w:val="00564402"/>
    <w:rsid w:val="00564F80"/>
    <w:rsid w:val="005669B5"/>
    <w:rsid w:val="00567CAD"/>
    <w:rsid w:val="00571844"/>
    <w:rsid w:val="00572442"/>
    <w:rsid w:val="00574E95"/>
    <w:rsid w:val="005750B0"/>
    <w:rsid w:val="005768B5"/>
    <w:rsid w:val="005776F7"/>
    <w:rsid w:val="00581DB6"/>
    <w:rsid w:val="005876EC"/>
    <w:rsid w:val="005907E3"/>
    <w:rsid w:val="00591D22"/>
    <w:rsid w:val="00595704"/>
    <w:rsid w:val="005974C2"/>
    <w:rsid w:val="005A066A"/>
    <w:rsid w:val="005A3B64"/>
    <w:rsid w:val="005A6524"/>
    <w:rsid w:val="005A6BB0"/>
    <w:rsid w:val="005B1A5C"/>
    <w:rsid w:val="005B27FC"/>
    <w:rsid w:val="005B2B34"/>
    <w:rsid w:val="005B2D4D"/>
    <w:rsid w:val="005B49AF"/>
    <w:rsid w:val="005B5076"/>
    <w:rsid w:val="005B5129"/>
    <w:rsid w:val="005B54B4"/>
    <w:rsid w:val="005B696D"/>
    <w:rsid w:val="005C1D23"/>
    <w:rsid w:val="005C306E"/>
    <w:rsid w:val="005C42D8"/>
    <w:rsid w:val="005C44A9"/>
    <w:rsid w:val="005C7809"/>
    <w:rsid w:val="005D5D03"/>
    <w:rsid w:val="005D763A"/>
    <w:rsid w:val="005E5265"/>
    <w:rsid w:val="005E54BA"/>
    <w:rsid w:val="005E596A"/>
    <w:rsid w:val="005E6319"/>
    <w:rsid w:val="005F5545"/>
    <w:rsid w:val="005F71DD"/>
    <w:rsid w:val="005F7567"/>
    <w:rsid w:val="005F76F5"/>
    <w:rsid w:val="006007A5"/>
    <w:rsid w:val="00602294"/>
    <w:rsid w:val="00603941"/>
    <w:rsid w:val="0060435A"/>
    <w:rsid w:val="00605A3D"/>
    <w:rsid w:val="00605AAF"/>
    <w:rsid w:val="00611687"/>
    <w:rsid w:val="006129B7"/>
    <w:rsid w:val="006172FC"/>
    <w:rsid w:val="00621B49"/>
    <w:rsid w:val="0062351E"/>
    <w:rsid w:val="00625196"/>
    <w:rsid w:val="00625904"/>
    <w:rsid w:val="00625FE3"/>
    <w:rsid w:val="00626267"/>
    <w:rsid w:val="00626745"/>
    <w:rsid w:val="00630B1D"/>
    <w:rsid w:val="00630E2D"/>
    <w:rsid w:val="00631648"/>
    <w:rsid w:val="00634425"/>
    <w:rsid w:val="00634443"/>
    <w:rsid w:val="0063519C"/>
    <w:rsid w:val="006352AF"/>
    <w:rsid w:val="006425F1"/>
    <w:rsid w:val="00642EB0"/>
    <w:rsid w:val="00644020"/>
    <w:rsid w:val="00652289"/>
    <w:rsid w:val="006546B1"/>
    <w:rsid w:val="0065557A"/>
    <w:rsid w:val="0065699A"/>
    <w:rsid w:val="00656C7D"/>
    <w:rsid w:val="00660131"/>
    <w:rsid w:val="00662588"/>
    <w:rsid w:val="00664020"/>
    <w:rsid w:val="00664036"/>
    <w:rsid w:val="0066488F"/>
    <w:rsid w:val="006667C4"/>
    <w:rsid w:val="00667257"/>
    <w:rsid w:val="00667A46"/>
    <w:rsid w:val="006718C2"/>
    <w:rsid w:val="00671EA2"/>
    <w:rsid w:val="006736EF"/>
    <w:rsid w:val="006742E9"/>
    <w:rsid w:val="00674441"/>
    <w:rsid w:val="00677E8E"/>
    <w:rsid w:val="0068093A"/>
    <w:rsid w:val="00681F1F"/>
    <w:rsid w:val="0068311A"/>
    <w:rsid w:val="0068321C"/>
    <w:rsid w:val="00683A51"/>
    <w:rsid w:val="00690506"/>
    <w:rsid w:val="006919B2"/>
    <w:rsid w:val="006920C1"/>
    <w:rsid w:val="006929CF"/>
    <w:rsid w:val="00692B95"/>
    <w:rsid w:val="00692C54"/>
    <w:rsid w:val="00694AF7"/>
    <w:rsid w:val="006A0FDA"/>
    <w:rsid w:val="006A149C"/>
    <w:rsid w:val="006A1DC8"/>
    <w:rsid w:val="006A24FD"/>
    <w:rsid w:val="006A2AE9"/>
    <w:rsid w:val="006A4931"/>
    <w:rsid w:val="006A584F"/>
    <w:rsid w:val="006A73B5"/>
    <w:rsid w:val="006B1538"/>
    <w:rsid w:val="006B3732"/>
    <w:rsid w:val="006B4DDE"/>
    <w:rsid w:val="006B7390"/>
    <w:rsid w:val="006B7663"/>
    <w:rsid w:val="006C0156"/>
    <w:rsid w:val="006C2BB6"/>
    <w:rsid w:val="006C43FB"/>
    <w:rsid w:val="006C4D1E"/>
    <w:rsid w:val="006C4E93"/>
    <w:rsid w:val="006C5350"/>
    <w:rsid w:val="006C580A"/>
    <w:rsid w:val="006C5BCB"/>
    <w:rsid w:val="006C7279"/>
    <w:rsid w:val="006C7573"/>
    <w:rsid w:val="006D04CB"/>
    <w:rsid w:val="006D0856"/>
    <w:rsid w:val="006D0EF2"/>
    <w:rsid w:val="006D2063"/>
    <w:rsid w:val="006D51C7"/>
    <w:rsid w:val="006E0B71"/>
    <w:rsid w:val="006E2EB8"/>
    <w:rsid w:val="006E3D7B"/>
    <w:rsid w:val="006E53A2"/>
    <w:rsid w:val="006E6FF4"/>
    <w:rsid w:val="006F01BB"/>
    <w:rsid w:val="006F1058"/>
    <w:rsid w:val="006F1C63"/>
    <w:rsid w:val="006F2560"/>
    <w:rsid w:val="006F3F99"/>
    <w:rsid w:val="006F468B"/>
    <w:rsid w:val="006F4882"/>
    <w:rsid w:val="006F5C42"/>
    <w:rsid w:val="006F60C1"/>
    <w:rsid w:val="006F6662"/>
    <w:rsid w:val="00700228"/>
    <w:rsid w:val="00701E53"/>
    <w:rsid w:val="007032A0"/>
    <w:rsid w:val="007046E3"/>
    <w:rsid w:val="007055F4"/>
    <w:rsid w:val="00705A17"/>
    <w:rsid w:val="007113B8"/>
    <w:rsid w:val="007114B2"/>
    <w:rsid w:val="00712122"/>
    <w:rsid w:val="007141EF"/>
    <w:rsid w:val="007143BE"/>
    <w:rsid w:val="0073288C"/>
    <w:rsid w:val="00732B58"/>
    <w:rsid w:val="00732EC9"/>
    <w:rsid w:val="00733290"/>
    <w:rsid w:val="007401D5"/>
    <w:rsid w:val="007408E8"/>
    <w:rsid w:val="007419AB"/>
    <w:rsid w:val="007428DE"/>
    <w:rsid w:val="00743104"/>
    <w:rsid w:val="00744704"/>
    <w:rsid w:val="00746701"/>
    <w:rsid w:val="00746F36"/>
    <w:rsid w:val="00747502"/>
    <w:rsid w:val="00753ACA"/>
    <w:rsid w:val="007544A4"/>
    <w:rsid w:val="00755969"/>
    <w:rsid w:val="0075767A"/>
    <w:rsid w:val="00757711"/>
    <w:rsid w:val="00757798"/>
    <w:rsid w:val="007578BC"/>
    <w:rsid w:val="00757D1B"/>
    <w:rsid w:val="007630CA"/>
    <w:rsid w:val="00770120"/>
    <w:rsid w:val="00772458"/>
    <w:rsid w:val="00773730"/>
    <w:rsid w:val="00780919"/>
    <w:rsid w:val="00780933"/>
    <w:rsid w:val="0078116F"/>
    <w:rsid w:val="007817A9"/>
    <w:rsid w:val="00783C17"/>
    <w:rsid w:val="00785007"/>
    <w:rsid w:val="00785FA0"/>
    <w:rsid w:val="0079251B"/>
    <w:rsid w:val="00792622"/>
    <w:rsid w:val="00792FE6"/>
    <w:rsid w:val="00794D46"/>
    <w:rsid w:val="007A0285"/>
    <w:rsid w:val="007A1464"/>
    <w:rsid w:val="007A395B"/>
    <w:rsid w:val="007A6D4F"/>
    <w:rsid w:val="007A6D83"/>
    <w:rsid w:val="007A7C35"/>
    <w:rsid w:val="007B1788"/>
    <w:rsid w:val="007B1D51"/>
    <w:rsid w:val="007B24B0"/>
    <w:rsid w:val="007B34C0"/>
    <w:rsid w:val="007B3A56"/>
    <w:rsid w:val="007B6BE8"/>
    <w:rsid w:val="007B7CCD"/>
    <w:rsid w:val="007C10CA"/>
    <w:rsid w:val="007C2489"/>
    <w:rsid w:val="007C37D8"/>
    <w:rsid w:val="007C3918"/>
    <w:rsid w:val="007C5031"/>
    <w:rsid w:val="007C6038"/>
    <w:rsid w:val="007C6BCE"/>
    <w:rsid w:val="007C718A"/>
    <w:rsid w:val="007C72ED"/>
    <w:rsid w:val="007D01D4"/>
    <w:rsid w:val="007D45C2"/>
    <w:rsid w:val="007D6926"/>
    <w:rsid w:val="007E0833"/>
    <w:rsid w:val="007E18D8"/>
    <w:rsid w:val="007E5F07"/>
    <w:rsid w:val="007E640A"/>
    <w:rsid w:val="007F01FC"/>
    <w:rsid w:val="007F4414"/>
    <w:rsid w:val="007F5FC9"/>
    <w:rsid w:val="007F7B42"/>
    <w:rsid w:val="00803831"/>
    <w:rsid w:val="00803C15"/>
    <w:rsid w:val="00805C11"/>
    <w:rsid w:val="0080646A"/>
    <w:rsid w:val="00806C65"/>
    <w:rsid w:val="00813D6B"/>
    <w:rsid w:val="00815466"/>
    <w:rsid w:val="008163EE"/>
    <w:rsid w:val="008165CF"/>
    <w:rsid w:val="00816B36"/>
    <w:rsid w:val="00816FCD"/>
    <w:rsid w:val="008237ED"/>
    <w:rsid w:val="00826482"/>
    <w:rsid w:val="0083064E"/>
    <w:rsid w:val="00833518"/>
    <w:rsid w:val="008371A5"/>
    <w:rsid w:val="0084033C"/>
    <w:rsid w:val="00844EE9"/>
    <w:rsid w:val="00847888"/>
    <w:rsid w:val="008538FC"/>
    <w:rsid w:val="00854FDF"/>
    <w:rsid w:val="008559A3"/>
    <w:rsid w:val="00856BF9"/>
    <w:rsid w:val="0086163E"/>
    <w:rsid w:val="008655C1"/>
    <w:rsid w:val="0086611D"/>
    <w:rsid w:val="008672D9"/>
    <w:rsid w:val="00870092"/>
    <w:rsid w:val="00870403"/>
    <w:rsid w:val="008711D7"/>
    <w:rsid w:val="00871844"/>
    <w:rsid w:val="008725B0"/>
    <w:rsid w:val="008727B9"/>
    <w:rsid w:val="008736D0"/>
    <w:rsid w:val="0087482D"/>
    <w:rsid w:val="0088070D"/>
    <w:rsid w:val="0088532B"/>
    <w:rsid w:val="00886A68"/>
    <w:rsid w:val="00887417"/>
    <w:rsid w:val="00887B49"/>
    <w:rsid w:val="00890383"/>
    <w:rsid w:val="008907AF"/>
    <w:rsid w:val="0089409C"/>
    <w:rsid w:val="008940F3"/>
    <w:rsid w:val="00896BC8"/>
    <w:rsid w:val="00897892"/>
    <w:rsid w:val="008A0B46"/>
    <w:rsid w:val="008A1156"/>
    <w:rsid w:val="008A1597"/>
    <w:rsid w:val="008A2019"/>
    <w:rsid w:val="008B3E31"/>
    <w:rsid w:val="008B66EC"/>
    <w:rsid w:val="008B67D5"/>
    <w:rsid w:val="008C211C"/>
    <w:rsid w:val="008C3657"/>
    <w:rsid w:val="008C45A7"/>
    <w:rsid w:val="008C64C8"/>
    <w:rsid w:val="008C74B5"/>
    <w:rsid w:val="008D0601"/>
    <w:rsid w:val="008D150A"/>
    <w:rsid w:val="008D27D0"/>
    <w:rsid w:val="008D2DC1"/>
    <w:rsid w:val="008D4291"/>
    <w:rsid w:val="008D616E"/>
    <w:rsid w:val="008D72DF"/>
    <w:rsid w:val="008E2CF2"/>
    <w:rsid w:val="008E31B9"/>
    <w:rsid w:val="008E35C5"/>
    <w:rsid w:val="008E5105"/>
    <w:rsid w:val="008E7982"/>
    <w:rsid w:val="008F0E67"/>
    <w:rsid w:val="008F5566"/>
    <w:rsid w:val="008F6F18"/>
    <w:rsid w:val="009041A4"/>
    <w:rsid w:val="009051F5"/>
    <w:rsid w:val="0090681A"/>
    <w:rsid w:val="009108DF"/>
    <w:rsid w:val="00911903"/>
    <w:rsid w:val="0091546A"/>
    <w:rsid w:val="00915BF2"/>
    <w:rsid w:val="00925B5C"/>
    <w:rsid w:val="00926CA3"/>
    <w:rsid w:val="00935592"/>
    <w:rsid w:val="00937AAB"/>
    <w:rsid w:val="00937AF0"/>
    <w:rsid w:val="00941110"/>
    <w:rsid w:val="00942679"/>
    <w:rsid w:val="0094282C"/>
    <w:rsid w:val="009439A2"/>
    <w:rsid w:val="0094586F"/>
    <w:rsid w:val="00946331"/>
    <w:rsid w:val="0094758B"/>
    <w:rsid w:val="00950D71"/>
    <w:rsid w:val="00953C8B"/>
    <w:rsid w:val="0095422C"/>
    <w:rsid w:val="0095459B"/>
    <w:rsid w:val="00957221"/>
    <w:rsid w:val="00957DE7"/>
    <w:rsid w:val="00961F4F"/>
    <w:rsid w:val="00972D83"/>
    <w:rsid w:val="0097445E"/>
    <w:rsid w:val="00974542"/>
    <w:rsid w:val="009752DD"/>
    <w:rsid w:val="00976D25"/>
    <w:rsid w:val="00981DDE"/>
    <w:rsid w:val="00982E34"/>
    <w:rsid w:val="009865BE"/>
    <w:rsid w:val="009934A5"/>
    <w:rsid w:val="00993A18"/>
    <w:rsid w:val="00995D9A"/>
    <w:rsid w:val="00996BB7"/>
    <w:rsid w:val="00997DA9"/>
    <w:rsid w:val="00997F76"/>
    <w:rsid w:val="009A0239"/>
    <w:rsid w:val="009A2811"/>
    <w:rsid w:val="009A2905"/>
    <w:rsid w:val="009A2E4E"/>
    <w:rsid w:val="009A4A76"/>
    <w:rsid w:val="009A5357"/>
    <w:rsid w:val="009A5A19"/>
    <w:rsid w:val="009B1D54"/>
    <w:rsid w:val="009B2F19"/>
    <w:rsid w:val="009B354C"/>
    <w:rsid w:val="009B4CB2"/>
    <w:rsid w:val="009B5688"/>
    <w:rsid w:val="009C051C"/>
    <w:rsid w:val="009C31C3"/>
    <w:rsid w:val="009C3DAF"/>
    <w:rsid w:val="009C5EEC"/>
    <w:rsid w:val="009D068C"/>
    <w:rsid w:val="009D2B5C"/>
    <w:rsid w:val="009D3100"/>
    <w:rsid w:val="009D3450"/>
    <w:rsid w:val="009E08F2"/>
    <w:rsid w:val="009E0DAE"/>
    <w:rsid w:val="009E2A6D"/>
    <w:rsid w:val="009E35D4"/>
    <w:rsid w:val="009E4C85"/>
    <w:rsid w:val="009E4CEB"/>
    <w:rsid w:val="009E5704"/>
    <w:rsid w:val="009E6E7C"/>
    <w:rsid w:val="009E7629"/>
    <w:rsid w:val="009E7E71"/>
    <w:rsid w:val="009F3CCF"/>
    <w:rsid w:val="009F5F4C"/>
    <w:rsid w:val="00A03522"/>
    <w:rsid w:val="00A05BD5"/>
    <w:rsid w:val="00A05E4F"/>
    <w:rsid w:val="00A065F4"/>
    <w:rsid w:val="00A10807"/>
    <w:rsid w:val="00A136F8"/>
    <w:rsid w:val="00A16EE2"/>
    <w:rsid w:val="00A17F59"/>
    <w:rsid w:val="00A21221"/>
    <w:rsid w:val="00A255D7"/>
    <w:rsid w:val="00A26906"/>
    <w:rsid w:val="00A26D53"/>
    <w:rsid w:val="00A2726C"/>
    <w:rsid w:val="00A36C09"/>
    <w:rsid w:val="00A36F94"/>
    <w:rsid w:val="00A40985"/>
    <w:rsid w:val="00A40AD7"/>
    <w:rsid w:val="00A411FA"/>
    <w:rsid w:val="00A424D4"/>
    <w:rsid w:val="00A425FC"/>
    <w:rsid w:val="00A43DDC"/>
    <w:rsid w:val="00A44D27"/>
    <w:rsid w:val="00A470FF"/>
    <w:rsid w:val="00A5152D"/>
    <w:rsid w:val="00A5345E"/>
    <w:rsid w:val="00A5377D"/>
    <w:rsid w:val="00A55447"/>
    <w:rsid w:val="00A55985"/>
    <w:rsid w:val="00A56B14"/>
    <w:rsid w:val="00A60070"/>
    <w:rsid w:val="00A606D1"/>
    <w:rsid w:val="00A60C41"/>
    <w:rsid w:val="00A61C75"/>
    <w:rsid w:val="00A61E9F"/>
    <w:rsid w:val="00A654E1"/>
    <w:rsid w:val="00A67F07"/>
    <w:rsid w:val="00A7094E"/>
    <w:rsid w:val="00A73383"/>
    <w:rsid w:val="00A742B5"/>
    <w:rsid w:val="00A85030"/>
    <w:rsid w:val="00A87014"/>
    <w:rsid w:val="00A9021E"/>
    <w:rsid w:val="00A953BD"/>
    <w:rsid w:val="00A96E7D"/>
    <w:rsid w:val="00AA1854"/>
    <w:rsid w:val="00AA1A5D"/>
    <w:rsid w:val="00AA3C1E"/>
    <w:rsid w:val="00AA4C50"/>
    <w:rsid w:val="00AA5E45"/>
    <w:rsid w:val="00AA7413"/>
    <w:rsid w:val="00AB05B4"/>
    <w:rsid w:val="00AB1780"/>
    <w:rsid w:val="00AB1AC8"/>
    <w:rsid w:val="00AB3AF6"/>
    <w:rsid w:val="00AB4234"/>
    <w:rsid w:val="00AB55BB"/>
    <w:rsid w:val="00AB7CB8"/>
    <w:rsid w:val="00AD0A08"/>
    <w:rsid w:val="00AD4B4C"/>
    <w:rsid w:val="00AD7359"/>
    <w:rsid w:val="00AE0C58"/>
    <w:rsid w:val="00AE2A88"/>
    <w:rsid w:val="00AE310D"/>
    <w:rsid w:val="00AE6B93"/>
    <w:rsid w:val="00AF0424"/>
    <w:rsid w:val="00AF087B"/>
    <w:rsid w:val="00AF1AD0"/>
    <w:rsid w:val="00AF203D"/>
    <w:rsid w:val="00AF2BBB"/>
    <w:rsid w:val="00AF526F"/>
    <w:rsid w:val="00B013D0"/>
    <w:rsid w:val="00B031CA"/>
    <w:rsid w:val="00B03970"/>
    <w:rsid w:val="00B0617B"/>
    <w:rsid w:val="00B104AB"/>
    <w:rsid w:val="00B10804"/>
    <w:rsid w:val="00B1082A"/>
    <w:rsid w:val="00B10C57"/>
    <w:rsid w:val="00B12C84"/>
    <w:rsid w:val="00B13FC8"/>
    <w:rsid w:val="00B15259"/>
    <w:rsid w:val="00B171B0"/>
    <w:rsid w:val="00B1720C"/>
    <w:rsid w:val="00B206C7"/>
    <w:rsid w:val="00B21F16"/>
    <w:rsid w:val="00B220ED"/>
    <w:rsid w:val="00B22C19"/>
    <w:rsid w:val="00B2336E"/>
    <w:rsid w:val="00B26DC4"/>
    <w:rsid w:val="00B31CB1"/>
    <w:rsid w:val="00B31DB7"/>
    <w:rsid w:val="00B31EFC"/>
    <w:rsid w:val="00B329D7"/>
    <w:rsid w:val="00B33B74"/>
    <w:rsid w:val="00B35D80"/>
    <w:rsid w:val="00B36B84"/>
    <w:rsid w:val="00B36C9A"/>
    <w:rsid w:val="00B4039F"/>
    <w:rsid w:val="00B42E22"/>
    <w:rsid w:val="00B46501"/>
    <w:rsid w:val="00B56C61"/>
    <w:rsid w:val="00B60D5E"/>
    <w:rsid w:val="00B61895"/>
    <w:rsid w:val="00B62B43"/>
    <w:rsid w:val="00B66072"/>
    <w:rsid w:val="00B667ED"/>
    <w:rsid w:val="00B66B3D"/>
    <w:rsid w:val="00B67F4C"/>
    <w:rsid w:val="00B67FE0"/>
    <w:rsid w:val="00B71FAA"/>
    <w:rsid w:val="00B76033"/>
    <w:rsid w:val="00B80E86"/>
    <w:rsid w:val="00B82D67"/>
    <w:rsid w:val="00B87ABE"/>
    <w:rsid w:val="00B9095E"/>
    <w:rsid w:val="00B92C76"/>
    <w:rsid w:val="00B9314D"/>
    <w:rsid w:val="00B949D5"/>
    <w:rsid w:val="00B95174"/>
    <w:rsid w:val="00BA0DAD"/>
    <w:rsid w:val="00BA2A95"/>
    <w:rsid w:val="00BA3F39"/>
    <w:rsid w:val="00BA7C15"/>
    <w:rsid w:val="00BB41DE"/>
    <w:rsid w:val="00BB5A44"/>
    <w:rsid w:val="00BB5FFA"/>
    <w:rsid w:val="00BC06EA"/>
    <w:rsid w:val="00BC0A66"/>
    <w:rsid w:val="00BC3392"/>
    <w:rsid w:val="00BC4C63"/>
    <w:rsid w:val="00BC54E3"/>
    <w:rsid w:val="00BC66D9"/>
    <w:rsid w:val="00BD7F10"/>
    <w:rsid w:val="00BE098F"/>
    <w:rsid w:val="00BE2580"/>
    <w:rsid w:val="00BE4868"/>
    <w:rsid w:val="00BE4EAD"/>
    <w:rsid w:val="00BE5093"/>
    <w:rsid w:val="00BE6155"/>
    <w:rsid w:val="00BF1603"/>
    <w:rsid w:val="00BF213D"/>
    <w:rsid w:val="00C00B12"/>
    <w:rsid w:val="00C02E19"/>
    <w:rsid w:val="00C0317B"/>
    <w:rsid w:val="00C03489"/>
    <w:rsid w:val="00C12727"/>
    <w:rsid w:val="00C13ED2"/>
    <w:rsid w:val="00C141B2"/>
    <w:rsid w:val="00C148E5"/>
    <w:rsid w:val="00C15F76"/>
    <w:rsid w:val="00C207D3"/>
    <w:rsid w:val="00C21493"/>
    <w:rsid w:val="00C216D4"/>
    <w:rsid w:val="00C313B4"/>
    <w:rsid w:val="00C33FE3"/>
    <w:rsid w:val="00C3676B"/>
    <w:rsid w:val="00C36B40"/>
    <w:rsid w:val="00C37189"/>
    <w:rsid w:val="00C3736E"/>
    <w:rsid w:val="00C414BE"/>
    <w:rsid w:val="00C41EC0"/>
    <w:rsid w:val="00C506FF"/>
    <w:rsid w:val="00C51408"/>
    <w:rsid w:val="00C514B7"/>
    <w:rsid w:val="00C5158E"/>
    <w:rsid w:val="00C544A5"/>
    <w:rsid w:val="00C55937"/>
    <w:rsid w:val="00C5624C"/>
    <w:rsid w:val="00C63445"/>
    <w:rsid w:val="00C643ED"/>
    <w:rsid w:val="00C661D1"/>
    <w:rsid w:val="00C717BE"/>
    <w:rsid w:val="00C772DB"/>
    <w:rsid w:val="00C77EB7"/>
    <w:rsid w:val="00C80DD4"/>
    <w:rsid w:val="00C81FF5"/>
    <w:rsid w:val="00C8215B"/>
    <w:rsid w:val="00C84CD3"/>
    <w:rsid w:val="00C853CA"/>
    <w:rsid w:val="00C86204"/>
    <w:rsid w:val="00C8746C"/>
    <w:rsid w:val="00C8747A"/>
    <w:rsid w:val="00C9185E"/>
    <w:rsid w:val="00C91FED"/>
    <w:rsid w:val="00C9468B"/>
    <w:rsid w:val="00CA552E"/>
    <w:rsid w:val="00CA5EE4"/>
    <w:rsid w:val="00CA6368"/>
    <w:rsid w:val="00CA7EBA"/>
    <w:rsid w:val="00CB2FA1"/>
    <w:rsid w:val="00CB51AC"/>
    <w:rsid w:val="00CB5C58"/>
    <w:rsid w:val="00CD5A13"/>
    <w:rsid w:val="00CE44EC"/>
    <w:rsid w:val="00CE4FFD"/>
    <w:rsid w:val="00CE502E"/>
    <w:rsid w:val="00CE6D72"/>
    <w:rsid w:val="00CF0264"/>
    <w:rsid w:val="00CF4191"/>
    <w:rsid w:val="00CF477F"/>
    <w:rsid w:val="00CF52A8"/>
    <w:rsid w:val="00CF69A1"/>
    <w:rsid w:val="00CF7B57"/>
    <w:rsid w:val="00D0033F"/>
    <w:rsid w:val="00D0117A"/>
    <w:rsid w:val="00D012EB"/>
    <w:rsid w:val="00D033B1"/>
    <w:rsid w:val="00D05794"/>
    <w:rsid w:val="00D07640"/>
    <w:rsid w:val="00D17EDA"/>
    <w:rsid w:val="00D224D1"/>
    <w:rsid w:val="00D27C44"/>
    <w:rsid w:val="00D31104"/>
    <w:rsid w:val="00D364E1"/>
    <w:rsid w:val="00D36500"/>
    <w:rsid w:val="00D36D91"/>
    <w:rsid w:val="00D414F0"/>
    <w:rsid w:val="00D4531E"/>
    <w:rsid w:val="00D466B9"/>
    <w:rsid w:val="00D501F6"/>
    <w:rsid w:val="00D50F6C"/>
    <w:rsid w:val="00D52D7B"/>
    <w:rsid w:val="00D5308C"/>
    <w:rsid w:val="00D60F8E"/>
    <w:rsid w:val="00D64CC5"/>
    <w:rsid w:val="00D65185"/>
    <w:rsid w:val="00D663B2"/>
    <w:rsid w:val="00D663D4"/>
    <w:rsid w:val="00D73C35"/>
    <w:rsid w:val="00D73F70"/>
    <w:rsid w:val="00D75F4E"/>
    <w:rsid w:val="00D767E7"/>
    <w:rsid w:val="00D81817"/>
    <w:rsid w:val="00D8402F"/>
    <w:rsid w:val="00D871EB"/>
    <w:rsid w:val="00D909B6"/>
    <w:rsid w:val="00D93DAD"/>
    <w:rsid w:val="00D94F27"/>
    <w:rsid w:val="00D961D6"/>
    <w:rsid w:val="00DA3D93"/>
    <w:rsid w:val="00DA459F"/>
    <w:rsid w:val="00DA6708"/>
    <w:rsid w:val="00DA79A5"/>
    <w:rsid w:val="00DB053F"/>
    <w:rsid w:val="00DB0EEF"/>
    <w:rsid w:val="00DB1041"/>
    <w:rsid w:val="00DB214A"/>
    <w:rsid w:val="00DB4002"/>
    <w:rsid w:val="00DB7016"/>
    <w:rsid w:val="00DB7941"/>
    <w:rsid w:val="00DB7C0A"/>
    <w:rsid w:val="00DB7E2F"/>
    <w:rsid w:val="00DC2AE1"/>
    <w:rsid w:val="00DC3E68"/>
    <w:rsid w:val="00DD03C8"/>
    <w:rsid w:val="00DD454A"/>
    <w:rsid w:val="00DD61F6"/>
    <w:rsid w:val="00DD6CFC"/>
    <w:rsid w:val="00DD7DDB"/>
    <w:rsid w:val="00DE1FA5"/>
    <w:rsid w:val="00DE2470"/>
    <w:rsid w:val="00DE315E"/>
    <w:rsid w:val="00DE32B1"/>
    <w:rsid w:val="00DE3D25"/>
    <w:rsid w:val="00DF3F06"/>
    <w:rsid w:val="00DF472E"/>
    <w:rsid w:val="00DF4F7E"/>
    <w:rsid w:val="00E03358"/>
    <w:rsid w:val="00E03EB8"/>
    <w:rsid w:val="00E04A49"/>
    <w:rsid w:val="00E06951"/>
    <w:rsid w:val="00E1095E"/>
    <w:rsid w:val="00E11D18"/>
    <w:rsid w:val="00E12764"/>
    <w:rsid w:val="00E15BF4"/>
    <w:rsid w:val="00E15D24"/>
    <w:rsid w:val="00E17705"/>
    <w:rsid w:val="00E20E79"/>
    <w:rsid w:val="00E2345F"/>
    <w:rsid w:val="00E30327"/>
    <w:rsid w:val="00E30488"/>
    <w:rsid w:val="00E31C63"/>
    <w:rsid w:val="00E32AC4"/>
    <w:rsid w:val="00E365F1"/>
    <w:rsid w:val="00E4050F"/>
    <w:rsid w:val="00E4101E"/>
    <w:rsid w:val="00E46A63"/>
    <w:rsid w:val="00E4708B"/>
    <w:rsid w:val="00E478CB"/>
    <w:rsid w:val="00E51356"/>
    <w:rsid w:val="00E52E5C"/>
    <w:rsid w:val="00E56835"/>
    <w:rsid w:val="00E575A0"/>
    <w:rsid w:val="00E61B09"/>
    <w:rsid w:val="00E62E2C"/>
    <w:rsid w:val="00E63D96"/>
    <w:rsid w:val="00E67341"/>
    <w:rsid w:val="00E74DC7"/>
    <w:rsid w:val="00E779E2"/>
    <w:rsid w:val="00E81964"/>
    <w:rsid w:val="00E854C6"/>
    <w:rsid w:val="00E865A5"/>
    <w:rsid w:val="00E87CEB"/>
    <w:rsid w:val="00E908A4"/>
    <w:rsid w:val="00E9190C"/>
    <w:rsid w:val="00E92B10"/>
    <w:rsid w:val="00E93E37"/>
    <w:rsid w:val="00E94625"/>
    <w:rsid w:val="00E94B13"/>
    <w:rsid w:val="00E95EF7"/>
    <w:rsid w:val="00EA15CF"/>
    <w:rsid w:val="00EA1D0F"/>
    <w:rsid w:val="00EA2EA0"/>
    <w:rsid w:val="00EA4F76"/>
    <w:rsid w:val="00EA69E6"/>
    <w:rsid w:val="00EB14C5"/>
    <w:rsid w:val="00EB3AC6"/>
    <w:rsid w:val="00EB6056"/>
    <w:rsid w:val="00EC06A7"/>
    <w:rsid w:val="00EC5B8C"/>
    <w:rsid w:val="00EC6B3B"/>
    <w:rsid w:val="00EC7283"/>
    <w:rsid w:val="00ED4BF2"/>
    <w:rsid w:val="00EE264B"/>
    <w:rsid w:val="00EE3244"/>
    <w:rsid w:val="00EF2CD5"/>
    <w:rsid w:val="00EF3B81"/>
    <w:rsid w:val="00EF3DAF"/>
    <w:rsid w:val="00EF3DE6"/>
    <w:rsid w:val="00F00221"/>
    <w:rsid w:val="00F027EF"/>
    <w:rsid w:val="00F11E43"/>
    <w:rsid w:val="00F14507"/>
    <w:rsid w:val="00F16415"/>
    <w:rsid w:val="00F17251"/>
    <w:rsid w:val="00F257D6"/>
    <w:rsid w:val="00F30995"/>
    <w:rsid w:val="00F33060"/>
    <w:rsid w:val="00F34E74"/>
    <w:rsid w:val="00F35578"/>
    <w:rsid w:val="00F362D0"/>
    <w:rsid w:val="00F363DD"/>
    <w:rsid w:val="00F4118F"/>
    <w:rsid w:val="00F43720"/>
    <w:rsid w:val="00F44186"/>
    <w:rsid w:val="00F524BF"/>
    <w:rsid w:val="00F5562B"/>
    <w:rsid w:val="00F566CB"/>
    <w:rsid w:val="00F610FA"/>
    <w:rsid w:val="00F61374"/>
    <w:rsid w:val="00F7399A"/>
    <w:rsid w:val="00F73D1F"/>
    <w:rsid w:val="00F74617"/>
    <w:rsid w:val="00F74F7C"/>
    <w:rsid w:val="00F7733B"/>
    <w:rsid w:val="00F80ACE"/>
    <w:rsid w:val="00F84A69"/>
    <w:rsid w:val="00F84DD2"/>
    <w:rsid w:val="00F87865"/>
    <w:rsid w:val="00F87F89"/>
    <w:rsid w:val="00F934C5"/>
    <w:rsid w:val="00F94E05"/>
    <w:rsid w:val="00F9676C"/>
    <w:rsid w:val="00F97713"/>
    <w:rsid w:val="00FA42CB"/>
    <w:rsid w:val="00FA5AFE"/>
    <w:rsid w:val="00FA76E8"/>
    <w:rsid w:val="00FB2AB5"/>
    <w:rsid w:val="00FB3EEF"/>
    <w:rsid w:val="00FB549A"/>
    <w:rsid w:val="00FB7287"/>
    <w:rsid w:val="00FC27D3"/>
    <w:rsid w:val="00FC3E9E"/>
    <w:rsid w:val="00FC4473"/>
    <w:rsid w:val="00FC73AD"/>
    <w:rsid w:val="00FD0374"/>
    <w:rsid w:val="00FD658D"/>
    <w:rsid w:val="00FD77A4"/>
    <w:rsid w:val="00FD7E28"/>
    <w:rsid w:val="00FE12A6"/>
    <w:rsid w:val="00FE20A9"/>
    <w:rsid w:val="00FE26A7"/>
    <w:rsid w:val="00FE26F0"/>
    <w:rsid w:val="00FE6121"/>
    <w:rsid w:val="00FE62B4"/>
    <w:rsid w:val="00FE710B"/>
    <w:rsid w:val="00FF00B1"/>
    <w:rsid w:val="00FF019C"/>
    <w:rsid w:val="00FF2320"/>
    <w:rsid w:val="00FF6054"/>
    <w:rsid w:val="00FF6328"/>
    <w:rsid w:val="00FF7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DDF16"/>
  <w15:chartTrackingRefBased/>
  <w15:docId w15:val="{969D0F23-36D9-4296-8C10-C803FA21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4F"/>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No Spacing1,List Paragraph Char Char Char,Indicator Text,Numbered Para 1,Bullet 1,Colorful List - Accent 11,Bullet Points,List Paragraph2,MAIN CONTENT,Normal numbered,List Paragraph12,OBC Bullet,L"/>
    <w:basedOn w:val="Normal"/>
    <w:link w:val="ListParagraphChar"/>
    <w:uiPriority w:val="34"/>
    <w:qFormat/>
    <w:rsid w:val="00A05E4F"/>
    <w:pPr>
      <w:ind w:left="720"/>
    </w:pPr>
  </w:style>
  <w:style w:type="paragraph" w:styleId="Header">
    <w:name w:val="header"/>
    <w:basedOn w:val="Normal"/>
    <w:link w:val="HeaderChar"/>
    <w:uiPriority w:val="99"/>
    <w:unhideWhenUsed/>
    <w:rsid w:val="00A05E4F"/>
    <w:pPr>
      <w:tabs>
        <w:tab w:val="center" w:pos="4513"/>
        <w:tab w:val="right" w:pos="9026"/>
      </w:tabs>
    </w:pPr>
  </w:style>
  <w:style w:type="character" w:customStyle="1" w:styleId="HeaderChar">
    <w:name w:val="Header Char"/>
    <w:basedOn w:val="DefaultParagraphFont"/>
    <w:link w:val="Header"/>
    <w:uiPriority w:val="99"/>
    <w:rsid w:val="00A05E4F"/>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A05E4F"/>
    <w:pPr>
      <w:tabs>
        <w:tab w:val="center" w:pos="4513"/>
        <w:tab w:val="right" w:pos="9026"/>
      </w:tabs>
    </w:pPr>
  </w:style>
  <w:style w:type="character" w:customStyle="1" w:styleId="FooterChar">
    <w:name w:val="Footer Char"/>
    <w:basedOn w:val="DefaultParagraphFont"/>
    <w:link w:val="Footer"/>
    <w:uiPriority w:val="99"/>
    <w:rsid w:val="00A05E4F"/>
    <w:rPr>
      <w:rFonts w:ascii="Arial" w:eastAsia="Times New Roman" w:hAnsi="Arial" w:cs="Times New Roman"/>
      <w:sz w:val="24"/>
      <w:szCs w:val="20"/>
      <w:lang w:eastAsia="en-GB"/>
    </w:rPr>
  </w:style>
  <w:style w:type="paragraph" w:customStyle="1" w:styleId="Pa19">
    <w:name w:val="Pa19"/>
    <w:basedOn w:val="Normal"/>
    <w:next w:val="Normal"/>
    <w:rsid w:val="006172FC"/>
    <w:pPr>
      <w:suppressAutoHyphens/>
      <w:autoSpaceDE w:val="0"/>
      <w:autoSpaceDN w:val="0"/>
      <w:spacing w:line="211" w:lineRule="atLeast"/>
      <w:textAlignment w:val="baseline"/>
    </w:pPr>
    <w:rPr>
      <w:rFonts w:ascii="FS Lola" w:eastAsia="Calibri" w:hAnsi="FS Lola"/>
      <w:szCs w:val="24"/>
      <w:lang w:eastAsia="en-US"/>
    </w:rPr>
  </w:style>
  <w:style w:type="table" w:styleId="ListTable3-Accent6">
    <w:name w:val="List Table 3 Accent 6"/>
    <w:basedOn w:val="TableNormal"/>
    <w:uiPriority w:val="48"/>
    <w:rsid w:val="006172FC"/>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Grid">
    <w:name w:val="Table Grid"/>
    <w:basedOn w:val="TableNormal"/>
    <w:uiPriority w:val="39"/>
    <w:rsid w:val="00617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45A"/>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233AD6"/>
    <w:rPr>
      <w:sz w:val="20"/>
    </w:rPr>
  </w:style>
  <w:style w:type="character" w:customStyle="1" w:styleId="FootnoteTextChar">
    <w:name w:val="Footnote Text Char"/>
    <w:basedOn w:val="DefaultParagraphFont"/>
    <w:link w:val="FootnoteText"/>
    <w:uiPriority w:val="99"/>
    <w:semiHidden/>
    <w:rsid w:val="00233AD6"/>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233AD6"/>
    <w:rPr>
      <w:vertAlign w:val="superscript"/>
    </w:rPr>
  </w:style>
  <w:style w:type="character" w:customStyle="1" w:styleId="odatagridcontent">
    <w:name w:val="odatagridcontent"/>
    <w:basedOn w:val="DefaultParagraphFont"/>
    <w:rsid w:val="0089409C"/>
  </w:style>
  <w:style w:type="table" w:styleId="GridTable4-Accent6">
    <w:name w:val="Grid Table 4 Accent 6"/>
    <w:basedOn w:val="TableNormal"/>
    <w:uiPriority w:val="49"/>
    <w:rsid w:val="002A6A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3E14D6"/>
    <w:rPr>
      <w:color w:val="0563C1" w:themeColor="hyperlink"/>
      <w:u w:val="single"/>
    </w:rPr>
  </w:style>
  <w:style w:type="character" w:styleId="UnresolvedMention">
    <w:name w:val="Unresolved Mention"/>
    <w:basedOn w:val="DefaultParagraphFont"/>
    <w:uiPriority w:val="99"/>
    <w:semiHidden/>
    <w:unhideWhenUsed/>
    <w:rsid w:val="003E14D6"/>
    <w:rPr>
      <w:color w:val="605E5C"/>
      <w:shd w:val="clear" w:color="auto" w:fill="E1DFDD"/>
    </w:rPr>
  </w:style>
  <w:style w:type="character" w:styleId="FollowedHyperlink">
    <w:name w:val="FollowedHyperlink"/>
    <w:basedOn w:val="DefaultParagraphFont"/>
    <w:uiPriority w:val="99"/>
    <w:semiHidden/>
    <w:unhideWhenUsed/>
    <w:rsid w:val="003E14D6"/>
    <w:rPr>
      <w:color w:val="954F72" w:themeColor="followedHyperlink"/>
      <w:u w:val="single"/>
    </w:rPr>
  </w:style>
  <w:style w:type="character" w:styleId="CommentReference">
    <w:name w:val="annotation reference"/>
    <w:basedOn w:val="DefaultParagraphFont"/>
    <w:semiHidden/>
    <w:unhideWhenUsed/>
    <w:rsid w:val="000827BD"/>
    <w:rPr>
      <w:sz w:val="16"/>
      <w:szCs w:val="16"/>
    </w:rPr>
  </w:style>
  <w:style w:type="paragraph" w:styleId="CommentText">
    <w:name w:val="annotation text"/>
    <w:basedOn w:val="Normal"/>
    <w:link w:val="CommentTextChar"/>
    <w:unhideWhenUsed/>
    <w:rsid w:val="000827BD"/>
    <w:rPr>
      <w:sz w:val="20"/>
    </w:rPr>
  </w:style>
  <w:style w:type="character" w:customStyle="1" w:styleId="CommentTextChar">
    <w:name w:val="Comment Text Char"/>
    <w:basedOn w:val="DefaultParagraphFont"/>
    <w:link w:val="CommentText"/>
    <w:rsid w:val="000827B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27BD"/>
    <w:rPr>
      <w:b/>
      <w:bCs/>
    </w:rPr>
  </w:style>
  <w:style w:type="character" w:customStyle="1" w:styleId="CommentSubjectChar">
    <w:name w:val="Comment Subject Char"/>
    <w:basedOn w:val="CommentTextChar"/>
    <w:link w:val="CommentSubject"/>
    <w:uiPriority w:val="99"/>
    <w:semiHidden/>
    <w:rsid w:val="000827BD"/>
    <w:rPr>
      <w:rFonts w:ascii="Arial" w:eastAsia="Times New Roman" w:hAnsi="Arial" w:cs="Times New Roman"/>
      <w:b/>
      <w:bCs/>
      <w:sz w:val="20"/>
      <w:szCs w:val="20"/>
      <w:lang w:eastAsia="en-GB"/>
    </w:rPr>
  </w:style>
  <w:style w:type="paragraph" w:customStyle="1" w:styleId="paragraph">
    <w:name w:val="paragraph"/>
    <w:basedOn w:val="Normal"/>
    <w:rsid w:val="00C514B7"/>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514B7"/>
  </w:style>
  <w:style w:type="character" w:customStyle="1" w:styleId="eop">
    <w:name w:val="eop"/>
    <w:basedOn w:val="DefaultParagraphFont"/>
    <w:rsid w:val="00C514B7"/>
  </w:style>
  <w:style w:type="character" w:customStyle="1" w:styleId="cf01">
    <w:name w:val="cf01"/>
    <w:basedOn w:val="DefaultParagraphFont"/>
    <w:rsid w:val="00321BB6"/>
    <w:rPr>
      <w:rFonts w:ascii="Segoe UI" w:hAnsi="Segoe UI" w:cs="Segoe UI" w:hint="default"/>
      <w:sz w:val="18"/>
      <w:szCs w:val="18"/>
    </w:rPr>
  </w:style>
  <w:style w:type="character" w:styleId="Strong">
    <w:name w:val="Strong"/>
    <w:basedOn w:val="DefaultParagraphFont"/>
    <w:uiPriority w:val="22"/>
    <w:qFormat/>
    <w:rsid w:val="00946331"/>
    <w:rPr>
      <w:b/>
      <w:bCs/>
    </w:rPr>
  </w:style>
  <w:style w:type="character" w:customStyle="1" w:styleId="ListParagraphChar">
    <w:name w:val="List Paragraph Char"/>
    <w:aliases w:val="F5 List Paragraph Char,Dot pt Char,List Paragraph1 Char,No Spacing1 Char,List Paragraph Char Char Char Char,Indicator Text Char,Numbered Para 1 Char,Bullet 1 Char,Colorful List - Accent 11 Char,Bullet Points Char,List Paragraph2 Char"/>
    <w:link w:val="ListParagraph"/>
    <w:uiPriority w:val="34"/>
    <w:qFormat/>
    <w:locked/>
    <w:rsid w:val="00946331"/>
    <w:rPr>
      <w:rFonts w:ascii="Arial" w:eastAsia="Times New Roman" w:hAnsi="Arial" w:cs="Times New Roman"/>
      <w:sz w:val="24"/>
      <w:szCs w:val="20"/>
      <w:lang w:eastAsia="en-GB"/>
    </w:rPr>
  </w:style>
  <w:style w:type="paragraph" w:styleId="NormalWeb">
    <w:name w:val="Normal (Web)"/>
    <w:basedOn w:val="Normal"/>
    <w:uiPriority w:val="99"/>
    <w:unhideWhenUsed/>
    <w:rsid w:val="006F2560"/>
    <w:pPr>
      <w:spacing w:before="100" w:beforeAutospacing="1" w:after="100" w:afterAutospacing="1"/>
    </w:pPr>
    <w:rPr>
      <w:rFonts w:ascii="Times New Roman" w:hAnsi="Times New Roman"/>
      <w:szCs w:val="24"/>
    </w:rPr>
  </w:style>
  <w:style w:type="numbering" w:customStyle="1" w:styleId="HiddenBulletsGreen">
    <w:name w:val="Hidden Bullets Green"/>
    <w:basedOn w:val="NoList"/>
    <w:rsid w:val="006F256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8186">
      <w:bodyDiv w:val="1"/>
      <w:marLeft w:val="0"/>
      <w:marRight w:val="0"/>
      <w:marTop w:val="0"/>
      <w:marBottom w:val="0"/>
      <w:divBdr>
        <w:top w:val="none" w:sz="0" w:space="0" w:color="auto"/>
        <w:left w:val="none" w:sz="0" w:space="0" w:color="auto"/>
        <w:bottom w:val="none" w:sz="0" w:space="0" w:color="auto"/>
        <w:right w:val="none" w:sz="0" w:space="0" w:color="auto"/>
      </w:divBdr>
    </w:div>
    <w:div w:id="985281590">
      <w:bodyDiv w:val="1"/>
      <w:marLeft w:val="0"/>
      <w:marRight w:val="0"/>
      <w:marTop w:val="0"/>
      <w:marBottom w:val="0"/>
      <w:divBdr>
        <w:top w:val="none" w:sz="0" w:space="0" w:color="auto"/>
        <w:left w:val="none" w:sz="0" w:space="0" w:color="auto"/>
        <w:bottom w:val="none" w:sz="0" w:space="0" w:color="auto"/>
        <w:right w:val="none" w:sz="0" w:space="0" w:color="auto"/>
      </w:divBdr>
      <w:divsChild>
        <w:div w:id="580331530">
          <w:marLeft w:val="0"/>
          <w:marRight w:val="0"/>
          <w:marTop w:val="0"/>
          <w:marBottom w:val="0"/>
          <w:divBdr>
            <w:top w:val="none" w:sz="0" w:space="0" w:color="auto"/>
            <w:left w:val="none" w:sz="0" w:space="0" w:color="auto"/>
            <w:bottom w:val="none" w:sz="0" w:space="0" w:color="auto"/>
            <w:right w:val="none" w:sz="0" w:space="0" w:color="auto"/>
          </w:divBdr>
        </w:div>
        <w:div w:id="770587824">
          <w:marLeft w:val="0"/>
          <w:marRight w:val="0"/>
          <w:marTop w:val="0"/>
          <w:marBottom w:val="0"/>
          <w:divBdr>
            <w:top w:val="none" w:sz="0" w:space="0" w:color="auto"/>
            <w:left w:val="none" w:sz="0" w:space="0" w:color="auto"/>
            <w:bottom w:val="none" w:sz="0" w:space="0" w:color="auto"/>
            <w:right w:val="none" w:sz="0" w:space="0" w:color="auto"/>
          </w:divBdr>
        </w:div>
        <w:div w:id="862592674">
          <w:marLeft w:val="0"/>
          <w:marRight w:val="0"/>
          <w:marTop w:val="0"/>
          <w:marBottom w:val="0"/>
          <w:divBdr>
            <w:top w:val="none" w:sz="0" w:space="0" w:color="auto"/>
            <w:left w:val="none" w:sz="0" w:space="0" w:color="auto"/>
            <w:bottom w:val="none" w:sz="0" w:space="0" w:color="auto"/>
            <w:right w:val="none" w:sz="0" w:space="0" w:color="auto"/>
          </w:divBdr>
        </w:div>
        <w:div w:id="902134510">
          <w:marLeft w:val="0"/>
          <w:marRight w:val="0"/>
          <w:marTop w:val="0"/>
          <w:marBottom w:val="0"/>
          <w:divBdr>
            <w:top w:val="none" w:sz="0" w:space="0" w:color="auto"/>
            <w:left w:val="none" w:sz="0" w:space="0" w:color="auto"/>
            <w:bottom w:val="none" w:sz="0" w:space="0" w:color="auto"/>
            <w:right w:val="none" w:sz="0" w:space="0" w:color="auto"/>
          </w:divBdr>
        </w:div>
        <w:div w:id="664280611">
          <w:marLeft w:val="0"/>
          <w:marRight w:val="0"/>
          <w:marTop w:val="0"/>
          <w:marBottom w:val="0"/>
          <w:divBdr>
            <w:top w:val="none" w:sz="0" w:space="0" w:color="auto"/>
            <w:left w:val="none" w:sz="0" w:space="0" w:color="auto"/>
            <w:bottom w:val="none" w:sz="0" w:space="0" w:color="auto"/>
            <w:right w:val="none" w:sz="0" w:space="0" w:color="auto"/>
          </w:divBdr>
        </w:div>
        <w:div w:id="784619458">
          <w:marLeft w:val="0"/>
          <w:marRight w:val="0"/>
          <w:marTop w:val="0"/>
          <w:marBottom w:val="0"/>
          <w:divBdr>
            <w:top w:val="none" w:sz="0" w:space="0" w:color="auto"/>
            <w:left w:val="none" w:sz="0" w:space="0" w:color="auto"/>
            <w:bottom w:val="none" w:sz="0" w:space="0" w:color="auto"/>
            <w:right w:val="none" w:sz="0" w:space="0" w:color="auto"/>
          </w:divBdr>
        </w:div>
        <w:div w:id="1533493430">
          <w:marLeft w:val="0"/>
          <w:marRight w:val="0"/>
          <w:marTop w:val="0"/>
          <w:marBottom w:val="0"/>
          <w:divBdr>
            <w:top w:val="none" w:sz="0" w:space="0" w:color="auto"/>
            <w:left w:val="none" w:sz="0" w:space="0" w:color="auto"/>
            <w:bottom w:val="none" w:sz="0" w:space="0" w:color="auto"/>
            <w:right w:val="none" w:sz="0" w:space="0" w:color="auto"/>
          </w:divBdr>
        </w:div>
        <w:div w:id="371733686">
          <w:marLeft w:val="0"/>
          <w:marRight w:val="0"/>
          <w:marTop w:val="0"/>
          <w:marBottom w:val="0"/>
          <w:divBdr>
            <w:top w:val="none" w:sz="0" w:space="0" w:color="auto"/>
            <w:left w:val="none" w:sz="0" w:space="0" w:color="auto"/>
            <w:bottom w:val="none" w:sz="0" w:space="0" w:color="auto"/>
            <w:right w:val="none" w:sz="0" w:space="0" w:color="auto"/>
          </w:divBdr>
        </w:div>
        <w:div w:id="843931864">
          <w:marLeft w:val="0"/>
          <w:marRight w:val="0"/>
          <w:marTop w:val="0"/>
          <w:marBottom w:val="0"/>
          <w:divBdr>
            <w:top w:val="none" w:sz="0" w:space="0" w:color="auto"/>
            <w:left w:val="none" w:sz="0" w:space="0" w:color="auto"/>
            <w:bottom w:val="none" w:sz="0" w:space="0" w:color="auto"/>
            <w:right w:val="none" w:sz="0" w:space="0" w:color="auto"/>
          </w:divBdr>
        </w:div>
        <w:div w:id="1980265091">
          <w:marLeft w:val="0"/>
          <w:marRight w:val="0"/>
          <w:marTop w:val="0"/>
          <w:marBottom w:val="0"/>
          <w:divBdr>
            <w:top w:val="none" w:sz="0" w:space="0" w:color="auto"/>
            <w:left w:val="none" w:sz="0" w:space="0" w:color="auto"/>
            <w:bottom w:val="none" w:sz="0" w:space="0" w:color="auto"/>
            <w:right w:val="none" w:sz="0" w:space="0" w:color="auto"/>
          </w:divBdr>
        </w:div>
      </w:divsChild>
    </w:div>
    <w:div w:id="1636063946">
      <w:bodyDiv w:val="1"/>
      <w:marLeft w:val="0"/>
      <w:marRight w:val="0"/>
      <w:marTop w:val="0"/>
      <w:marBottom w:val="0"/>
      <w:divBdr>
        <w:top w:val="none" w:sz="0" w:space="0" w:color="auto"/>
        <w:left w:val="none" w:sz="0" w:space="0" w:color="auto"/>
        <w:bottom w:val="none" w:sz="0" w:space="0" w:color="auto"/>
        <w:right w:val="none" w:sz="0" w:space="0" w:color="auto"/>
      </w:divBdr>
    </w:div>
    <w:div w:id="1902404826">
      <w:bodyDiv w:val="1"/>
      <w:marLeft w:val="0"/>
      <w:marRight w:val="0"/>
      <w:marTop w:val="0"/>
      <w:marBottom w:val="0"/>
      <w:divBdr>
        <w:top w:val="none" w:sz="0" w:space="0" w:color="auto"/>
        <w:left w:val="none" w:sz="0" w:space="0" w:color="auto"/>
        <w:bottom w:val="none" w:sz="0" w:space="0" w:color="auto"/>
        <w:right w:val="none" w:sz="0" w:space="0" w:color="auto"/>
      </w:divBdr>
    </w:div>
    <w:div w:id="204918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shire.gov.uk/media/132814/nottinghamshirelocalcodecorporategovernance.pdf"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BD17-E29A-415D-B5BB-E0ADC9E5C0B3}">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5242</Words>
  <Characters>29885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Disney</dc:creator>
  <cp:keywords/>
  <dc:description/>
  <cp:lastModifiedBy>Simon Lacey</cp:lastModifiedBy>
  <cp:revision>3</cp:revision>
  <cp:lastPrinted>2026-02-05T09:26:00Z</cp:lastPrinted>
  <dcterms:created xsi:type="dcterms:W3CDTF">2026-06-01T12:55:00Z</dcterms:created>
  <dcterms:modified xsi:type="dcterms:W3CDTF">2026-06-10T11:36:00Z</dcterms:modified>
</cp:coreProperties>
</file>