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Look w:val="01E0" w:firstRow="1" w:lastRow="1" w:firstColumn="1" w:lastColumn="1" w:noHBand="0" w:noVBand="0"/>
      </w:tblPr>
      <w:tblGrid>
        <w:gridCol w:w="4866"/>
        <w:gridCol w:w="1552"/>
        <w:gridCol w:w="3930"/>
      </w:tblGrid>
      <w:tr w:rsidR="000205A0" w14:paraId="6AA760F6" w14:textId="77777777" w:rsidTr="00184477">
        <w:tc>
          <w:tcPr>
            <w:tcW w:w="4866" w:type="dxa"/>
            <w:shd w:val="clear" w:color="auto" w:fill="auto"/>
          </w:tcPr>
          <w:p w14:paraId="3269AA52" w14:textId="77777777" w:rsidR="000205A0" w:rsidRDefault="000205A0" w:rsidP="00184477">
            <w:r>
              <w:rPr>
                <w:noProof/>
              </w:rPr>
              <w:drawing>
                <wp:inline distT="0" distB="0" distL="0" distR="0" wp14:anchorId="1C81AE5F" wp14:editId="360B25B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tc>
        <w:tc>
          <w:tcPr>
            <w:tcW w:w="1552" w:type="dxa"/>
            <w:shd w:val="clear" w:color="auto" w:fill="auto"/>
          </w:tcPr>
          <w:p w14:paraId="1AB7E615" w14:textId="77777777" w:rsidR="000205A0" w:rsidRDefault="000205A0" w:rsidP="00184477"/>
        </w:tc>
        <w:tc>
          <w:tcPr>
            <w:tcW w:w="3930" w:type="dxa"/>
            <w:shd w:val="clear" w:color="auto" w:fill="auto"/>
          </w:tcPr>
          <w:p w14:paraId="1C026263" w14:textId="3E0F4BFA" w:rsidR="000205A0" w:rsidRPr="00260190" w:rsidRDefault="000205A0" w:rsidP="00184477">
            <w:pPr>
              <w:pStyle w:val="Header"/>
              <w:rPr>
                <w:rFonts w:cs="Arial"/>
                <w:b/>
                <w:szCs w:val="20"/>
              </w:rPr>
            </w:pPr>
            <w:r w:rsidRPr="00260190">
              <w:rPr>
                <w:rFonts w:cs="Arial"/>
                <w:b/>
                <w:szCs w:val="20"/>
              </w:rPr>
              <w:t xml:space="preserve"> </w:t>
            </w:r>
          </w:p>
          <w:p w14:paraId="228530A1" w14:textId="0A313B2B" w:rsidR="000205A0" w:rsidRPr="00260190" w:rsidRDefault="007F45EA" w:rsidP="00184477">
            <w:pPr>
              <w:tabs>
                <w:tab w:val="center" w:pos="4153"/>
                <w:tab w:val="right" w:pos="8306"/>
              </w:tabs>
              <w:jc w:val="right"/>
              <w:rPr>
                <w:rFonts w:cs="Arial"/>
                <w:sz w:val="22"/>
                <w:szCs w:val="22"/>
              </w:rPr>
            </w:pPr>
            <w:r>
              <w:t>May 2023</w:t>
            </w:r>
          </w:p>
        </w:tc>
      </w:tr>
    </w:tbl>
    <w:p w14:paraId="323F9A5B" w14:textId="77777777" w:rsidR="000205A0" w:rsidRDefault="000205A0" w:rsidP="000205A0"/>
    <w:tbl>
      <w:tblPr>
        <w:tblW w:w="119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773"/>
        <w:gridCol w:w="567"/>
      </w:tblGrid>
      <w:tr w:rsidR="000205A0" w14:paraId="4B986977" w14:textId="77777777" w:rsidTr="00184477">
        <w:trPr>
          <w:trHeight w:val="284"/>
        </w:trPr>
        <w:tc>
          <w:tcPr>
            <w:tcW w:w="567" w:type="dxa"/>
            <w:shd w:val="clear" w:color="auto" w:fill="000000"/>
            <w:tcMar>
              <w:top w:w="113" w:type="dxa"/>
              <w:left w:w="0" w:type="dxa"/>
              <w:bottom w:w="113" w:type="dxa"/>
              <w:right w:w="0" w:type="dxa"/>
            </w:tcMar>
            <w:vAlign w:val="center"/>
          </w:tcPr>
          <w:p w14:paraId="4D11587E" w14:textId="77777777" w:rsidR="000205A0" w:rsidRDefault="000205A0" w:rsidP="00184477">
            <w:pPr>
              <w:ind w:left="-391" w:firstLine="138"/>
            </w:pPr>
          </w:p>
        </w:tc>
        <w:tc>
          <w:tcPr>
            <w:tcW w:w="10773" w:type="dxa"/>
            <w:shd w:val="clear" w:color="auto" w:fill="000000"/>
            <w:tcMar>
              <w:top w:w="113" w:type="dxa"/>
              <w:left w:w="0" w:type="dxa"/>
              <w:bottom w:w="113" w:type="dxa"/>
              <w:right w:w="0" w:type="dxa"/>
            </w:tcMar>
            <w:vAlign w:val="center"/>
          </w:tcPr>
          <w:p w14:paraId="2D7CC5E5" w14:textId="5D77D398" w:rsidR="000205A0" w:rsidRPr="00260190" w:rsidRDefault="000205A0" w:rsidP="00184477">
            <w:pPr>
              <w:rPr>
                <w:b/>
                <w:color w:val="FFFFFF"/>
                <w:sz w:val="32"/>
                <w:szCs w:val="32"/>
              </w:rPr>
            </w:pPr>
            <w:r>
              <w:rPr>
                <w:b/>
                <w:color w:val="FFFFFF"/>
                <w:sz w:val="32"/>
                <w:szCs w:val="32"/>
              </w:rPr>
              <w:t xml:space="preserve">Direct Payment Top-Up </w:t>
            </w:r>
            <w:r w:rsidR="00986A3D">
              <w:rPr>
                <w:b/>
                <w:color w:val="FFFFFF"/>
                <w:sz w:val="32"/>
                <w:szCs w:val="32"/>
              </w:rPr>
              <w:t>Contract</w:t>
            </w:r>
          </w:p>
        </w:tc>
        <w:tc>
          <w:tcPr>
            <w:tcW w:w="567" w:type="dxa"/>
            <w:shd w:val="clear" w:color="auto" w:fill="000000"/>
            <w:tcMar>
              <w:top w:w="113" w:type="dxa"/>
              <w:left w:w="0" w:type="dxa"/>
              <w:bottom w:w="113" w:type="dxa"/>
              <w:right w:w="0" w:type="dxa"/>
            </w:tcMar>
            <w:vAlign w:val="center"/>
          </w:tcPr>
          <w:p w14:paraId="26C0C027" w14:textId="77777777" w:rsidR="000205A0" w:rsidRDefault="000205A0" w:rsidP="00184477"/>
        </w:tc>
      </w:tr>
    </w:tbl>
    <w:p w14:paraId="3112D725" w14:textId="77777777" w:rsidR="000205A0" w:rsidRDefault="000205A0" w:rsidP="000205A0">
      <w:pPr>
        <w:rPr>
          <w:b/>
        </w:rPr>
      </w:pPr>
      <w:r w:rsidRPr="00673DF7">
        <w:rPr>
          <w:b/>
        </w:rPr>
        <w:t>Before signing this agreement, you should read these notes carefully and discuss any queries you have with</w:t>
      </w:r>
      <w:r>
        <w:rPr>
          <w:b/>
        </w:rPr>
        <w:t xml:space="preserve"> the involved Social Work Team</w:t>
      </w:r>
    </w:p>
    <w:p w14:paraId="3AD462E9" w14:textId="77777777" w:rsidR="000205A0" w:rsidRDefault="000205A0" w:rsidP="000205A0">
      <w:pPr>
        <w:rPr>
          <w:b/>
        </w:rPr>
      </w:pPr>
    </w:p>
    <w:tbl>
      <w:tblPr>
        <w:tblStyle w:val="TableGrid"/>
        <w:tblW w:w="0" w:type="auto"/>
        <w:tblLook w:val="04A0" w:firstRow="1" w:lastRow="0" w:firstColumn="1" w:lastColumn="0" w:noHBand="0" w:noVBand="1"/>
      </w:tblPr>
      <w:tblGrid>
        <w:gridCol w:w="5096"/>
        <w:gridCol w:w="3920"/>
      </w:tblGrid>
      <w:tr w:rsidR="000205A0" w14:paraId="0F092D87" w14:textId="77777777" w:rsidTr="008D6E6F">
        <w:tc>
          <w:tcPr>
            <w:tcW w:w="5096" w:type="dxa"/>
          </w:tcPr>
          <w:p w14:paraId="00E34E87" w14:textId="7ECA4BD1" w:rsidR="000205A0" w:rsidRPr="00170944" w:rsidRDefault="000205A0" w:rsidP="00184477">
            <w:r w:rsidRPr="00170944">
              <w:t xml:space="preserve">Name of person receiving the care and support purchased with the Direct Payment </w:t>
            </w:r>
          </w:p>
        </w:tc>
        <w:tc>
          <w:tcPr>
            <w:tcW w:w="3920" w:type="dxa"/>
          </w:tcPr>
          <w:p w14:paraId="2B484844" w14:textId="77777777" w:rsidR="000205A0" w:rsidRDefault="000205A0" w:rsidP="00184477">
            <w:pPr>
              <w:rPr>
                <w:b/>
              </w:rPr>
            </w:pPr>
          </w:p>
        </w:tc>
      </w:tr>
      <w:tr w:rsidR="000205A0" w14:paraId="3FA850FC" w14:textId="77777777" w:rsidTr="008D6E6F">
        <w:tc>
          <w:tcPr>
            <w:tcW w:w="5096" w:type="dxa"/>
          </w:tcPr>
          <w:p w14:paraId="6E244455" w14:textId="3C564674" w:rsidR="000205A0" w:rsidRPr="00170944" w:rsidRDefault="00F95F32" w:rsidP="00184477">
            <w:r>
              <w:t>If applicable, n</w:t>
            </w:r>
            <w:r w:rsidR="000205A0" w:rsidRPr="00170944">
              <w:t>ame of Authorised Person who has been appointed to receive, manage and take legal responsibility for the Direct Payment (</w:t>
            </w:r>
            <w:r>
              <w:t xml:space="preserve">this will be the same Authorised Person as indicated on the </w:t>
            </w:r>
            <w:r w:rsidR="000205A0" w:rsidRPr="00170944">
              <w:t>Direct Payment Agreement)</w:t>
            </w:r>
          </w:p>
        </w:tc>
        <w:tc>
          <w:tcPr>
            <w:tcW w:w="3920" w:type="dxa"/>
          </w:tcPr>
          <w:p w14:paraId="005E607D" w14:textId="77777777" w:rsidR="000205A0" w:rsidRDefault="000205A0" w:rsidP="00184477">
            <w:pPr>
              <w:rPr>
                <w:b/>
              </w:rPr>
            </w:pPr>
          </w:p>
        </w:tc>
      </w:tr>
      <w:tr w:rsidR="000205A0" w:rsidRPr="008C502F" w14:paraId="19B1CAE2" w14:textId="77777777" w:rsidTr="008D6E6F">
        <w:tc>
          <w:tcPr>
            <w:tcW w:w="5096" w:type="dxa"/>
          </w:tcPr>
          <w:p w14:paraId="3737A885" w14:textId="3B5B2AE0" w:rsidR="000205A0" w:rsidRPr="00294CFD" w:rsidRDefault="00F95F32" w:rsidP="00184477">
            <w:pPr>
              <w:rPr>
                <w:color w:val="FF0000"/>
              </w:rPr>
            </w:pPr>
            <w:r>
              <w:t>If applicable, n</w:t>
            </w:r>
            <w:r w:rsidR="000205A0" w:rsidRPr="00DB5200">
              <w:t>ame of Nominated Person or Direct Payment Support Service (DPSS) w</w:t>
            </w:r>
            <w:r w:rsidR="008903E1">
              <w:t xml:space="preserve">hich </w:t>
            </w:r>
            <w:r w:rsidR="000205A0" w:rsidRPr="00DB5200">
              <w:t>has agreed to provide support with managing the Direct Payment</w:t>
            </w:r>
            <w:r w:rsidR="008903E1">
              <w:t xml:space="preserve"> account (this will be the same Nominated Person or DPSS as indicated on the Direct Payment Agreement)</w:t>
            </w:r>
          </w:p>
        </w:tc>
        <w:tc>
          <w:tcPr>
            <w:tcW w:w="3920" w:type="dxa"/>
          </w:tcPr>
          <w:p w14:paraId="6D48B76D" w14:textId="77777777" w:rsidR="000205A0" w:rsidRPr="00294CFD" w:rsidRDefault="000205A0" w:rsidP="00184477">
            <w:pPr>
              <w:rPr>
                <w:b/>
                <w:color w:val="FF0000"/>
              </w:rPr>
            </w:pPr>
          </w:p>
        </w:tc>
      </w:tr>
    </w:tbl>
    <w:p w14:paraId="54C1045C" w14:textId="77777777" w:rsidR="000205A0" w:rsidRPr="00673DF7" w:rsidRDefault="000205A0" w:rsidP="000205A0"/>
    <w:p w14:paraId="5AD9B6C5" w14:textId="0B9E3F04" w:rsidR="009543F2" w:rsidRDefault="00995B4B" w:rsidP="000205A0">
      <w:r>
        <w:t>As you have</w:t>
      </w:r>
      <w:r w:rsidR="00310E29">
        <w:t xml:space="preserve"> chosen to meet </w:t>
      </w:r>
      <w:r>
        <w:t xml:space="preserve">your </w:t>
      </w:r>
      <w:r w:rsidR="00310E29">
        <w:t xml:space="preserve">assessed support needs using a Provider that is more expensive than </w:t>
      </w:r>
      <w:r w:rsidR="009543F2">
        <w:t>an</w:t>
      </w:r>
      <w:r w:rsidR="009543F2">
        <w:rPr>
          <w:b/>
        </w:rPr>
        <w:t xml:space="preserve"> </w:t>
      </w:r>
      <w:r w:rsidR="009543F2" w:rsidRPr="00792CF2">
        <w:t>equivalent</w:t>
      </w:r>
      <w:r w:rsidR="009543F2">
        <w:rPr>
          <w:b/>
        </w:rPr>
        <w:t xml:space="preserve"> </w:t>
      </w:r>
      <w:r w:rsidR="00310E29">
        <w:t>support provider that c</w:t>
      </w:r>
      <w:r w:rsidR="009543F2">
        <w:t>an</w:t>
      </w:r>
      <w:r w:rsidR="00310E29">
        <w:t xml:space="preserve"> be commissioned by the Council</w:t>
      </w:r>
      <w:r w:rsidR="009543F2">
        <w:t xml:space="preserve"> and is available to provide the service. </w:t>
      </w:r>
    </w:p>
    <w:p w14:paraId="1DC931E1" w14:textId="77777777" w:rsidR="009543F2" w:rsidRDefault="009543F2" w:rsidP="000205A0"/>
    <w:p w14:paraId="0BD12979" w14:textId="2EE9A515" w:rsidR="000205A0" w:rsidRPr="00673DF7" w:rsidRDefault="00310E29" w:rsidP="000205A0">
      <w:r>
        <w:t xml:space="preserve">This agreement is to show that you agree to pay the difference between </w:t>
      </w:r>
      <w:r w:rsidR="00F84CD1">
        <w:t>the</w:t>
      </w:r>
      <w:r>
        <w:t xml:space="preserve"> chosen providers hourly rate and the rate that can be commissioned by NCC into the Direct Payment Account. You are agreeing to this</w:t>
      </w:r>
      <w:r w:rsidR="009543F2">
        <w:t xml:space="preserve"> under the following terms of this agreement</w:t>
      </w:r>
      <w:r w:rsidR="000205A0" w:rsidRPr="00673DF7">
        <w:t xml:space="preserve"> </w:t>
      </w:r>
    </w:p>
    <w:p w14:paraId="7230B795" w14:textId="77777777" w:rsidR="000205A0" w:rsidRPr="00673DF7" w:rsidRDefault="000205A0" w:rsidP="000205A0"/>
    <w:p w14:paraId="2C444F9E" w14:textId="53AF31C5" w:rsidR="009543F2" w:rsidRDefault="009543F2" w:rsidP="009543F2">
      <w:pPr>
        <w:ind w:left="284"/>
      </w:pPr>
    </w:p>
    <w:p w14:paraId="03153673" w14:textId="77777777" w:rsidR="009543F2" w:rsidRPr="00673DF7" w:rsidRDefault="009543F2" w:rsidP="00792CF2">
      <w:pPr>
        <w:ind w:left="284"/>
      </w:pPr>
    </w:p>
    <w:p w14:paraId="02F0B011" w14:textId="094AB586" w:rsidR="001E072C" w:rsidRDefault="00980590" w:rsidP="000205A0">
      <w:pPr>
        <w:numPr>
          <w:ilvl w:val="0"/>
          <w:numId w:val="1"/>
        </w:numPr>
      </w:pPr>
      <w:r>
        <w:t>The</w:t>
      </w:r>
      <w:r w:rsidRPr="00673DF7">
        <w:t xml:space="preserve"> </w:t>
      </w:r>
      <w:r w:rsidR="000205A0">
        <w:t xml:space="preserve">top-up payment </w:t>
      </w:r>
      <w:r w:rsidR="000205A0" w:rsidRPr="00673DF7">
        <w:t>is payable</w:t>
      </w:r>
      <w:r w:rsidR="000205A0">
        <w:t xml:space="preserve"> every 4 weeks in advance into the Direct Payment account, in </w:t>
      </w:r>
      <w:r w:rsidR="000205A0" w:rsidRPr="000E3328">
        <w:t>line with the Direct Payment made from the Council</w:t>
      </w:r>
      <w:r w:rsidR="005D2650">
        <w:t>.</w:t>
      </w:r>
      <w:r w:rsidR="009543F2">
        <w:t xml:space="preserve"> This should be for the equivalent to the amount of support received.</w:t>
      </w:r>
    </w:p>
    <w:p w14:paraId="669F344C" w14:textId="77777777" w:rsidR="001E072C" w:rsidRDefault="001E072C" w:rsidP="00792CF2">
      <w:pPr>
        <w:pStyle w:val="ListParagraph"/>
      </w:pPr>
    </w:p>
    <w:p w14:paraId="04A62354" w14:textId="0406A807" w:rsidR="000205A0" w:rsidRPr="000E3328" w:rsidRDefault="001E072C" w:rsidP="000205A0">
      <w:pPr>
        <w:numPr>
          <w:ilvl w:val="0"/>
          <w:numId w:val="1"/>
        </w:numPr>
      </w:pPr>
      <w:r>
        <w:t xml:space="preserve">The top-up </w:t>
      </w:r>
      <w:r w:rsidR="000205A0" w:rsidRPr="000E3328">
        <w:t xml:space="preserve">is </w:t>
      </w:r>
      <w:r w:rsidRPr="00792CF2">
        <w:rPr>
          <w:b/>
        </w:rPr>
        <w:t>separate</w:t>
      </w:r>
      <w:r>
        <w:t xml:space="preserve"> and </w:t>
      </w:r>
      <w:r w:rsidR="000205A0" w:rsidRPr="000E3328">
        <w:rPr>
          <w:b/>
        </w:rPr>
        <w:t>in addition to</w:t>
      </w:r>
      <w:r w:rsidR="000205A0" w:rsidRPr="000E3328">
        <w:t xml:space="preserve"> any personal contribution which the </w:t>
      </w:r>
      <w:r w:rsidR="007A6C8E">
        <w:t>person</w:t>
      </w:r>
      <w:r w:rsidR="00995B4B">
        <w:t xml:space="preserve"> requiring support </w:t>
      </w:r>
      <w:r w:rsidR="00995B4B" w:rsidRPr="000E3328">
        <w:t>has</w:t>
      </w:r>
      <w:r w:rsidR="000205A0" w:rsidRPr="000E3328">
        <w:t xml:space="preserve"> been assessed to </w:t>
      </w:r>
      <w:r w:rsidR="00121E94">
        <w:t xml:space="preserve">pay </w:t>
      </w:r>
      <w:r w:rsidR="000205A0" w:rsidRPr="000E3328">
        <w:t xml:space="preserve"> towards the cost of their care.</w:t>
      </w:r>
    </w:p>
    <w:p w14:paraId="74A5FE37" w14:textId="77777777" w:rsidR="000205A0" w:rsidRPr="000E3328" w:rsidRDefault="000205A0" w:rsidP="000205A0"/>
    <w:p w14:paraId="1F1686BC" w14:textId="002CFA33" w:rsidR="000205A0" w:rsidRDefault="000205A0" w:rsidP="000205A0">
      <w:pPr>
        <w:numPr>
          <w:ilvl w:val="0"/>
          <w:numId w:val="1"/>
        </w:numPr>
      </w:pPr>
      <w:r w:rsidRPr="000E3328">
        <w:t xml:space="preserve">The </w:t>
      </w:r>
      <w:r w:rsidR="00980590">
        <w:t>top-up payment</w:t>
      </w:r>
      <w:r w:rsidRPr="000E3328">
        <w:t xml:space="preserve"> must be affordable and sustainable throughout the period that the Direct Payment is being used </w:t>
      </w:r>
    </w:p>
    <w:p w14:paraId="0D86F8EF" w14:textId="77777777" w:rsidR="000205A0" w:rsidRDefault="000205A0" w:rsidP="000205A0">
      <w:pPr>
        <w:pStyle w:val="ListParagraph"/>
        <w:rPr>
          <w:highlight w:val="yellow"/>
        </w:rPr>
      </w:pPr>
    </w:p>
    <w:p w14:paraId="0E08994E" w14:textId="61E031B9" w:rsidR="000205A0" w:rsidRPr="00A17BD5" w:rsidRDefault="007A6C8E" w:rsidP="000205A0">
      <w:pPr>
        <w:numPr>
          <w:ilvl w:val="0"/>
          <w:numId w:val="1"/>
        </w:numPr>
      </w:pPr>
      <w:r>
        <w:t xml:space="preserve">A </w:t>
      </w:r>
      <w:r w:rsidR="000205A0">
        <w:t xml:space="preserve">Social Care Worker </w:t>
      </w:r>
      <w:r>
        <w:t xml:space="preserve">will have a conversation with you </w:t>
      </w:r>
      <w:r w:rsidR="000205A0">
        <w:t>to ensure that the top</w:t>
      </w:r>
      <w:r w:rsidR="001E072C">
        <w:t>-</w:t>
      </w:r>
      <w:r w:rsidR="000205A0">
        <w:t>up payment is affordable</w:t>
      </w:r>
      <w:r w:rsidR="001E072C">
        <w:t xml:space="preserve"> and sustainable</w:t>
      </w:r>
      <w:r w:rsidR="000205A0">
        <w:t xml:space="preserve">. Where it is deemed that it is neither affordable nor sustainable a decision may be made as to whether the Direct </w:t>
      </w:r>
      <w:r w:rsidR="000205A0">
        <w:lastRenderedPageBreak/>
        <w:t xml:space="preserve">Payment is the most appropriate way to meet the needs of the </w:t>
      </w:r>
      <w:r>
        <w:t>person requiring support</w:t>
      </w:r>
      <w:r w:rsidR="000205A0">
        <w:t>, and other options considered.</w:t>
      </w:r>
    </w:p>
    <w:p w14:paraId="7AEE0CD0" w14:textId="77777777" w:rsidR="000205A0" w:rsidRDefault="000205A0" w:rsidP="000205A0">
      <w:pPr>
        <w:pStyle w:val="ListParagraph"/>
        <w:rPr>
          <w:highlight w:val="yellow"/>
        </w:rPr>
      </w:pPr>
    </w:p>
    <w:p w14:paraId="196E92B5" w14:textId="31D51792" w:rsidR="000205A0" w:rsidRDefault="000205A0" w:rsidP="000205A0">
      <w:pPr>
        <w:numPr>
          <w:ilvl w:val="0"/>
          <w:numId w:val="1"/>
        </w:numPr>
      </w:pPr>
      <w:r w:rsidRPr="00673DF7">
        <w:t xml:space="preserve">If </w:t>
      </w:r>
      <w:r>
        <w:t>the top-up becomes unaffordable</w:t>
      </w:r>
      <w:r w:rsidR="001E072C">
        <w:t xml:space="preserve"> during the period it is payable</w:t>
      </w:r>
      <w:r w:rsidRPr="00673DF7">
        <w:t xml:space="preserve">, </w:t>
      </w:r>
      <w:r>
        <w:t xml:space="preserve">the Social Work Team should be contacted as soon as possible. </w:t>
      </w:r>
    </w:p>
    <w:p w14:paraId="3928309E" w14:textId="77777777" w:rsidR="0039293A" w:rsidRDefault="0039293A" w:rsidP="00792CF2">
      <w:pPr>
        <w:pStyle w:val="ListParagraph"/>
      </w:pPr>
    </w:p>
    <w:p w14:paraId="56F61248" w14:textId="4DCDDA0D" w:rsidR="0039293A" w:rsidRDefault="0039293A" w:rsidP="000205A0">
      <w:pPr>
        <w:numPr>
          <w:ilvl w:val="0"/>
          <w:numId w:val="1"/>
        </w:numPr>
      </w:pPr>
      <w:r>
        <w:t xml:space="preserve">If the </w:t>
      </w:r>
      <w:r w:rsidR="00C06238">
        <w:t>Providers rate changes throughout the period that the Direct Payment is being used, the Social Work Team should be contacted as soon as possible so the Support plan can be adjusted to reflect new cost. This may impact on the level of top-up required.</w:t>
      </w:r>
    </w:p>
    <w:p w14:paraId="41FEE912" w14:textId="77777777" w:rsidR="000205A0" w:rsidRDefault="000205A0" w:rsidP="000205A0"/>
    <w:p w14:paraId="61B825DD" w14:textId="561C73FF" w:rsidR="000205A0" w:rsidRDefault="0039293A">
      <w:pPr>
        <w:numPr>
          <w:ilvl w:val="0"/>
          <w:numId w:val="1"/>
        </w:numPr>
      </w:pPr>
      <w:r>
        <w:t xml:space="preserve">The support package will be reviewed at least annually. </w:t>
      </w:r>
      <w:r w:rsidR="007809BF">
        <w:t>Where</w:t>
      </w:r>
      <w:r w:rsidR="004B6700">
        <w:t xml:space="preserve"> the top-up amount is affected </w:t>
      </w:r>
      <w:r>
        <w:t>by changes</w:t>
      </w:r>
      <w:r w:rsidR="000205A0">
        <w:t xml:space="preserve"> to </w:t>
      </w:r>
      <w:r w:rsidR="004B6700">
        <w:t xml:space="preserve">the </w:t>
      </w:r>
      <w:r w:rsidR="000205A0">
        <w:t xml:space="preserve">care and support provider </w:t>
      </w:r>
      <w:r w:rsidR="004B6700">
        <w:t xml:space="preserve">being used </w:t>
      </w:r>
      <w:r w:rsidR="000205A0">
        <w:t>or to the rate that the Council could provide equivalent services</w:t>
      </w:r>
      <w:r>
        <w:t>,</w:t>
      </w:r>
      <w:r w:rsidR="000205A0">
        <w:t xml:space="preserve"> </w:t>
      </w:r>
      <w:r>
        <w:t xml:space="preserve">The Council </w:t>
      </w:r>
      <w:r w:rsidR="000205A0">
        <w:t xml:space="preserve">will reassess </w:t>
      </w:r>
      <w:r>
        <w:t>and adjust the support plan. This will include considering whether a top-up is still required.</w:t>
      </w:r>
      <w:r w:rsidR="000205A0">
        <w:t xml:space="preserve"> </w:t>
      </w:r>
    </w:p>
    <w:p w14:paraId="70917509" w14:textId="77777777" w:rsidR="001E072C" w:rsidRDefault="001E072C" w:rsidP="00792CF2"/>
    <w:p w14:paraId="1F387BB1" w14:textId="77777777" w:rsidR="00C935CA" w:rsidRDefault="00C935CA" w:rsidP="00792CF2">
      <w:pPr>
        <w:pStyle w:val="ListParagraph"/>
      </w:pPr>
    </w:p>
    <w:p w14:paraId="54EDF956" w14:textId="77777777" w:rsidR="000205A0" w:rsidRPr="00424BBC" w:rsidRDefault="00C935CA" w:rsidP="00792CF2">
      <w:pPr>
        <w:numPr>
          <w:ilvl w:val="0"/>
          <w:numId w:val="1"/>
        </w:numPr>
      </w:pPr>
      <w:r>
        <w:t>Audits of the Direct Payment account by Adult Care Financial Services will review all payments into and out of the account over a specific period and calculate any underpayment or overpayment of the top-up.</w:t>
      </w:r>
    </w:p>
    <w:p w14:paraId="48832F62" w14:textId="77777777" w:rsidR="000205A0" w:rsidRPr="00424BBC" w:rsidRDefault="000205A0" w:rsidP="000205A0">
      <w:pPr>
        <w:pStyle w:val="ListParagraph"/>
      </w:pPr>
    </w:p>
    <w:p w14:paraId="6BBDA5F4" w14:textId="5688F11A" w:rsidR="000205A0" w:rsidRDefault="000205A0" w:rsidP="00C935CA">
      <w:pPr>
        <w:pStyle w:val="ListParagraph"/>
        <w:numPr>
          <w:ilvl w:val="0"/>
          <w:numId w:val="3"/>
        </w:numPr>
      </w:pPr>
      <w:r w:rsidRPr="00424BBC">
        <w:t xml:space="preserve">If the </w:t>
      </w:r>
      <w:r w:rsidR="00C935CA">
        <w:t xml:space="preserve">agreed </w:t>
      </w:r>
      <w:r w:rsidRPr="00424BBC">
        <w:t>top-up is not paid</w:t>
      </w:r>
      <w:r w:rsidR="00C935CA">
        <w:t xml:space="preserve"> where due</w:t>
      </w:r>
      <w:r w:rsidRPr="00424BBC">
        <w:t xml:space="preserve">, </w:t>
      </w:r>
      <w:r w:rsidR="00C935CA">
        <w:t>this will be considered a breach of this Direct Payment Top-Up Agreement and you will be invoiced for all outstanding top-up payments du</w:t>
      </w:r>
      <w:r w:rsidR="00F84CD1">
        <w:t>e</w:t>
      </w:r>
      <w:r w:rsidR="00C935CA">
        <w:t>.</w:t>
      </w:r>
      <w:r w:rsidR="00F84CD1">
        <w:t xml:space="preserve"> </w:t>
      </w:r>
      <w:r w:rsidR="00C935CA">
        <w:t>T</w:t>
      </w:r>
      <w:r w:rsidRPr="00424BBC">
        <w:t xml:space="preserve">he Direct Payment may be </w:t>
      </w:r>
      <w:r w:rsidR="007F45EA" w:rsidRPr="000E3328">
        <w:t>stopped,</w:t>
      </w:r>
      <w:r w:rsidRPr="000E3328">
        <w:t xml:space="preserve"> </w:t>
      </w:r>
      <w:r w:rsidR="00C935CA">
        <w:t xml:space="preserve">and the </w:t>
      </w:r>
      <w:r w:rsidR="007F45EA">
        <w:t>Direct Payment recipient’s</w:t>
      </w:r>
      <w:r w:rsidRPr="000E3328">
        <w:t xml:space="preserve"> support transferred to a </w:t>
      </w:r>
      <w:r w:rsidR="00CF64BF">
        <w:t>service managed by the Council.</w:t>
      </w:r>
    </w:p>
    <w:p w14:paraId="65947C4C" w14:textId="77777777" w:rsidR="00C935CA" w:rsidRPr="000E3328" w:rsidRDefault="00C935CA" w:rsidP="00792CF2">
      <w:pPr>
        <w:pStyle w:val="ListParagraph"/>
        <w:ind w:left="360"/>
      </w:pPr>
    </w:p>
    <w:p w14:paraId="0C7156CA" w14:textId="50DFD030" w:rsidR="000205A0" w:rsidRPr="00906D2A" w:rsidRDefault="000205A0" w:rsidP="000205A0">
      <w:pPr>
        <w:numPr>
          <w:ilvl w:val="0"/>
          <w:numId w:val="1"/>
        </w:numPr>
      </w:pPr>
      <w:r w:rsidRPr="000E3328">
        <w:t>Responsibility for top</w:t>
      </w:r>
      <w:r w:rsidR="00205551">
        <w:t>-</w:t>
      </w:r>
      <w:r w:rsidRPr="000E3328">
        <w:t xml:space="preserve">up payment – Authorised Person or </w:t>
      </w:r>
      <w:r w:rsidR="007F45EA">
        <w:t>Direct Payment recipient</w:t>
      </w:r>
      <w:r w:rsidRPr="000E3328">
        <w:t xml:space="preserve"> if self-managing.</w:t>
      </w:r>
    </w:p>
    <w:p w14:paraId="731B3B6D" w14:textId="77777777" w:rsidR="000205A0" w:rsidRDefault="000205A0" w:rsidP="000205A0"/>
    <w:p w14:paraId="76C3BFB4" w14:textId="2788B8D5" w:rsidR="00205551" w:rsidRDefault="000205A0" w:rsidP="00205551">
      <w:pPr>
        <w:numPr>
          <w:ilvl w:val="0"/>
          <w:numId w:val="1"/>
        </w:numPr>
      </w:pPr>
      <w:r>
        <w:t>It is advised that i</w:t>
      </w:r>
      <w:r w:rsidRPr="00673DF7">
        <w:t>ndependent legal or financial advice</w:t>
      </w:r>
      <w:r>
        <w:t xml:space="preserve"> should be sought by the </w:t>
      </w:r>
      <w:r w:rsidR="007F45EA">
        <w:t xml:space="preserve">Direct Payment recipient </w:t>
      </w:r>
      <w:r>
        <w:t>and or the Authorised Person</w:t>
      </w:r>
      <w:r w:rsidRPr="00673DF7">
        <w:t xml:space="preserve"> before entering into this agreement.</w:t>
      </w:r>
    </w:p>
    <w:p w14:paraId="4E9E4703" w14:textId="77777777" w:rsidR="00205551" w:rsidRDefault="00205551" w:rsidP="00792CF2">
      <w:pPr>
        <w:pStyle w:val="ListParagraph"/>
      </w:pPr>
    </w:p>
    <w:p w14:paraId="29172A37" w14:textId="77777777" w:rsidR="00205551" w:rsidRDefault="00205551" w:rsidP="00792CF2">
      <w:pPr>
        <w:ind w:left="284"/>
      </w:pPr>
      <w:r>
        <w:t xml:space="preserve">I the payer agree to pay the top-up amount as stated within the most recent Care and Support Plan with effect from </w:t>
      </w:r>
      <w:r w:rsidRPr="007F45EA">
        <w:rPr>
          <w:highlight w:val="yellow"/>
        </w:rPr>
        <w:t>(Insert Date)</w:t>
      </w:r>
      <w:r>
        <w:t xml:space="preserve"> Where the package is amended I will pay the amended rate as per the new Care and Support Plan.</w:t>
      </w:r>
    </w:p>
    <w:p w14:paraId="627D1E65" w14:textId="77777777" w:rsidR="000205A0" w:rsidRDefault="000205A0" w:rsidP="000205A0"/>
    <w:p w14:paraId="0D38B73C" w14:textId="77777777" w:rsidR="00CF64BF" w:rsidRDefault="00CF64BF" w:rsidP="000205A0"/>
    <w:p w14:paraId="73153448" w14:textId="687495BC" w:rsidR="000205A0" w:rsidRDefault="000205A0" w:rsidP="000205A0">
      <w:r w:rsidRPr="00660B8D">
        <w:t>I understand that these payments</w:t>
      </w:r>
      <w:r>
        <w:t xml:space="preserve"> are to top</w:t>
      </w:r>
      <w:r w:rsidR="00F84CD1">
        <w:t>-</w:t>
      </w:r>
      <w:r>
        <w:t xml:space="preserve">up the Direct Payment amount </w:t>
      </w:r>
      <w:r w:rsidR="00205551">
        <w:t xml:space="preserve">stated within the </w:t>
      </w:r>
      <w:r w:rsidR="00F84CD1">
        <w:t>c</w:t>
      </w:r>
      <w:r w:rsidR="00205551">
        <w:t xml:space="preserve">osting Section of the Care and Support plan </w:t>
      </w:r>
      <w:r>
        <w:t xml:space="preserve">in order to </w:t>
      </w:r>
      <w:r w:rsidRPr="00660B8D">
        <w:t xml:space="preserve">meet the difference between </w:t>
      </w:r>
      <w:r>
        <w:t>the</w:t>
      </w:r>
      <w:r w:rsidRPr="00660B8D">
        <w:t xml:space="preserve"> chosen care and support provider </w:t>
      </w:r>
      <w:r>
        <w:t>costs and</w:t>
      </w:r>
      <w:r w:rsidRPr="00660B8D">
        <w:t xml:space="preserve"> the amount which Nottinghamshire County Council is </w:t>
      </w:r>
      <w:r>
        <w:t xml:space="preserve">able </w:t>
      </w:r>
      <w:r w:rsidRPr="00660B8D">
        <w:t>to pay for this category of care</w:t>
      </w:r>
      <w:r>
        <w:t xml:space="preserve"> or where more hours have been chosen to be purchased from the Provider in addition to those outlined within the Support Plan.</w:t>
      </w:r>
    </w:p>
    <w:p w14:paraId="0F839F9A" w14:textId="77777777" w:rsidR="000205A0" w:rsidRDefault="000205A0" w:rsidP="000205A0"/>
    <w:p w14:paraId="478E8AB8" w14:textId="62AF2E03" w:rsidR="000205A0" w:rsidRDefault="000205A0" w:rsidP="000205A0">
      <w:pPr>
        <w:rPr>
          <w:rFonts w:cs="Arial"/>
          <w:bCs/>
          <w:iCs/>
        </w:rPr>
      </w:pPr>
      <w:r>
        <w:t>I understand that these payments are to top</w:t>
      </w:r>
      <w:r w:rsidR="00205551">
        <w:t>-</w:t>
      </w:r>
      <w:r>
        <w:t>up the Direct Payment to meet the difference between the chosen care and support provider costs and the amount which Nottinghamshire County Council has assessed is required to pay for this category of care</w:t>
      </w:r>
      <w:r w:rsidRPr="0034168B">
        <w:rPr>
          <w:rFonts w:cs="Arial"/>
        </w:rPr>
        <w:t xml:space="preserve">. </w:t>
      </w:r>
      <w:r w:rsidRPr="00CD6C59">
        <w:rPr>
          <w:rFonts w:cs="Arial"/>
        </w:rPr>
        <w:t> </w:t>
      </w:r>
      <w:r w:rsidRPr="00CD6C59">
        <w:rPr>
          <w:rFonts w:cs="Arial"/>
          <w:bCs/>
          <w:iCs/>
        </w:rPr>
        <w:t>I understand that I must pay the top</w:t>
      </w:r>
      <w:r w:rsidR="00205551">
        <w:rPr>
          <w:rFonts w:cs="Arial"/>
          <w:bCs/>
          <w:iCs/>
        </w:rPr>
        <w:t>-</w:t>
      </w:r>
      <w:r w:rsidRPr="00CD6C59">
        <w:rPr>
          <w:rFonts w:cs="Arial"/>
          <w:bCs/>
          <w:iCs/>
        </w:rPr>
        <w:t xml:space="preserve">up into the Direct Payment </w:t>
      </w:r>
      <w:r w:rsidRPr="00CD6C59">
        <w:rPr>
          <w:rFonts w:cs="Arial"/>
          <w:bCs/>
          <w:iCs/>
        </w:rPr>
        <w:lastRenderedPageBreak/>
        <w:t xml:space="preserve">account to cover each </w:t>
      </w:r>
      <w:r w:rsidRPr="0034168B">
        <w:rPr>
          <w:rFonts w:cs="Arial"/>
          <w:bCs/>
          <w:iCs/>
        </w:rPr>
        <w:t>hour</w:t>
      </w:r>
      <w:r w:rsidRPr="00CD6C59">
        <w:rPr>
          <w:rFonts w:cs="Arial"/>
          <w:bCs/>
          <w:iCs/>
        </w:rPr>
        <w:t xml:space="preserve"> support  receive</w:t>
      </w:r>
      <w:r w:rsidR="00F84CD1">
        <w:rPr>
          <w:rFonts w:cs="Arial"/>
          <w:bCs/>
          <w:iCs/>
        </w:rPr>
        <w:t>d</w:t>
      </w:r>
      <w:r w:rsidRPr="00CD6C59">
        <w:rPr>
          <w:rFonts w:cs="Arial"/>
          <w:bCs/>
          <w:iCs/>
        </w:rPr>
        <w:t xml:space="preserve"> and surplus funds in the Direct Payment account can’t be used to cover the top</w:t>
      </w:r>
      <w:r w:rsidR="00205551">
        <w:rPr>
          <w:rFonts w:cs="Arial"/>
          <w:bCs/>
          <w:iCs/>
        </w:rPr>
        <w:t>-</w:t>
      </w:r>
      <w:r w:rsidRPr="00CD6C59">
        <w:rPr>
          <w:rFonts w:cs="Arial"/>
          <w:bCs/>
          <w:iCs/>
        </w:rPr>
        <w:t>up</w:t>
      </w:r>
      <w:r>
        <w:rPr>
          <w:rFonts w:cs="Arial"/>
          <w:bCs/>
          <w:iCs/>
        </w:rPr>
        <w:t>.</w:t>
      </w:r>
    </w:p>
    <w:p w14:paraId="426CA264" w14:textId="77777777" w:rsidR="000205A0" w:rsidRPr="00673DF7" w:rsidRDefault="000205A0" w:rsidP="000205A0"/>
    <w:p w14:paraId="5C9E9F3B" w14:textId="0B60CF8A" w:rsidR="000205A0" w:rsidRDefault="000205A0" w:rsidP="000205A0">
      <w:r w:rsidRPr="00673DF7">
        <w:t xml:space="preserve">I understand that a further increase in the fees charged </w:t>
      </w:r>
      <w:r>
        <w:t xml:space="preserve">by the chosen care and support provider </w:t>
      </w:r>
      <w:r w:rsidRPr="00673DF7">
        <w:t xml:space="preserve">may result in an increase in the amount that I am liable to pay under this agreement.  I therefore accept that any change in fees </w:t>
      </w:r>
      <w:r>
        <w:t>will</w:t>
      </w:r>
      <w:r w:rsidRPr="00673DF7">
        <w:t xml:space="preserve"> result </w:t>
      </w:r>
      <w:r w:rsidR="00205551">
        <w:t xml:space="preserve">in the top-up amount within the </w:t>
      </w:r>
      <w:r w:rsidR="00F84CD1">
        <w:t>s</w:t>
      </w:r>
      <w:r w:rsidR="00205551">
        <w:t>upport plan being amended and the package reviewed to ensure the amended top-up amount is still affordable</w:t>
      </w:r>
    </w:p>
    <w:p w14:paraId="4C4F9085" w14:textId="77777777" w:rsidR="00CF64BF" w:rsidRDefault="00CF64BF" w:rsidP="000205A0"/>
    <w:p w14:paraId="23682259" w14:textId="1C06A83E" w:rsidR="00CF64BF" w:rsidRDefault="00CF64BF" w:rsidP="000205A0">
      <w:r>
        <w:t xml:space="preserve">I have read and understand all the above terms and conditions </w:t>
      </w:r>
    </w:p>
    <w:p w14:paraId="6CFA769D" w14:textId="77777777" w:rsidR="00CF64BF" w:rsidRDefault="00CF64BF" w:rsidP="000205A0"/>
    <w:p w14:paraId="5FA54D69" w14:textId="77777777" w:rsidR="00CF64BF" w:rsidRPr="00673DF7" w:rsidRDefault="00CF64BF" w:rsidP="000205A0"/>
    <w:p w14:paraId="63979008" w14:textId="77777777" w:rsidR="000205A0" w:rsidRPr="00673DF7" w:rsidRDefault="000205A0" w:rsidP="000205A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088"/>
      </w:tblGrid>
      <w:tr w:rsidR="000205A0" w:rsidRPr="00673DF7" w14:paraId="07B8495D" w14:textId="77777777" w:rsidTr="00184477">
        <w:trPr>
          <w:trHeight w:val="572"/>
        </w:trPr>
        <w:tc>
          <w:tcPr>
            <w:tcW w:w="3085" w:type="dxa"/>
            <w:shd w:val="clear" w:color="auto" w:fill="auto"/>
            <w:vAlign w:val="center"/>
          </w:tcPr>
          <w:p w14:paraId="487D6968" w14:textId="77777777" w:rsidR="000205A0" w:rsidRPr="00260190" w:rsidRDefault="000205A0" w:rsidP="00184477">
            <w:pPr>
              <w:rPr>
                <w:b/>
              </w:rPr>
            </w:pPr>
            <w:r>
              <w:rPr>
                <w:b/>
              </w:rPr>
              <w:t>Top-Up Payer</w:t>
            </w:r>
            <w:r w:rsidRPr="00260190">
              <w:rPr>
                <w:b/>
              </w:rPr>
              <w:t xml:space="preserve"> Name</w:t>
            </w:r>
          </w:p>
        </w:tc>
        <w:tc>
          <w:tcPr>
            <w:tcW w:w="7088" w:type="dxa"/>
            <w:shd w:val="clear" w:color="auto" w:fill="auto"/>
            <w:vAlign w:val="center"/>
          </w:tcPr>
          <w:p w14:paraId="0E41A735" w14:textId="444E4BC7" w:rsidR="000205A0" w:rsidRPr="00673DF7" w:rsidRDefault="000205A0" w:rsidP="00184477"/>
        </w:tc>
      </w:tr>
      <w:tr w:rsidR="000205A0" w:rsidRPr="00673DF7" w14:paraId="3F5A2114" w14:textId="77777777" w:rsidTr="00184477">
        <w:trPr>
          <w:trHeight w:val="1004"/>
        </w:trPr>
        <w:tc>
          <w:tcPr>
            <w:tcW w:w="3085" w:type="dxa"/>
            <w:shd w:val="clear" w:color="auto" w:fill="auto"/>
            <w:vAlign w:val="center"/>
          </w:tcPr>
          <w:p w14:paraId="43E33599" w14:textId="77777777" w:rsidR="000205A0" w:rsidRPr="00260190" w:rsidRDefault="000205A0" w:rsidP="00184477">
            <w:pPr>
              <w:rPr>
                <w:b/>
              </w:rPr>
            </w:pPr>
            <w:r w:rsidRPr="00260190">
              <w:rPr>
                <w:b/>
              </w:rPr>
              <w:t>Address</w:t>
            </w:r>
          </w:p>
          <w:p w14:paraId="7E8C0CFD" w14:textId="77777777" w:rsidR="000205A0" w:rsidRPr="00260190" w:rsidRDefault="000205A0" w:rsidP="00184477">
            <w:pPr>
              <w:rPr>
                <w:b/>
              </w:rPr>
            </w:pPr>
          </w:p>
        </w:tc>
        <w:tc>
          <w:tcPr>
            <w:tcW w:w="7088" w:type="dxa"/>
            <w:shd w:val="clear" w:color="auto" w:fill="auto"/>
            <w:vAlign w:val="center"/>
          </w:tcPr>
          <w:p w14:paraId="5DDB4104" w14:textId="0ABDF1A8" w:rsidR="000205A0" w:rsidRPr="00673DF7" w:rsidRDefault="000205A0" w:rsidP="00184477"/>
        </w:tc>
      </w:tr>
      <w:tr w:rsidR="000205A0" w:rsidRPr="00673DF7" w14:paraId="4441528F" w14:textId="77777777" w:rsidTr="00184477">
        <w:trPr>
          <w:trHeight w:val="525"/>
        </w:trPr>
        <w:tc>
          <w:tcPr>
            <w:tcW w:w="3085" w:type="dxa"/>
            <w:shd w:val="clear" w:color="auto" w:fill="auto"/>
            <w:vAlign w:val="center"/>
          </w:tcPr>
          <w:p w14:paraId="7FB3C1F2" w14:textId="77777777" w:rsidR="000205A0" w:rsidRPr="00260190" w:rsidRDefault="000205A0" w:rsidP="00184477">
            <w:pPr>
              <w:rPr>
                <w:b/>
              </w:rPr>
            </w:pPr>
            <w:r w:rsidRPr="00260190">
              <w:rPr>
                <w:b/>
              </w:rPr>
              <w:t>Signature</w:t>
            </w:r>
          </w:p>
        </w:tc>
        <w:tc>
          <w:tcPr>
            <w:tcW w:w="7088" w:type="dxa"/>
            <w:shd w:val="clear" w:color="auto" w:fill="auto"/>
            <w:vAlign w:val="center"/>
          </w:tcPr>
          <w:p w14:paraId="2E245E45" w14:textId="77777777" w:rsidR="000205A0" w:rsidRPr="00673DF7" w:rsidRDefault="000205A0" w:rsidP="00184477"/>
        </w:tc>
      </w:tr>
      <w:tr w:rsidR="000205A0" w:rsidRPr="00673DF7" w14:paraId="7947025E" w14:textId="77777777" w:rsidTr="00184477">
        <w:trPr>
          <w:trHeight w:val="519"/>
        </w:trPr>
        <w:tc>
          <w:tcPr>
            <w:tcW w:w="3085" w:type="dxa"/>
            <w:shd w:val="clear" w:color="auto" w:fill="auto"/>
            <w:vAlign w:val="center"/>
          </w:tcPr>
          <w:p w14:paraId="19091B75" w14:textId="77777777" w:rsidR="000205A0" w:rsidRPr="00260190" w:rsidRDefault="000205A0" w:rsidP="00184477">
            <w:pPr>
              <w:rPr>
                <w:b/>
              </w:rPr>
            </w:pPr>
            <w:r w:rsidRPr="00260190">
              <w:rPr>
                <w:b/>
              </w:rPr>
              <w:t>Date</w:t>
            </w:r>
          </w:p>
        </w:tc>
        <w:tc>
          <w:tcPr>
            <w:tcW w:w="7088" w:type="dxa"/>
            <w:shd w:val="clear" w:color="auto" w:fill="auto"/>
            <w:vAlign w:val="center"/>
          </w:tcPr>
          <w:p w14:paraId="0D6F1360" w14:textId="33EC5DC6" w:rsidR="000205A0" w:rsidRPr="00673DF7" w:rsidRDefault="000205A0" w:rsidP="00184477"/>
        </w:tc>
      </w:tr>
      <w:tr w:rsidR="000205A0" w:rsidRPr="00673DF7" w14:paraId="3972408B" w14:textId="77777777" w:rsidTr="00184477">
        <w:trPr>
          <w:trHeight w:val="519"/>
        </w:trPr>
        <w:tc>
          <w:tcPr>
            <w:tcW w:w="3085" w:type="dxa"/>
            <w:shd w:val="clear" w:color="auto" w:fill="auto"/>
            <w:vAlign w:val="center"/>
          </w:tcPr>
          <w:p w14:paraId="3432CEB4" w14:textId="77777777" w:rsidR="000205A0" w:rsidRPr="00294CFD" w:rsidRDefault="000205A0" w:rsidP="00184477">
            <w:pPr>
              <w:rPr>
                <w:b/>
                <w:color w:val="FF0000"/>
              </w:rPr>
            </w:pPr>
          </w:p>
        </w:tc>
        <w:tc>
          <w:tcPr>
            <w:tcW w:w="7088" w:type="dxa"/>
            <w:shd w:val="clear" w:color="auto" w:fill="auto"/>
            <w:vAlign w:val="center"/>
          </w:tcPr>
          <w:p w14:paraId="1C30A14A" w14:textId="5B384A72" w:rsidR="000205A0" w:rsidRDefault="000205A0" w:rsidP="00184477">
            <w:pPr>
              <w:pStyle w:val="ListParagraph"/>
              <w:numPr>
                <w:ilvl w:val="0"/>
                <w:numId w:val="2"/>
              </w:numPr>
            </w:pPr>
            <w:r>
              <w:t xml:space="preserve">Discussed with </w:t>
            </w:r>
            <w:r w:rsidR="00995B4B">
              <w:t xml:space="preserve">Authorised </w:t>
            </w:r>
            <w:r>
              <w:t>P</w:t>
            </w:r>
            <w:r w:rsidR="00995B4B">
              <w:t>erson</w:t>
            </w:r>
            <w:r>
              <w:t xml:space="preserve"> or </w:t>
            </w:r>
            <w:r w:rsidR="007F45EA">
              <w:t>Direct Payment recipient</w:t>
            </w:r>
            <w:r w:rsidR="007F45EA" w:rsidRPr="000E3328">
              <w:t xml:space="preserve"> </w:t>
            </w:r>
            <w:r>
              <w:t>and or Nominated Person</w:t>
            </w:r>
          </w:p>
          <w:p w14:paraId="10A85BD1" w14:textId="77777777" w:rsidR="000205A0" w:rsidRPr="00DB5200" w:rsidRDefault="000205A0" w:rsidP="00184477">
            <w:pPr>
              <w:pStyle w:val="ListParagraph"/>
              <w:numPr>
                <w:ilvl w:val="0"/>
                <w:numId w:val="2"/>
              </w:numPr>
            </w:pPr>
            <w:r w:rsidRPr="00DB5200">
              <w:t>Satisfied that affordable and sustainable</w:t>
            </w:r>
          </w:p>
          <w:p w14:paraId="25D722CA" w14:textId="2B08AF0E" w:rsidR="000205A0" w:rsidRDefault="000205A0" w:rsidP="00184477">
            <w:pPr>
              <w:pStyle w:val="ListParagraph"/>
              <w:numPr>
                <w:ilvl w:val="0"/>
                <w:numId w:val="2"/>
              </w:numPr>
            </w:pPr>
            <w:r w:rsidRPr="00DB5200">
              <w:t xml:space="preserve">Satisfied that understood by </w:t>
            </w:r>
            <w:r w:rsidR="007F45EA">
              <w:t>DP Recipient</w:t>
            </w:r>
            <w:r w:rsidRPr="00DB5200">
              <w:t>/AP, NP</w:t>
            </w:r>
          </w:p>
          <w:p w14:paraId="495E6C42" w14:textId="3EA072CB" w:rsidR="00205551" w:rsidRDefault="00205551" w:rsidP="00184477">
            <w:pPr>
              <w:pStyle w:val="ListParagraph"/>
              <w:numPr>
                <w:ilvl w:val="0"/>
                <w:numId w:val="2"/>
              </w:numPr>
            </w:pPr>
            <w:r>
              <w:t>Copy of Support plan has been provided which covers up</w:t>
            </w:r>
            <w:r w:rsidR="00995B4B">
              <w:t xml:space="preserve"> </w:t>
            </w:r>
            <w:r>
              <w:t>to date top-up figures.</w:t>
            </w:r>
          </w:p>
          <w:p w14:paraId="2C60B295" w14:textId="2C3D59B0" w:rsidR="00995B4B" w:rsidRPr="00DB5200" w:rsidRDefault="00995B4B" w:rsidP="00184477">
            <w:pPr>
              <w:pStyle w:val="ListParagraph"/>
              <w:numPr>
                <w:ilvl w:val="0"/>
                <w:numId w:val="2"/>
              </w:numPr>
            </w:pPr>
            <w:r>
              <w:t>Information has been provided on how the needs could be met via an equivalent service commissioned through the Council.</w:t>
            </w:r>
          </w:p>
          <w:p w14:paraId="466C07C1" w14:textId="77777777" w:rsidR="000205A0" w:rsidRPr="00673DF7" w:rsidRDefault="000205A0" w:rsidP="00184477"/>
        </w:tc>
      </w:tr>
      <w:tr w:rsidR="000205A0" w:rsidRPr="00673DF7" w14:paraId="1B7AD41D" w14:textId="77777777" w:rsidTr="00184477">
        <w:trPr>
          <w:trHeight w:val="573"/>
        </w:trPr>
        <w:tc>
          <w:tcPr>
            <w:tcW w:w="3085" w:type="dxa"/>
            <w:shd w:val="clear" w:color="auto" w:fill="auto"/>
            <w:vAlign w:val="center"/>
          </w:tcPr>
          <w:p w14:paraId="6F22EEA2" w14:textId="77777777" w:rsidR="000205A0" w:rsidRPr="00260190" w:rsidRDefault="000205A0" w:rsidP="00184477">
            <w:pPr>
              <w:rPr>
                <w:b/>
              </w:rPr>
            </w:pPr>
            <w:r w:rsidRPr="00260190">
              <w:rPr>
                <w:b/>
              </w:rPr>
              <w:t xml:space="preserve">Care Worker </w:t>
            </w:r>
          </w:p>
        </w:tc>
        <w:tc>
          <w:tcPr>
            <w:tcW w:w="7088" w:type="dxa"/>
            <w:shd w:val="clear" w:color="auto" w:fill="auto"/>
            <w:vAlign w:val="center"/>
          </w:tcPr>
          <w:p w14:paraId="2A29AA66" w14:textId="0DD6410F" w:rsidR="000205A0" w:rsidRPr="00673DF7" w:rsidRDefault="000205A0" w:rsidP="00184477"/>
        </w:tc>
      </w:tr>
      <w:tr w:rsidR="000205A0" w:rsidRPr="00673DF7" w14:paraId="645F6EA7" w14:textId="77777777" w:rsidTr="00184477">
        <w:trPr>
          <w:trHeight w:val="519"/>
        </w:trPr>
        <w:tc>
          <w:tcPr>
            <w:tcW w:w="3085" w:type="dxa"/>
            <w:shd w:val="clear" w:color="auto" w:fill="auto"/>
            <w:vAlign w:val="center"/>
          </w:tcPr>
          <w:p w14:paraId="522813D5" w14:textId="77777777" w:rsidR="000205A0" w:rsidRPr="00260190" w:rsidRDefault="000205A0" w:rsidP="00184477">
            <w:pPr>
              <w:rPr>
                <w:b/>
              </w:rPr>
            </w:pPr>
            <w:r w:rsidRPr="00260190">
              <w:rPr>
                <w:b/>
              </w:rPr>
              <w:t>Base</w:t>
            </w:r>
          </w:p>
        </w:tc>
        <w:tc>
          <w:tcPr>
            <w:tcW w:w="7088" w:type="dxa"/>
            <w:shd w:val="clear" w:color="auto" w:fill="auto"/>
            <w:vAlign w:val="center"/>
          </w:tcPr>
          <w:p w14:paraId="668DAE2A" w14:textId="6F8AA4E7" w:rsidR="000205A0" w:rsidRPr="00673DF7" w:rsidRDefault="000205A0" w:rsidP="00184477"/>
        </w:tc>
      </w:tr>
      <w:tr w:rsidR="000205A0" w:rsidRPr="00673DF7" w14:paraId="699E5002" w14:textId="77777777" w:rsidTr="00184477">
        <w:trPr>
          <w:trHeight w:val="573"/>
        </w:trPr>
        <w:tc>
          <w:tcPr>
            <w:tcW w:w="3085" w:type="dxa"/>
            <w:shd w:val="clear" w:color="auto" w:fill="auto"/>
            <w:vAlign w:val="center"/>
          </w:tcPr>
          <w:p w14:paraId="3C24DE00" w14:textId="77777777" w:rsidR="000205A0" w:rsidRPr="00260190" w:rsidRDefault="000205A0" w:rsidP="00184477">
            <w:pPr>
              <w:rPr>
                <w:b/>
              </w:rPr>
            </w:pPr>
            <w:r w:rsidRPr="00260190">
              <w:rPr>
                <w:b/>
              </w:rPr>
              <w:t>Signature</w:t>
            </w:r>
          </w:p>
        </w:tc>
        <w:tc>
          <w:tcPr>
            <w:tcW w:w="7088" w:type="dxa"/>
            <w:shd w:val="clear" w:color="auto" w:fill="auto"/>
            <w:vAlign w:val="center"/>
          </w:tcPr>
          <w:p w14:paraId="6D657DF7" w14:textId="77777777" w:rsidR="000205A0" w:rsidRPr="00673DF7" w:rsidRDefault="000205A0" w:rsidP="00184477"/>
        </w:tc>
      </w:tr>
      <w:tr w:rsidR="000205A0" w:rsidRPr="00673DF7" w14:paraId="1D928FE5" w14:textId="77777777" w:rsidTr="00184477">
        <w:trPr>
          <w:trHeight w:val="573"/>
        </w:trPr>
        <w:tc>
          <w:tcPr>
            <w:tcW w:w="3085" w:type="dxa"/>
            <w:shd w:val="clear" w:color="auto" w:fill="auto"/>
            <w:vAlign w:val="center"/>
          </w:tcPr>
          <w:p w14:paraId="7970507D" w14:textId="77777777" w:rsidR="000205A0" w:rsidRPr="00260190" w:rsidRDefault="000205A0" w:rsidP="00184477">
            <w:pPr>
              <w:rPr>
                <w:b/>
              </w:rPr>
            </w:pPr>
            <w:r w:rsidRPr="00260190">
              <w:rPr>
                <w:b/>
              </w:rPr>
              <w:t>Date</w:t>
            </w:r>
          </w:p>
        </w:tc>
        <w:tc>
          <w:tcPr>
            <w:tcW w:w="7088" w:type="dxa"/>
            <w:shd w:val="clear" w:color="auto" w:fill="auto"/>
            <w:vAlign w:val="center"/>
          </w:tcPr>
          <w:p w14:paraId="64CCBD99" w14:textId="34E5248F" w:rsidR="000205A0" w:rsidRPr="00673DF7" w:rsidRDefault="000205A0" w:rsidP="00184477"/>
        </w:tc>
      </w:tr>
    </w:tbl>
    <w:p w14:paraId="1AA6FA98" w14:textId="77777777" w:rsidR="000205A0" w:rsidRPr="00673DF7" w:rsidRDefault="000205A0" w:rsidP="000205A0"/>
    <w:p w14:paraId="3C22C238" w14:textId="77777777" w:rsidR="007C35ED" w:rsidRDefault="007C35ED"/>
    <w:sectPr w:rsidR="007C3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4FD4"/>
    <w:multiLevelType w:val="hybridMultilevel"/>
    <w:tmpl w:val="66789888"/>
    <w:lvl w:ilvl="0" w:tplc="93B289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82AF9"/>
    <w:multiLevelType w:val="hybridMultilevel"/>
    <w:tmpl w:val="92264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325C02"/>
    <w:multiLevelType w:val="hybridMultilevel"/>
    <w:tmpl w:val="DF9E4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0914730">
    <w:abstractNumId w:val="0"/>
  </w:num>
  <w:num w:numId="2" w16cid:durableId="566964630">
    <w:abstractNumId w:val="1"/>
  </w:num>
  <w:num w:numId="3" w16cid:durableId="88298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A0"/>
    <w:rsid w:val="000205A0"/>
    <w:rsid w:val="00101800"/>
    <w:rsid w:val="00104E78"/>
    <w:rsid w:val="00121E94"/>
    <w:rsid w:val="001E072C"/>
    <w:rsid w:val="00205551"/>
    <w:rsid w:val="002F075B"/>
    <w:rsid w:val="00310E29"/>
    <w:rsid w:val="0039293A"/>
    <w:rsid w:val="003E0107"/>
    <w:rsid w:val="004B6700"/>
    <w:rsid w:val="005941E1"/>
    <w:rsid w:val="005D2650"/>
    <w:rsid w:val="0060376F"/>
    <w:rsid w:val="007809BF"/>
    <w:rsid w:val="00792CF2"/>
    <w:rsid w:val="007A2C73"/>
    <w:rsid w:val="007A6C8E"/>
    <w:rsid w:val="007C35ED"/>
    <w:rsid w:val="007F45EA"/>
    <w:rsid w:val="008903E1"/>
    <w:rsid w:val="008D6E6F"/>
    <w:rsid w:val="009543F2"/>
    <w:rsid w:val="00980590"/>
    <w:rsid w:val="009839E9"/>
    <w:rsid w:val="00986A3D"/>
    <w:rsid w:val="00995B4B"/>
    <w:rsid w:val="009D0D0E"/>
    <w:rsid w:val="00AB0A2E"/>
    <w:rsid w:val="00C06238"/>
    <w:rsid w:val="00C85665"/>
    <w:rsid w:val="00C935CA"/>
    <w:rsid w:val="00CF64BF"/>
    <w:rsid w:val="00E8744F"/>
    <w:rsid w:val="00F84CD1"/>
    <w:rsid w:val="00F9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7168"/>
  <w15:chartTrackingRefBased/>
  <w15:docId w15:val="{5895E178-37E1-4229-9DA7-82C6661E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A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5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05A0"/>
    <w:pPr>
      <w:tabs>
        <w:tab w:val="center" w:pos="4153"/>
        <w:tab w:val="right" w:pos="8306"/>
      </w:tabs>
    </w:pPr>
  </w:style>
  <w:style w:type="character" w:customStyle="1" w:styleId="HeaderChar">
    <w:name w:val="Header Char"/>
    <w:basedOn w:val="DefaultParagraphFont"/>
    <w:link w:val="Header"/>
    <w:rsid w:val="000205A0"/>
    <w:rPr>
      <w:rFonts w:ascii="Arial" w:eastAsia="Times New Roman" w:hAnsi="Arial" w:cs="Times New Roman"/>
      <w:sz w:val="24"/>
      <w:szCs w:val="24"/>
      <w:lang w:eastAsia="en-GB"/>
    </w:rPr>
  </w:style>
  <w:style w:type="paragraph" w:styleId="ListParagraph">
    <w:name w:val="List Paragraph"/>
    <w:basedOn w:val="Normal"/>
    <w:uiPriority w:val="34"/>
    <w:qFormat/>
    <w:rsid w:val="000205A0"/>
    <w:pPr>
      <w:ind w:left="720"/>
    </w:pPr>
  </w:style>
  <w:style w:type="paragraph" w:styleId="BalloonText">
    <w:name w:val="Balloon Text"/>
    <w:basedOn w:val="Normal"/>
    <w:link w:val="BalloonTextChar"/>
    <w:uiPriority w:val="99"/>
    <w:semiHidden/>
    <w:unhideWhenUsed/>
    <w:rsid w:val="00780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9BF"/>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121E94"/>
    <w:rPr>
      <w:sz w:val="16"/>
      <w:szCs w:val="16"/>
    </w:rPr>
  </w:style>
  <w:style w:type="paragraph" w:styleId="CommentText">
    <w:name w:val="annotation text"/>
    <w:basedOn w:val="Normal"/>
    <w:link w:val="CommentTextChar"/>
    <w:uiPriority w:val="99"/>
    <w:semiHidden/>
    <w:unhideWhenUsed/>
    <w:rsid w:val="00121E94"/>
    <w:rPr>
      <w:sz w:val="20"/>
      <w:szCs w:val="20"/>
    </w:rPr>
  </w:style>
  <w:style w:type="character" w:customStyle="1" w:styleId="CommentTextChar">
    <w:name w:val="Comment Text Char"/>
    <w:basedOn w:val="DefaultParagraphFont"/>
    <w:link w:val="CommentText"/>
    <w:uiPriority w:val="99"/>
    <w:semiHidden/>
    <w:rsid w:val="00121E9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1E94"/>
    <w:rPr>
      <w:b/>
      <w:bCs/>
    </w:rPr>
  </w:style>
  <w:style w:type="character" w:customStyle="1" w:styleId="CommentSubjectChar">
    <w:name w:val="Comment Subject Char"/>
    <w:basedOn w:val="CommentTextChar"/>
    <w:link w:val="CommentSubject"/>
    <w:uiPriority w:val="99"/>
    <w:semiHidden/>
    <w:rsid w:val="00121E94"/>
    <w:rPr>
      <w:rFonts w:ascii="Arial" w:eastAsia="Times New Roman" w:hAnsi="Arial" w:cs="Times New Roman"/>
      <w:b/>
      <w:bCs/>
      <w:sz w:val="20"/>
      <w:szCs w:val="20"/>
      <w:lang w:eastAsia="en-GB"/>
    </w:rPr>
  </w:style>
  <w:style w:type="paragraph" w:styleId="Revision">
    <w:name w:val="Revision"/>
    <w:hidden/>
    <w:uiPriority w:val="99"/>
    <w:semiHidden/>
    <w:rsid w:val="007F45EA"/>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Stronach</dc:creator>
  <cp:keywords/>
  <dc:description/>
  <cp:lastModifiedBy>Emma Richards</cp:lastModifiedBy>
  <cp:revision>2</cp:revision>
  <dcterms:created xsi:type="dcterms:W3CDTF">2025-09-03T14:00:00Z</dcterms:created>
  <dcterms:modified xsi:type="dcterms:W3CDTF">2025-09-03T14:00:00Z</dcterms:modified>
</cp:coreProperties>
</file>