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7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90721B" w:rsidP="005D74A7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Breakfast Club</w:t>
            </w:r>
            <w:r w:rsidR="002A2F47">
              <w:rPr>
                <w:b/>
                <w:color w:val="FFFFFF"/>
                <w:sz w:val="32"/>
                <w:szCs w:val="32"/>
              </w:rPr>
              <w:t xml:space="preserve"> Risk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5D74A7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90721B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BREAKFAST CLUB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72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389"/>
      </w:tblGrid>
      <w:tr w:rsidR="00BC67F5" w:rsidRPr="00BC67F5" w:rsidTr="005669CA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811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5669CA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5669CA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  <w:p w:rsidR="0090721B" w:rsidRPr="0082177D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 w:rsidRPr="0082177D">
              <w:rPr>
                <w:rFonts w:cs="Arial"/>
                <w:b/>
                <w:sz w:val="16"/>
                <w:szCs w:val="16"/>
                <w:lang w:eastAsia="en-US"/>
              </w:rPr>
              <w:t>Parental Consent</w:t>
            </w:r>
          </w:p>
        </w:tc>
        <w:tc>
          <w:tcPr>
            <w:tcW w:w="527" w:type="pct"/>
          </w:tcPr>
          <w:p w:rsidR="0090721B" w:rsidRPr="00BC67F5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Parents are provided formal consent for their child to attend the breakfast club.</w:t>
            </w:r>
          </w:p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The up to date contact details of parents are known (in the event of an emergency, cancellation of the club, missing pupils, any unforeseen problems).</w:t>
            </w:r>
          </w:p>
          <w:p w:rsidR="0090721B" w:rsidRPr="003F597D" w:rsidRDefault="0090721B" w:rsidP="009072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  <w:p w:rsidR="0090721B" w:rsidRPr="0082177D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2177D">
              <w:rPr>
                <w:rFonts w:cs="Arial"/>
                <w:b/>
                <w:sz w:val="16"/>
                <w:szCs w:val="18"/>
                <w:lang w:eastAsia="en-US"/>
              </w:rPr>
              <w:t>Security</w:t>
            </w:r>
          </w:p>
        </w:tc>
        <w:tc>
          <w:tcPr>
            <w:tcW w:w="527" w:type="pct"/>
          </w:tcPr>
          <w:p w:rsidR="0090721B" w:rsidRPr="00BC67F5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area used by the breakfast club is adequately segregated from the areas being used by cleaners / staff in school.</w:t>
            </w:r>
          </w:p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communication link / phone is available in the area used by the breakfast club.</w:t>
            </w:r>
          </w:p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Arrangements are in place for the safety of pupils being ‘dropped off’ at the breakfast club and between the club finishing and school starting.</w:t>
            </w:r>
          </w:p>
          <w:p w:rsidR="0090721B" w:rsidRPr="00BC67F5" w:rsidRDefault="0090721B" w:rsidP="009072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sz w:val="16"/>
                <w:szCs w:val="20"/>
              </w:rPr>
            </w:pPr>
          </w:p>
          <w:p w:rsidR="0090721B" w:rsidRPr="0082177D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2177D">
              <w:rPr>
                <w:b/>
                <w:sz w:val="16"/>
                <w:szCs w:val="20"/>
              </w:rPr>
              <w:t>Supervision</w:t>
            </w:r>
          </w:p>
          <w:p w:rsidR="0090721B" w:rsidRDefault="0090721B" w:rsidP="0090721B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90721B" w:rsidRPr="003F597D" w:rsidRDefault="0090721B" w:rsidP="009072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</w:tcPr>
          <w:p w:rsidR="0090721B" w:rsidRPr="00BC67F5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Supervision levels / ratios are appropriate (taking into account staff absenteeism / holidays / sickness).</w:t>
            </w:r>
          </w:p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Supervising staff have been DBS checked.</w:t>
            </w:r>
          </w:p>
          <w:p w:rsidR="0090721B" w:rsidRPr="003F597D" w:rsidRDefault="0090721B" w:rsidP="0090721B">
            <w:pPr>
              <w:ind w:firstLine="72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sz w:val="16"/>
                <w:szCs w:val="20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20"/>
              </w:rPr>
              <w:t>Information relating to pupils</w:t>
            </w:r>
          </w:p>
          <w:p w:rsidR="0090721B" w:rsidRPr="003F597D" w:rsidRDefault="0090721B" w:rsidP="009072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</w:tcPr>
          <w:p w:rsidR="0090721B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A85D3D" w:rsidRPr="00BC67F5" w:rsidRDefault="00A85D3D" w:rsidP="00A85D3D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21D46">
              <w:rPr>
                <w:sz w:val="16"/>
                <w:szCs w:val="16"/>
              </w:rPr>
              <w:t xml:space="preserve">Staff, pupils and visitors may receive ill-health as a result of contact with </w:t>
            </w:r>
            <w:r>
              <w:rPr>
                <w:sz w:val="16"/>
                <w:szCs w:val="16"/>
              </w:rPr>
              <w:t>food stuffs.</w:t>
            </w: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Suitable arrangements are in place for breakfast club staff to receive adequate information from parents / school relating to the pupils attending the club, i.e. pupil medical, dietary, behavioural or other specific needs, i.e. allergies.</w:t>
            </w:r>
          </w:p>
          <w:p w:rsidR="0090721B" w:rsidRPr="003F597D" w:rsidRDefault="0090721B" w:rsidP="0090721B">
            <w:pPr>
              <w:ind w:firstLine="72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16"/>
              </w:rPr>
              <w:t>Use of schools own equipment</w:t>
            </w:r>
          </w:p>
        </w:tc>
        <w:tc>
          <w:tcPr>
            <w:tcW w:w="527" w:type="pct"/>
          </w:tcPr>
          <w:p w:rsidR="0090721B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DC258F" w:rsidRPr="00BC67F5" w:rsidRDefault="00DC258F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21D46">
              <w:rPr>
                <w:sz w:val="16"/>
                <w:szCs w:val="16"/>
              </w:rPr>
              <w:t>Staff, pupils and visitors may receive ill-health as a result of contact with contaminated equipment.</w:t>
            </w: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prior formal agreement has been established as to what school equipment may / may not be used by the breakfast club.</w:t>
            </w:r>
          </w:p>
          <w:p w:rsidR="0090721B" w:rsidRDefault="0090721B" w:rsidP="0090721B">
            <w:pPr>
              <w:rPr>
                <w:sz w:val="16"/>
                <w:szCs w:val="16"/>
              </w:rPr>
            </w:pPr>
          </w:p>
          <w:p w:rsidR="0090721B" w:rsidRDefault="0090721B" w:rsidP="0090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Breakfast club staff have received training / instruction / information, as appropriate, in relation to the use of school equipment.</w:t>
            </w:r>
          </w:p>
          <w:p w:rsidR="0090721B" w:rsidRPr="00BC67F5" w:rsidRDefault="0090721B" w:rsidP="009072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16"/>
              </w:rPr>
              <w:t>Fire / emergency procedures</w:t>
            </w:r>
          </w:p>
        </w:tc>
        <w:tc>
          <w:tcPr>
            <w:tcW w:w="527" w:type="pct"/>
          </w:tcPr>
          <w:p w:rsidR="0090721B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DC258F" w:rsidRPr="00BC67F5" w:rsidRDefault="00DC258F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21D46">
              <w:rPr>
                <w:sz w:val="16"/>
                <w:szCs w:val="16"/>
              </w:rPr>
              <w:t>Staff, pupils, visitors and members of the public may receive burns, scalds and ill-health effects from smoke inhalation if there are no provisions to fight a fire.</w:t>
            </w: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9D4131">
              <w:rPr>
                <w:rFonts w:cs="Arial"/>
                <w:sz w:val="16"/>
                <w:szCs w:val="16"/>
              </w:rPr>
              <w:t xml:space="preserve">he existing school fire risk assessment been </w:t>
            </w:r>
            <w:r>
              <w:rPr>
                <w:rFonts w:cs="Arial"/>
                <w:sz w:val="16"/>
                <w:szCs w:val="16"/>
              </w:rPr>
              <w:t xml:space="preserve">has been </w:t>
            </w:r>
            <w:r w:rsidRPr="009D4131">
              <w:rPr>
                <w:rFonts w:cs="Arial"/>
                <w:sz w:val="16"/>
                <w:szCs w:val="16"/>
              </w:rPr>
              <w:t>reviewed in respect to the break</w:t>
            </w:r>
            <w:r>
              <w:rPr>
                <w:rFonts w:cs="Arial"/>
                <w:sz w:val="16"/>
                <w:szCs w:val="16"/>
              </w:rPr>
              <w:t>fast club arrangements.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9D4131">
              <w:rPr>
                <w:rFonts w:cs="Arial"/>
                <w:sz w:val="16"/>
                <w:szCs w:val="16"/>
              </w:rPr>
              <w:t xml:space="preserve">ll breakfast club staff </w:t>
            </w:r>
            <w:r>
              <w:rPr>
                <w:rFonts w:cs="Arial"/>
                <w:sz w:val="16"/>
                <w:szCs w:val="16"/>
              </w:rPr>
              <w:t xml:space="preserve">are </w:t>
            </w:r>
            <w:r w:rsidRPr="009D4131">
              <w:rPr>
                <w:rFonts w:cs="Arial"/>
                <w:sz w:val="16"/>
                <w:szCs w:val="16"/>
              </w:rPr>
              <w:t>familiar with the fire evacuation procedures for the premises, i.e. sound of the alarm, location of exit doors, location of fire assembly point, responsibility for contact</w:t>
            </w:r>
            <w:r>
              <w:rPr>
                <w:rFonts w:cs="Arial"/>
                <w:sz w:val="16"/>
                <w:szCs w:val="16"/>
              </w:rPr>
              <w:t>ing the emergency services, etc.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Pr="005669CA" w:rsidRDefault="0090721B" w:rsidP="009072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9D4131">
              <w:rPr>
                <w:rFonts w:cs="Arial"/>
                <w:sz w:val="16"/>
                <w:szCs w:val="16"/>
              </w:rPr>
              <w:t>ire drills</w:t>
            </w:r>
            <w:r>
              <w:rPr>
                <w:rFonts w:cs="Arial"/>
                <w:sz w:val="16"/>
                <w:szCs w:val="16"/>
              </w:rPr>
              <w:t xml:space="preserve"> are</w:t>
            </w:r>
            <w:r w:rsidRPr="009D4131">
              <w:rPr>
                <w:rFonts w:cs="Arial"/>
                <w:sz w:val="16"/>
                <w:szCs w:val="16"/>
              </w:rPr>
              <w:t xml:space="preserve"> conducted with staff and pupils attending the breakfast </w:t>
            </w:r>
            <w:r>
              <w:rPr>
                <w:rFonts w:cs="Arial"/>
                <w:sz w:val="16"/>
                <w:szCs w:val="16"/>
              </w:rPr>
              <w:t>club.</w:t>
            </w: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16"/>
              </w:rPr>
              <w:t>First aid / administration of medication</w:t>
            </w:r>
          </w:p>
        </w:tc>
        <w:tc>
          <w:tcPr>
            <w:tcW w:w="527" w:type="pct"/>
          </w:tcPr>
          <w:p w:rsidR="0090721B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DC258F" w:rsidRPr="00BC67F5" w:rsidRDefault="00DC258F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9D4131">
              <w:rPr>
                <w:rFonts w:cs="Arial"/>
                <w:sz w:val="16"/>
                <w:szCs w:val="16"/>
              </w:rPr>
              <w:t>ufficient numbers of first aid kits</w:t>
            </w:r>
            <w:r>
              <w:rPr>
                <w:rFonts w:cs="Arial"/>
                <w:sz w:val="16"/>
                <w:szCs w:val="16"/>
              </w:rPr>
              <w:t xml:space="preserve"> are available.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9D4131">
              <w:rPr>
                <w:rFonts w:cs="Arial"/>
                <w:sz w:val="16"/>
                <w:szCs w:val="16"/>
              </w:rPr>
              <w:t xml:space="preserve">ll breakfast club staff </w:t>
            </w:r>
            <w:r>
              <w:rPr>
                <w:rFonts w:cs="Arial"/>
                <w:sz w:val="16"/>
                <w:szCs w:val="16"/>
              </w:rPr>
              <w:t xml:space="preserve">are </w:t>
            </w:r>
            <w:r w:rsidRPr="009D4131">
              <w:rPr>
                <w:rFonts w:cs="Arial"/>
                <w:sz w:val="16"/>
                <w:szCs w:val="16"/>
              </w:rPr>
              <w:t xml:space="preserve">familiar with </w:t>
            </w:r>
            <w:r>
              <w:rPr>
                <w:rFonts w:cs="Arial"/>
                <w:sz w:val="16"/>
                <w:szCs w:val="16"/>
              </w:rPr>
              <w:t>Accident Reporting procedures.</w:t>
            </w:r>
          </w:p>
          <w:p w:rsidR="00A85D3D" w:rsidRDefault="00A85D3D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9D4131">
              <w:rPr>
                <w:rFonts w:cs="Arial"/>
                <w:sz w:val="16"/>
                <w:szCs w:val="16"/>
              </w:rPr>
              <w:t xml:space="preserve">arental consent </w:t>
            </w:r>
            <w:r>
              <w:rPr>
                <w:rFonts w:cs="Arial"/>
                <w:sz w:val="16"/>
                <w:szCs w:val="16"/>
              </w:rPr>
              <w:t xml:space="preserve">is </w:t>
            </w:r>
            <w:r w:rsidRPr="009D4131">
              <w:rPr>
                <w:rFonts w:cs="Arial"/>
                <w:sz w:val="16"/>
                <w:szCs w:val="16"/>
              </w:rPr>
              <w:t>obtained prior to medicati</w:t>
            </w:r>
            <w:r>
              <w:rPr>
                <w:rFonts w:cs="Arial"/>
                <w:sz w:val="16"/>
                <w:szCs w:val="16"/>
              </w:rPr>
              <w:t>on being administered to pupils.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Pr="005669CA" w:rsidRDefault="0090721B" w:rsidP="005669CA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9D4131">
              <w:rPr>
                <w:rFonts w:cs="Arial"/>
                <w:sz w:val="16"/>
                <w:szCs w:val="16"/>
              </w:rPr>
              <w:t xml:space="preserve">taff who administer medicines </w:t>
            </w:r>
            <w:r>
              <w:rPr>
                <w:rFonts w:cs="Arial"/>
                <w:sz w:val="16"/>
                <w:szCs w:val="16"/>
              </w:rPr>
              <w:t>have received appropriate training.</w:t>
            </w: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b/>
                <w:sz w:val="16"/>
                <w:szCs w:val="16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16"/>
              </w:rPr>
              <w:t>Electrical Safety</w:t>
            </w:r>
          </w:p>
        </w:tc>
        <w:tc>
          <w:tcPr>
            <w:tcW w:w="527" w:type="pct"/>
          </w:tcPr>
          <w:p w:rsidR="0090721B" w:rsidRPr="00BC67F5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9D4131">
              <w:rPr>
                <w:rFonts w:cs="Arial"/>
                <w:sz w:val="16"/>
                <w:szCs w:val="16"/>
              </w:rPr>
              <w:t xml:space="preserve">rrangements </w:t>
            </w:r>
            <w:r>
              <w:rPr>
                <w:rFonts w:cs="Arial"/>
                <w:sz w:val="16"/>
                <w:szCs w:val="16"/>
              </w:rPr>
              <w:t xml:space="preserve">are </w:t>
            </w:r>
            <w:r w:rsidRPr="009D4131">
              <w:rPr>
                <w:rFonts w:cs="Arial"/>
                <w:sz w:val="16"/>
                <w:szCs w:val="16"/>
              </w:rPr>
              <w:t>in place for portable electrical appliances to be</w:t>
            </w:r>
            <w:r>
              <w:rPr>
                <w:rFonts w:cs="Arial"/>
                <w:sz w:val="16"/>
                <w:szCs w:val="16"/>
              </w:rPr>
              <w:t xml:space="preserve"> PAT tested on a periodic basis (Annually). </w:t>
            </w:r>
          </w:p>
          <w:p w:rsidR="0090721B" w:rsidRPr="005669CA" w:rsidRDefault="0090721B" w:rsidP="005669CA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9D4131">
              <w:rPr>
                <w:rFonts w:cs="Arial"/>
                <w:sz w:val="16"/>
                <w:szCs w:val="16"/>
              </w:rPr>
              <w:t xml:space="preserve">taff </w:t>
            </w:r>
            <w:r>
              <w:rPr>
                <w:rFonts w:cs="Arial"/>
                <w:sz w:val="16"/>
                <w:szCs w:val="16"/>
              </w:rPr>
              <w:t xml:space="preserve">are </w:t>
            </w:r>
            <w:r w:rsidRPr="009D4131">
              <w:rPr>
                <w:rFonts w:cs="Arial"/>
                <w:sz w:val="16"/>
                <w:szCs w:val="16"/>
              </w:rPr>
              <w:t>aware to visually inspect portable electrical items for evidence of cable damage / crushing, plug damage, etc.</w:t>
            </w: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b/>
                <w:sz w:val="16"/>
                <w:szCs w:val="16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16"/>
              </w:rPr>
              <w:t>Welfare facilities</w:t>
            </w:r>
          </w:p>
          <w:p w:rsidR="0090721B" w:rsidRPr="001F0479" w:rsidRDefault="0090721B" w:rsidP="0090721B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  <w:p w:rsidR="0090721B" w:rsidRPr="001F0479" w:rsidRDefault="0090721B" w:rsidP="0090721B">
            <w:pPr>
              <w:ind w:firstLine="720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</w:tcPr>
          <w:p w:rsidR="0090721B" w:rsidRPr="00BC67F5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DD5011">
              <w:rPr>
                <w:rFonts w:cs="Arial"/>
                <w:sz w:val="16"/>
                <w:szCs w:val="16"/>
              </w:rPr>
              <w:t xml:space="preserve">dequate toilet facilities </w:t>
            </w:r>
            <w:r>
              <w:rPr>
                <w:rFonts w:cs="Arial"/>
                <w:sz w:val="16"/>
                <w:szCs w:val="16"/>
              </w:rPr>
              <w:t xml:space="preserve">are </w:t>
            </w:r>
            <w:r w:rsidRPr="00DD5011">
              <w:rPr>
                <w:rFonts w:cs="Arial"/>
                <w:sz w:val="16"/>
                <w:szCs w:val="16"/>
              </w:rPr>
              <w:t>available for pupi</w:t>
            </w:r>
            <w:r w:rsidR="005669CA">
              <w:rPr>
                <w:rFonts w:cs="Arial"/>
                <w:sz w:val="16"/>
                <w:szCs w:val="16"/>
              </w:rPr>
              <w:t>ls attending the breakfast club, and these can be supervised easily.</w:t>
            </w:r>
          </w:p>
          <w:p w:rsidR="0090721B" w:rsidRPr="005669CA" w:rsidRDefault="0090721B" w:rsidP="009072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</w:t>
            </w:r>
            <w:r w:rsidRPr="00DD5011">
              <w:rPr>
                <w:rFonts w:cs="Arial"/>
                <w:sz w:val="16"/>
                <w:szCs w:val="16"/>
              </w:rPr>
              <w:t xml:space="preserve">and washing facilities </w:t>
            </w:r>
            <w:r>
              <w:rPr>
                <w:rFonts w:cs="Arial"/>
                <w:sz w:val="16"/>
                <w:szCs w:val="16"/>
              </w:rPr>
              <w:t xml:space="preserve">are </w:t>
            </w:r>
            <w:r w:rsidRPr="00DD5011">
              <w:rPr>
                <w:rFonts w:cs="Arial"/>
                <w:sz w:val="16"/>
                <w:szCs w:val="16"/>
              </w:rPr>
              <w:t>availab</w:t>
            </w:r>
            <w:r>
              <w:rPr>
                <w:rFonts w:cs="Arial"/>
                <w:sz w:val="16"/>
                <w:szCs w:val="16"/>
              </w:rPr>
              <w:t>le in the toilet facilities and food preparation area.</w:t>
            </w: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rPr>
          <w:cantSplit/>
          <w:trHeight w:val="911"/>
        </w:trPr>
        <w:tc>
          <w:tcPr>
            <w:tcW w:w="692" w:type="pct"/>
          </w:tcPr>
          <w:p w:rsidR="0090721B" w:rsidRDefault="0090721B" w:rsidP="0090721B">
            <w:pPr>
              <w:tabs>
                <w:tab w:val="center" w:pos="4153"/>
                <w:tab w:val="right" w:pos="8306"/>
              </w:tabs>
              <w:rPr>
                <w:b/>
                <w:sz w:val="16"/>
                <w:szCs w:val="16"/>
              </w:rPr>
            </w:pPr>
          </w:p>
          <w:p w:rsidR="0090721B" w:rsidRPr="001F0479" w:rsidRDefault="0090721B" w:rsidP="0090721B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8"/>
                <w:szCs w:val="18"/>
                <w:lang w:eastAsia="en-US"/>
              </w:rPr>
            </w:pPr>
            <w:r w:rsidRPr="001F0479">
              <w:rPr>
                <w:b/>
                <w:sz w:val="16"/>
                <w:szCs w:val="16"/>
              </w:rPr>
              <w:t>Food safety</w:t>
            </w:r>
          </w:p>
          <w:p w:rsidR="0090721B" w:rsidRPr="003F597D" w:rsidRDefault="0090721B" w:rsidP="0090721B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</w:tcPr>
          <w:p w:rsidR="0090721B" w:rsidRDefault="0090721B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DC258F" w:rsidRPr="00D21D46" w:rsidRDefault="00DC258F" w:rsidP="00DC25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1D46">
              <w:rPr>
                <w:sz w:val="16"/>
                <w:szCs w:val="16"/>
              </w:rPr>
              <w:t xml:space="preserve">Staff, pupils and visitors may experience ill-health as a result of contact with contaminated equipment/surfaces or the ingestion of improperly prepared food. </w:t>
            </w:r>
          </w:p>
          <w:p w:rsidR="00DC258F" w:rsidRPr="00BC67F5" w:rsidRDefault="00DC258F" w:rsidP="0090721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90721B" w:rsidRPr="00DD5011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DD5011">
              <w:rPr>
                <w:rFonts w:cs="Arial"/>
                <w:sz w:val="16"/>
                <w:szCs w:val="16"/>
              </w:rPr>
              <w:t xml:space="preserve">taff responsible for preparing or handling foods </w:t>
            </w:r>
            <w:r>
              <w:rPr>
                <w:rFonts w:cs="Arial"/>
                <w:sz w:val="16"/>
                <w:szCs w:val="16"/>
              </w:rPr>
              <w:t xml:space="preserve">have </w:t>
            </w:r>
            <w:r w:rsidRPr="00DD5011">
              <w:rPr>
                <w:rFonts w:cs="Arial"/>
                <w:sz w:val="16"/>
                <w:szCs w:val="16"/>
              </w:rPr>
              <w:t>appropriate food safety knowledge / food hygiene training:</w:t>
            </w:r>
          </w:p>
          <w:p w:rsidR="0090721B" w:rsidRPr="00DD5011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i/>
                <w:sz w:val="16"/>
                <w:szCs w:val="16"/>
              </w:rPr>
            </w:pP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DD5011">
              <w:rPr>
                <w:rFonts w:cs="Arial"/>
                <w:sz w:val="16"/>
                <w:szCs w:val="16"/>
              </w:rPr>
              <w:t xml:space="preserve">he breakfast club have permission to </w:t>
            </w:r>
            <w:r>
              <w:rPr>
                <w:rFonts w:cs="Arial"/>
                <w:sz w:val="16"/>
                <w:szCs w:val="16"/>
              </w:rPr>
              <w:t>use the main school kitchen,</w:t>
            </w:r>
            <w:r w:rsidRPr="00DD5011">
              <w:rPr>
                <w:rFonts w:cs="Arial"/>
                <w:sz w:val="16"/>
                <w:szCs w:val="16"/>
              </w:rPr>
              <w:t xml:space="preserve"> this been agreed formally, identifying which equipment may / may not be used</w:t>
            </w:r>
            <w:r>
              <w:rPr>
                <w:rFonts w:cs="Arial"/>
                <w:sz w:val="16"/>
                <w:szCs w:val="16"/>
              </w:rPr>
              <w:t>, arrangements for cleaning etc.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</w:t>
            </w:r>
            <w:r w:rsidRPr="00DD5011">
              <w:rPr>
                <w:rFonts w:cs="Arial"/>
                <w:sz w:val="16"/>
                <w:szCs w:val="16"/>
              </w:rPr>
              <w:t>ere</w:t>
            </w:r>
            <w:r>
              <w:rPr>
                <w:rFonts w:cs="Arial"/>
                <w:sz w:val="16"/>
                <w:szCs w:val="16"/>
              </w:rPr>
              <w:t xml:space="preserve"> are</w:t>
            </w:r>
            <w:r w:rsidRPr="00DD5011">
              <w:rPr>
                <w:rFonts w:cs="Arial"/>
                <w:sz w:val="16"/>
                <w:szCs w:val="16"/>
              </w:rPr>
              <w:t xml:space="preserve"> suitable arrangements for the storage of breakfast club food, inclu</w:t>
            </w:r>
            <w:r>
              <w:rPr>
                <w:rFonts w:cs="Arial"/>
                <w:sz w:val="16"/>
                <w:szCs w:val="16"/>
              </w:rPr>
              <w:t>ding chilled / perishable foods.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DD5011">
              <w:rPr>
                <w:rFonts w:cs="Arial"/>
                <w:sz w:val="16"/>
                <w:szCs w:val="16"/>
              </w:rPr>
              <w:t>here</w:t>
            </w:r>
            <w:r>
              <w:rPr>
                <w:rFonts w:cs="Arial"/>
                <w:sz w:val="16"/>
                <w:szCs w:val="16"/>
              </w:rPr>
              <w:t xml:space="preserve"> are</w:t>
            </w:r>
            <w:r w:rsidRPr="00DD5011">
              <w:rPr>
                <w:rFonts w:cs="Arial"/>
                <w:sz w:val="16"/>
                <w:szCs w:val="16"/>
              </w:rPr>
              <w:t xml:space="preserve"> suitable storage arrangements for snacks / packed lunches brought from home for consump</w:t>
            </w:r>
            <w:r>
              <w:rPr>
                <w:rFonts w:cs="Arial"/>
                <w:sz w:val="16"/>
                <w:szCs w:val="16"/>
              </w:rPr>
              <w:t>tion during the school day.</w:t>
            </w:r>
          </w:p>
          <w:p w:rsid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90721B" w:rsidRPr="0090721B" w:rsidRDefault="0090721B" w:rsidP="0090721B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DD5011">
              <w:rPr>
                <w:rFonts w:cs="Arial"/>
                <w:sz w:val="16"/>
                <w:szCs w:val="16"/>
              </w:rPr>
              <w:t xml:space="preserve">oods known to cause allergies to pupils </w:t>
            </w:r>
            <w:r>
              <w:rPr>
                <w:rFonts w:cs="Arial"/>
                <w:sz w:val="16"/>
                <w:szCs w:val="16"/>
              </w:rPr>
              <w:t>are avoided.</w:t>
            </w: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90721B" w:rsidRPr="00BC67F5" w:rsidRDefault="0090721B" w:rsidP="0090721B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90721B" w:rsidRPr="00BC67F5" w:rsidRDefault="0090721B" w:rsidP="0090721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tcBorders>
              <w:right w:val="single" w:sz="4" w:space="0" w:color="auto"/>
            </w:tcBorders>
            <w:shd w:val="clear" w:color="auto" w:fill="auto"/>
          </w:tcPr>
          <w:p w:rsidR="0090721B" w:rsidRPr="00BC67F5" w:rsidRDefault="0090721B" w:rsidP="0090721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721B" w:rsidRPr="00BC67F5" w:rsidTr="0056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721B" w:rsidRPr="00BC67F5" w:rsidRDefault="0090721B" w:rsidP="0090721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B" w:rsidRPr="00BC67F5" w:rsidRDefault="0090721B" w:rsidP="0090721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90721B" w:rsidRPr="00BC67F5" w:rsidTr="0056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B" w:rsidRPr="00BC67F5" w:rsidRDefault="0090721B" w:rsidP="0090721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B" w:rsidRPr="00BC67F5" w:rsidRDefault="0090721B" w:rsidP="0090721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B" w:rsidRPr="00BC67F5" w:rsidRDefault="0090721B" w:rsidP="0090721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B" w:rsidRPr="00BC67F5" w:rsidRDefault="0090721B" w:rsidP="0090721B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p w:rsidR="00BC67F5" w:rsidRDefault="00BC67F5"/>
    <w:p w:rsidR="00E6636C" w:rsidRDefault="00E6636C"/>
    <w:p w:rsidR="00E6636C" w:rsidRDefault="00E6636C"/>
    <w:p w:rsidR="00E6636C" w:rsidRDefault="00E6636C"/>
    <w:p w:rsidR="00E6636C" w:rsidRDefault="00E6636C"/>
    <w:tbl>
      <w:tblPr>
        <w:tblpPr w:leftFromText="180" w:rightFromText="180" w:vertAnchor="text" w:horzAnchor="page" w:tblpX="487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BC67F5" w:rsidRPr="00BC67F5" w:rsidTr="00A17658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7F5" w:rsidRPr="00BC67F5" w:rsidRDefault="00BC67F5" w:rsidP="00BC67F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A17658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A17658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BC67F5" w:rsidRPr="00BC67F5" w:rsidTr="00A17658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BC67F5" w:rsidRPr="00BC67F5" w:rsidTr="00A17658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Default="00BC67F5"/>
    <w:tbl>
      <w:tblPr>
        <w:tblpPr w:leftFromText="180" w:rightFromText="180" w:vertAnchor="page" w:horzAnchor="margin" w:tblpXSpec="right" w:tblpY="931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4F099F" w:rsidRPr="00BC67F5" w:rsidTr="004F099F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99F" w:rsidRPr="00BC67F5" w:rsidRDefault="004F099F" w:rsidP="004F099F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4F099F" w:rsidRPr="00BC67F5" w:rsidTr="004F099F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4F099F" w:rsidRPr="00BC67F5" w:rsidTr="004F099F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4F099F" w:rsidRPr="00BC67F5" w:rsidTr="004F099F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5D74A7">
              <w:rPr>
                <w:b/>
                <w:bCs/>
                <w:noProof/>
                <w:sz w:val="20"/>
                <w:szCs w:val="20"/>
              </w:rPr>
              <w:t>5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5D74A7">
              <w:rPr>
                <w:b/>
                <w:bCs/>
                <w:noProof/>
                <w:sz w:val="20"/>
                <w:szCs w:val="20"/>
              </w:rPr>
              <w:t>5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815D4"/>
    <w:rsid w:val="001A112F"/>
    <w:rsid w:val="00267530"/>
    <w:rsid w:val="00282C56"/>
    <w:rsid w:val="002A2F47"/>
    <w:rsid w:val="002D6736"/>
    <w:rsid w:val="002F5024"/>
    <w:rsid w:val="00361260"/>
    <w:rsid w:val="00393A30"/>
    <w:rsid w:val="00397886"/>
    <w:rsid w:val="00410453"/>
    <w:rsid w:val="00412600"/>
    <w:rsid w:val="00453E47"/>
    <w:rsid w:val="004F099F"/>
    <w:rsid w:val="005669CA"/>
    <w:rsid w:val="005D74A7"/>
    <w:rsid w:val="00607514"/>
    <w:rsid w:val="00611802"/>
    <w:rsid w:val="00617CB4"/>
    <w:rsid w:val="00687E2E"/>
    <w:rsid w:val="00777909"/>
    <w:rsid w:val="00783ED6"/>
    <w:rsid w:val="007A4DE9"/>
    <w:rsid w:val="007A542F"/>
    <w:rsid w:val="007E6350"/>
    <w:rsid w:val="008B5FD0"/>
    <w:rsid w:val="0090721B"/>
    <w:rsid w:val="00912754"/>
    <w:rsid w:val="00974975"/>
    <w:rsid w:val="00991AEE"/>
    <w:rsid w:val="009F7205"/>
    <w:rsid w:val="00A660EC"/>
    <w:rsid w:val="00A85D3D"/>
    <w:rsid w:val="00B56EDA"/>
    <w:rsid w:val="00B957A3"/>
    <w:rsid w:val="00BC67F5"/>
    <w:rsid w:val="00C25399"/>
    <w:rsid w:val="00C52A3B"/>
    <w:rsid w:val="00CA1981"/>
    <w:rsid w:val="00D173B4"/>
    <w:rsid w:val="00DB0BA3"/>
    <w:rsid w:val="00DC258F"/>
    <w:rsid w:val="00E6636C"/>
    <w:rsid w:val="00EF582D"/>
    <w:rsid w:val="00F27B6A"/>
    <w:rsid w:val="00F45CE7"/>
    <w:rsid w:val="00F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51</TotalTime>
  <Pages>5</Pages>
  <Words>891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7</cp:revision>
  <cp:lastPrinted>2012-10-02T09:09:00Z</cp:lastPrinted>
  <dcterms:created xsi:type="dcterms:W3CDTF">2017-04-10T12:54:00Z</dcterms:created>
  <dcterms:modified xsi:type="dcterms:W3CDTF">2017-08-22T08:53:00Z</dcterms:modified>
</cp:coreProperties>
</file>