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7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4F099F" w:rsidP="000C6E21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Asbestos Exposure</w:t>
            </w:r>
            <w:r w:rsidR="002A2F47">
              <w:rPr>
                <w:b/>
                <w:color w:val="FFFFFF"/>
                <w:sz w:val="32"/>
                <w:szCs w:val="32"/>
              </w:rPr>
              <w:t xml:space="preserve"> Risk Assessment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0C6E21">
              <w:rPr>
                <w:b/>
                <w:color w:val="FFFFFF"/>
              </w:rPr>
              <w:t>ugust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2F5024" w:rsidP="004F099F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A</w:t>
            </w:r>
            <w:r w:rsidR="004F099F"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SBESTOS EXPOSURE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600"/>
        <w:gridCol w:w="972"/>
        <w:gridCol w:w="406"/>
        <w:gridCol w:w="406"/>
        <w:gridCol w:w="304"/>
        <w:gridCol w:w="113"/>
        <w:gridCol w:w="4191"/>
        <w:gridCol w:w="932"/>
        <w:gridCol w:w="403"/>
        <w:gridCol w:w="292"/>
        <w:gridCol w:w="1030"/>
        <w:gridCol w:w="374"/>
        <w:gridCol w:w="35"/>
        <w:gridCol w:w="406"/>
        <w:gridCol w:w="44"/>
        <w:gridCol w:w="364"/>
      </w:tblGrid>
      <w:tr w:rsidR="00BC67F5" w:rsidRPr="00BC67F5" w:rsidTr="004F099F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820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1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BC67F5" w:rsidRPr="00BC67F5" w:rsidTr="004F099F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2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BC67F5" w:rsidRPr="00BC67F5" w:rsidTr="004F099F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F099F" w:rsidRPr="00BC67F5" w:rsidTr="004F099F">
        <w:trPr>
          <w:cantSplit/>
          <w:trHeight w:val="911"/>
        </w:trPr>
        <w:tc>
          <w:tcPr>
            <w:tcW w:w="692" w:type="pct"/>
          </w:tcPr>
          <w:p w:rsidR="004F099F" w:rsidRDefault="004F099F" w:rsidP="004F099F">
            <w:pPr>
              <w:tabs>
                <w:tab w:val="center" w:pos="4153"/>
                <w:tab w:val="right" w:pos="8306"/>
              </w:tabs>
              <w:rPr>
                <w:rFonts w:cs="Arial"/>
                <w:sz w:val="16"/>
                <w:szCs w:val="16"/>
                <w:lang w:eastAsia="en-US"/>
              </w:rPr>
            </w:pPr>
          </w:p>
          <w:p w:rsidR="004F099F" w:rsidRPr="00F43F95" w:rsidRDefault="004F099F" w:rsidP="004F099F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  <w:r w:rsidRPr="00F43F95">
              <w:rPr>
                <w:rFonts w:cs="Arial"/>
                <w:b/>
                <w:sz w:val="16"/>
                <w:szCs w:val="16"/>
                <w:lang w:eastAsia="en-US"/>
              </w:rPr>
              <w:t>General Exposure</w:t>
            </w:r>
          </w:p>
        </w:tc>
        <w:tc>
          <w:tcPr>
            <w:tcW w:w="527" w:type="pct"/>
          </w:tcPr>
          <w:p w:rsidR="004F099F" w:rsidRDefault="004F099F" w:rsidP="004F099F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B42E3A">
              <w:rPr>
                <w:rFonts w:cs="Arial"/>
                <w:sz w:val="16"/>
                <w:szCs w:val="16"/>
                <w:lang w:eastAsia="en-US"/>
              </w:rPr>
              <w:t>Staff, Pupils, Contractors and Visitors may experience significant respiratory disease including; lung cancer, mesothelioma and pleural thickening as a result of exposure to asbestos containing materials.</w:t>
            </w:r>
          </w:p>
        </w:tc>
        <w:tc>
          <w:tcPr>
            <w:tcW w:w="820" w:type="pct"/>
            <w:gridSpan w:val="2"/>
          </w:tcPr>
          <w:p w:rsidR="004F099F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Pr="00B42E3A" w:rsidRDefault="00334A8D" w:rsidP="004F099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A full asbestos </w:t>
            </w:r>
            <w:r w:rsidR="004F099F" w:rsidRPr="00B42E3A">
              <w:rPr>
                <w:sz w:val="16"/>
                <w:szCs w:val="16"/>
                <w:lang w:eastAsia="en-US"/>
              </w:rPr>
              <w:t xml:space="preserve">survey is conducted and the records available on site. 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 xml:space="preserve">Remedial action highlighted within the </w:t>
            </w:r>
            <w:r w:rsidR="00334A8D">
              <w:rPr>
                <w:sz w:val="16"/>
                <w:szCs w:val="16"/>
                <w:lang w:eastAsia="en-US"/>
              </w:rPr>
              <w:t>survey have</w:t>
            </w:r>
            <w:r w:rsidRPr="00B42E3A">
              <w:rPr>
                <w:sz w:val="16"/>
                <w:szCs w:val="16"/>
                <w:lang w:eastAsia="en-US"/>
              </w:rPr>
              <w:t xml:space="preserve"> been undertaken e.g. removals, encapsulation etc.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>Warning labels are displayed at locations containing asbestos.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 xml:space="preserve">Contractors receive an induction prior to commencing work which includes the location of asbestos. A record the induction is maintained. 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>Staff are instructed not to drill, puncture or fix into asbestos containing materials.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>A written procedure is in place to deal with damage to asbestos and suspected exposure.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F099F" w:rsidRPr="00BC67F5" w:rsidRDefault="004F099F" w:rsidP="004F099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099F" w:rsidRPr="00BC67F5" w:rsidTr="004F099F">
        <w:trPr>
          <w:cantSplit/>
          <w:trHeight w:val="911"/>
        </w:trPr>
        <w:tc>
          <w:tcPr>
            <w:tcW w:w="692" w:type="pct"/>
          </w:tcPr>
          <w:p w:rsidR="004F099F" w:rsidRPr="00652FC0" w:rsidRDefault="004F099F" w:rsidP="004F099F">
            <w:pPr>
              <w:tabs>
                <w:tab w:val="center" w:pos="4153"/>
                <w:tab w:val="right" w:pos="8306"/>
              </w:tabs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</w:tcPr>
          <w:p w:rsidR="004F099F" w:rsidRPr="00652FC0" w:rsidRDefault="004F099F" w:rsidP="004F099F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20" w:type="pct"/>
            <w:gridSpan w:val="2"/>
          </w:tcPr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 xml:space="preserve">A local asbestos management plan (LAMP) has been implemented and is maintained. 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>The condition of asbestos is monitored on a routine basis and a record maintained within the LAMP.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>Staff receive an asbestos briefing / toolbox talk annually and a record is maintained.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 xml:space="preserve">Those with a responsibility for managing asbestos receive formal asbestos awareness training on a three yearly basis. </w:t>
            </w:r>
          </w:p>
          <w:p w:rsidR="004F099F" w:rsidRPr="00B42E3A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F099F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 xml:space="preserve">Consult B8 of the H&amp;S Manual for further guidance. </w:t>
            </w:r>
          </w:p>
          <w:p w:rsidR="004F099F" w:rsidRPr="00652FC0" w:rsidRDefault="004F099F" w:rsidP="004F099F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F099F" w:rsidRPr="00BC67F5" w:rsidRDefault="004F099F" w:rsidP="004F099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099F" w:rsidRPr="00BC67F5" w:rsidTr="004F099F">
        <w:trPr>
          <w:cantSplit/>
          <w:trHeight w:val="911"/>
        </w:trPr>
        <w:tc>
          <w:tcPr>
            <w:tcW w:w="692" w:type="pct"/>
          </w:tcPr>
          <w:p w:rsidR="004F099F" w:rsidRDefault="004F099F" w:rsidP="004F099F">
            <w:pPr>
              <w:tabs>
                <w:tab w:val="center" w:pos="4153"/>
                <w:tab w:val="right" w:pos="8306"/>
              </w:tabs>
              <w:rPr>
                <w:rFonts w:cs="Arial"/>
                <w:sz w:val="16"/>
                <w:szCs w:val="16"/>
                <w:lang w:eastAsia="en-US"/>
              </w:rPr>
            </w:pPr>
          </w:p>
          <w:p w:rsidR="004F099F" w:rsidRPr="00F43F95" w:rsidRDefault="004F099F" w:rsidP="004F099F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16"/>
                <w:szCs w:val="16"/>
                <w:lang w:eastAsia="en-US"/>
              </w:rPr>
            </w:pPr>
            <w:r w:rsidRPr="00F43F95">
              <w:rPr>
                <w:rFonts w:cs="Arial"/>
                <w:b/>
                <w:sz w:val="16"/>
                <w:szCs w:val="16"/>
                <w:lang w:eastAsia="en-US"/>
              </w:rPr>
              <w:t>Fly Tipping</w:t>
            </w:r>
          </w:p>
          <w:p w:rsidR="004F099F" w:rsidRPr="00B42E3A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527" w:type="pct"/>
          </w:tcPr>
          <w:p w:rsidR="004F099F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:rsidR="004F099F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42E3A">
              <w:rPr>
                <w:rFonts w:cs="Arial"/>
                <w:sz w:val="16"/>
                <w:szCs w:val="16"/>
                <w:lang w:eastAsia="en-US"/>
              </w:rPr>
              <w:t>Staff, pupils, visitors, contractors and members of the public may experience significant respiratory disease including; lung cancer, mesothelioma and pleural thickening as a result of exposure to asbestos containing materials.</w:t>
            </w:r>
          </w:p>
          <w:p w:rsidR="004F099F" w:rsidRPr="00B42E3A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820" w:type="pct"/>
            <w:gridSpan w:val="2"/>
          </w:tcPr>
          <w:p w:rsidR="004F099F" w:rsidRDefault="004F099F" w:rsidP="004F099F">
            <w:pPr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 xml:space="preserve">If any materials are found on site e.g. fly tipped which are thought to contain asbestos, notify the property division immediately via </w:t>
            </w:r>
            <w:r w:rsidR="00334A8D">
              <w:rPr>
                <w:sz w:val="16"/>
                <w:szCs w:val="16"/>
                <w:lang w:eastAsia="en-US"/>
              </w:rPr>
              <w:t>ARC Assist</w:t>
            </w:r>
            <w:r w:rsidRPr="00B42E3A">
              <w:rPr>
                <w:sz w:val="16"/>
                <w:szCs w:val="16"/>
                <w:lang w:eastAsia="en-US"/>
              </w:rPr>
              <w:t xml:space="preserve"> (NCC Schools Only) in the first instance and contact the Health and Safety Team.</w:t>
            </w:r>
          </w:p>
          <w:p w:rsidR="004F099F" w:rsidRPr="00B42E3A" w:rsidRDefault="004F099F" w:rsidP="004F099F">
            <w:pPr>
              <w:rPr>
                <w:sz w:val="16"/>
                <w:szCs w:val="16"/>
                <w:lang w:eastAsia="en-US"/>
              </w:rPr>
            </w:pPr>
          </w:p>
          <w:p w:rsidR="004F099F" w:rsidRPr="00B42E3A" w:rsidRDefault="004F099F" w:rsidP="004F099F">
            <w:pPr>
              <w:rPr>
                <w:sz w:val="16"/>
                <w:szCs w:val="16"/>
                <w:lang w:eastAsia="en-US"/>
              </w:rPr>
            </w:pPr>
            <w:r w:rsidRPr="00B42E3A">
              <w:rPr>
                <w:sz w:val="16"/>
                <w:szCs w:val="16"/>
                <w:lang w:eastAsia="en-US"/>
              </w:rPr>
              <w:t xml:space="preserve">The occupier of the premises i.e. the school is responsible for such waste and must ensure it is kept secure while still on site. </w:t>
            </w:r>
          </w:p>
        </w:tc>
        <w:tc>
          <w:tcPr>
            <w:tcW w:w="129" w:type="pct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" w:type="pct"/>
            <w:gridSpan w:val="2"/>
            <w:shd w:val="clear" w:color="auto" w:fill="auto"/>
          </w:tcPr>
          <w:p w:rsidR="004F099F" w:rsidRPr="00BC67F5" w:rsidRDefault="004F099F" w:rsidP="004F099F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F099F" w:rsidRPr="00BC67F5" w:rsidRDefault="004F099F" w:rsidP="004F099F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shd w:val="clear" w:color="auto" w:fill="auto"/>
          </w:tcPr>
          <w:p w:rsidR="004F099F" w:rsidRPr="00BC67F5" w:rsidRDefault="004F099F" w:rsidP="004F09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099F" w:rsidRPr="00BC67F5" w:rsidTr="004F0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099F" w:rsidRPr="00BC67F5" w:rsidRDefault="004F099F" w:rsidP="004F099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F" w:rsidRPr="00BC67F5" w:rsidRDefault="004F099F" w:rsidP="004F099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4F099F" w:rsidRPr="00BC67F5" w:rsidTr="004F0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F" w:rsidRPr="00BC67F5" w:rsidRDefault="004F099F" w:rsidP="004F099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F" w:rsidRPr="00BC67F5" w:rsidRDefault="004F099F" w:rsidP="004F099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F" w:rsidRPr="00BC67F5" w:rsidRDefault="004F099F" w:rsidP="004F099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9F" w:rsidRPr="00BC67F5" w:rsidRDefault="004F099F" w:rsidP="004F099F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p w:rsidR="00BC67F5" w:rsidRDefault="00BC67F5"/>
    <w:tbl>
      <w:tblPr>
        <w:tblpPr w:leftFromText="180" w:rightFromText="180" w:vertAnchor="text" w:horzAnchor="page" w:tblpX="487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BC67F5" w:rsidRPr="00BC67F5" w:rsidTr="00A17658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7F5" w:rsidRPr="00BC67F5" w:rsidRDefault="00BC67F5" w:rsidP="00BC67F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lastRenderedPageBreak/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A17658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BC67F5" w:rsidRPr="00BC67F5" w:rsidTr="00A17658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67F5" w:rsidRPr="00BC67F5" w:rsidRDefault="00BC67F5" w:rsidP="00BC67F5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BC67F5" w:rsidRPr="00BC67F5" w:rsidTr="00A17658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BC67F5" w:rsidRPr="00BC67F5" w:rsidTr="00A17658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p w:rsidR="00BC67F5" w:rsidRDefault="00BC67F5"/>
    <w:tbl>
      <w:tblPr>
        <w:tblpPr w:leftFromText="180" w:rightFromText="180" w:vertAnchor="page" w:horzAnchor="margin" w:tblpXSpec="right" w:tblpY="931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4F099F" w:rsidRPr="00BC67F5" w:rsidTr="004F099F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99F" w:rsidRPr="00BC67F5" w:rsidRDefault="004F099F" w:rsidP="004F099F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Risk Definitions</w:t>
            </w:r>
          </w:p>
        </w:tc>
      </w:tr>
      <w:tr w:rsidR="004F099F" w:rsidRPr="00BC67F5" w:rsidTr="004F099F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4F099F" w:rsidRPr="00BC67F5" w:rsidTr="004F099F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4F099F" w:rsidRPr="00BC67F5" w:rsidTr="004F099F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4F099F" w:rsidRPr="00BC67F5" w:rsidRDefault="004F099F" w:rsidP="004F099F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4F099F" w:rsidRPr="00BC67F5" w:rsidRDefault="004F099F" w:rsidP="004F099F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0C6E21">
              <w:rPr>
                <w:b/>
                <w:bCs/>
                <w:noProof/>
                <w:sz w:val="20"/>
                <w:szCs w:val="20"/>
              </w:rPr>
              <w:t>3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0C6E21">
              <w:rPr>
                <w:b/>
                <w:bCs/>
                <w:noProof/>
                <w:sz w:val="20"/>
                <w:szCs w:val="20"/>
              </w:rPr>
              <w:t>3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C6E21"/>
    <w:rsid w:val="000D000C"/>
    <w:rsid w:val="00151A8F"/>
    <w:rsid w:val="001815D4"/>
    <w:rsid w:val="001A112F"/>
    <w:rsid w:val="00267530"/>
    <w:rsid w:val="00282C56"/>
    <w:rsid w:val="002A2F47"/>
    <w:rsid w:val="002D6736"/>
    <w:rsid w:val="002F5024"/>
    <w:rsid w:val="00334A8D"/>
    <w:rsid w:val="00361260"/>
    <w:rsid w:val="00393A30"/>
    <w:rsid w:val="00397886"/>
    <w:rsid w:val="00410453"/>
    <w:rsid w:val="00412600"/>
    <w:rsid w:val="00453E47"/>
    <w:rsid w:val="004F099F"/>
    <w:rsid w:val="00607514"/>
    <w:rsid w:val="00611802"/>
    <w:rsid w:val="00617CB4"/>
    <w:rsid w:val="00687E2E"/>
    <w:rsid w:val="00777909"/>
    <w:rsid w:val="00783ED6"/>
    <w:rsid w:val="007A4DE9"/>
    <w:rsid w:val="007A542F"/>
    <w:rsid w:val="008B5FD0"/>
    <w:rsid w:val="00912754"/>
    <w:rsid w:val="00974975"/>
    <w:rsid w:val="00991AEE"/>
    <w:rsid w:val="009F7205"/>
    <w:rsid w:val="00A660EC"/>
    <w:rsid w:val="00B56EDA"/>
    <w:rsid w:val="00B957A3"/>
    <w:rsid w:val="00BC67F5"/>
    <w:rsid w:val="00C25399"/>
    <w:rsid w:val="00C52A3B"/>
    <w:rsid w:val="00CA1981"/>
    <w:rsid w:val="00D173B4"/>
    <w:rsid w:val="00DB0BA3"/>
    <w:rsid w:val="00EF582D"/>
    <w:rsid w:val="00F27B6A"/>
    <w:rsid w:val="00F45CE7"/>
    <w:rsid w:val="00F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6</TotalTime>
  <Pages>3</Pages>
  <Words>604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4</cp:revision>
  <cp:lastPrinted>2012-10-02T09:09:00Z</cp:lastPrinted>
  <dcterms:created xsi:type="dcterms:W3CDTF">2017-04-10T12:47:00Z</dcterms:created>
  <dcterms:modified xsi:type="dcterms:W3CDTF">2017-08-22T08:53:00Z</dcterms:modified>
</cp:coreProperties>
</file>