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F32F" w14:textId="77777777" w:rsidR="004C0586" w:rsidRDefault="004C0586" w:rsidP="004C0586">
      <w:pPr>
        <w:rPr>
          <w:noProof/>
        </w:rPr>
      </w:pPr>
      <w:r w:rsidRPr="007B7BB4">
        <w:rPr>
          <w:noProof/>
        </w:rPr>
        <w:drawing>
          <wp:inline distT="0" distB="0" distL="0" distR="0" wp14:anchorId="3F98BE38" wp14:editId="61C645D4">
            <wp:extent cx="2947035" cy="499110"/>
            <wp:effectExtent l="0" t="0" r="0" b="0"/>
            <wp:docPr id="4"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7035" cy="499110"/>
                    </a:xfrm>
                    <a:prstGeom prst="rect">
                      <a:avLst/>
                    </a:prstGeom>
                    <a:noFill/>
                    <a:ln>
                      <a:noFill/>
                    </a:ln>
                  </pic:spPr>
                </pic:pic>
              </a:graphicData>
            </a:graphic>
          </wp:inline>
        </w:drawing>
      </w:r>
    </w:p>
    <w:p w14:paraId="21961CA1" w14:textId="77777777" w:rsidR="004C0586" w:rsidRPr="0013321D" w:rsidRDefault="004C0586" w:rsidP="004C0586">
      <w:pPr>
        <w:rPr>
          <w:sz w:val="16"/>
          <w:szCs w:val="20"/>
        </w:rPr>
      </w:pPr>
    </w:p>
    <w:tbl>
      <w:tblPr>
        <w:tblStyle w:val="TableGrid"/>
        <w:tblW w:w="0" w:type="auto"/>
        <w:shd w:val="clear" w:color="auto" w:fill="E2EFD9"/>
        <w:tblLook w:val="04A0" w:firstRow="1" w:lastRow="0" w:firstColumn="1" w:lastColumn="0" w:noHBand="0" w:noVBand="1"/>
      </w:tblPr>
      <w:tblGrid>
        <w:gridCol w:w="9016"/>
      </w:tblGrid>
      <w:tr w:rsidR="004C0586" w14:paraId="2B345297" w14:textId="77777777" w:rsidTr="00593638">
        <w:tc>
          <w:tcPr>
            <w:tcW w:w="9016" w:type="dxa"/>
            <w:shd w:val="clear" w:color="auto" w:fill="C8E1BF"/>
          </w:tcPr>
          <w:p w14:paraId="16D51C11" w14:textId="77777777" w:rsidR="004C0586" w:rsidRDefault="004C0586" w:rsidP="00593638">
            <w:pPr>
              <w:spacing w:line="120" w:lineRule="auto"/>
            </w:pPr>
          </w:p>
          <w:p w14:paraId="08A267E9" w14:textId="77777777" w:rsidR="004C0586" w:rsidRPr="006A6495" w:rsidRDefault="004C0586" w:rsidP="00593638">
            <w:pPr>
              <w:jc w:val="center"/>
              <w:rPr>
                <w:rFonts w:cs="Arial"/>
                <w:b/>
                <w:sz w:val="28"/>
              </w:rPr>
            </w:pPr>
            <w:r w:rsidRPr="006A6495">
              <w:rPr>
                <w:rFonts w:cs="Arial"/>
                <w:b/>
                <w:sz w:val="28"/>
              </w:rPr>
              <w:t>Policy Library Pro Forma</w:t>
            </w:r>
          </w:p>
          <w:p w14:paraId="5978FDCE" w14:textId="77777777" w:rsidR="004C0586" w:rsidRPr="0013321D" w:rsidRDefault="004C0586" w:rsidP="00593638">
            <w:pPr>
              <w:jc w:val="center"/>
              <w:rPr>
                <w:rFonts w:cs="Arial"/>
                <w:b/>
                <w:sz w:val="16"/>
                <w:szCs w:val="16"/>
              </w:rPr>
            </w:pPr>
          </w:p>
          <w:p w14:paraId="11ADAF77" w14:textId="77777777" w:rsidR="004C0586" w:rsidRPr="00377690" w:rsidRDefault="004C0586" w:rsidP="00593638">
            <w:pPr>
              <w:jc w:val="center"/>
              <w:rPr>
                <w:rFonts w:cs="Arial"/>
                <w:sz w:val="22"/>
                <w:szCs w:val="22"/>
              </w:rPr>
            </w:pPr>
            <w:r w:rsidRPr="00377690">
              <w:rPr>
                <w:rFonts w:cs="Arial"/>
                <w:sz w:val="22"/>
                <w:szCs w:val="22"/>
              </w:rPr>
              <w:t>This information will be used to add a policy, strategy, guidance or procedure to the</w:t>
            </w:r>
            <w:r>
              <w:rPr>
                <w:rFonts w:cs="Arial"/>
                <w:sz w:val="22"/>
                <w:szCs w:val="22"/>
              </w:rPr>
              <w:t xml:space="preserve"> Council’s</w:t>
            </w:r>
            <w:r w:rsidRPr="00377690">
              <w:rPr>
                <w:rFonts w:cs="Arial"/>
                <w:sz w:val="22"/>
                <w:szCs w:val="22"/>
              </w:rPr>
              <w:t xml:space="preserve"> Policy Library.</w:t>
            </w:r>
          </w:p>
          <w:p w14:paraId="4F3123B9" w14:textId="77777777" w:rsidR="004C0586" w:rsidRPr="00BD1F1E" w:rsidRDefault="004C0586" w:rsidP="00593638">
            <w:pPr>
              <w:spacing w:line="120" w:lineRule="auto"/>
              <w:jc w:val="center"/>
              <w:rPr>
                <w:rFonts w:cs="Arial"/>
              </w:rPr>
            </w:pPr>
          </w:p>
        </w:tc>
      </w:tr>
    </w:tbl>
    <w:p w14:paraId="1151314B" w14:textId="77777777" w:rsidR="004C0586" w:rsidRPr="003772B6" w:rsidRDefault="004C0586" w:rsidP="004C0586">
      <w:pPr>
        <w:rPr>
          <w:rFonts w:cs="Arial"/>
          <w:sz w:val="2"/>
          <w:szCs w:val="1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4C0586" w14:paraId="17EBC4F4" w14:textId="77777777" w:rsidTr="00593638">
        <w:tc>
          <w:tcPr>
            <w:tcW w:w="9016" w:type="dxa"/>
            <w:tcBorders>
              <w:top w:val="single" w:sz="18" w:space="0" w:color="FFFFFF"/>
              <w:left w:val="single" w:sz="18" w:space="0" w:color="FFFFFF"/>
              <w:bottom w:val="single" w:sz="18" w:space="0" w:color="FFFFFF"/>
              <w:right w:val="single" w:sz="18" w:space="0" w:color="FFFFFF"/>
            </w:tcBorders>
          </w:tcPr>
          <w:p w14:paraId="72DCB3D4" w14:textId="021E6D52" w:rsidR="004C0586" w:rsidRDefault="004C0586" w:rsidP="00593638">
            <w:pPr>
              <w:spacing w:before="120"/>
              <w:rPr>
                <w:rFonts w:cs="Arial"/>
              </w:rPr>
            </w:pPr>
            <w:r w:rsidRPr="00BD1F1E">
              <w:rPr>
                <w:rFonts w:cs="Arial"/>
                <w:b/>
              </w:rPr>
              <w:t>Title:</w:t>
            </w:r>
            <w:r w:rsidR="00FA2C74">
              <w:rPr>
                <w:rFonts w:cs="Arial"/>
                <w:b/>
              </w:rPr>
              <w:t xml:space="preserve"> </w:t>
            </w:r>
            <w:r w:rsidR="00FA2C74" w:rsidRPr="006E75B6">
              <w:t>Occupational Therapy Service Policy</w:t>
            </w:r>
          </w:p>
        </w:tc>
      </w:tr>
      <w:tr w:rsidR="004C0586" w14:paraId="60DCDD30" w14:textId="77777777" w:rsidTr="00593638">
        <w:tc>
          <w:tcPr>
            <w:tcW w:w="9016" w:type="dxa"/>
            <w:tcBorders>
              <w:top w:val="single" w:sz="18" w:space="0" w:color="FFFFFF"/>
              <w:left w:val="single" w:sz="18" w:space="0" w:color="FFFFFF"/>
              <w:bottom w:val="single" w:sz="4" w:space="0" w:color="auto"/>
              <w:right w:val="single" w:sz="18" w:space="0" w:color="FFFFFF"/>
            </w:tcBorders>
          </w:tcPr>
          <w:p w14:paraId="4AEF7EB6" w14:textId="77777777" w:rsidR="004C0586" w:rsidRPr="00EE07AA" w:rsidRDefault="004C0586" w:rsidP="00593638">
            <w:pPr>
              <w:spacing w:line="300" w:lineRule="auto"/>
              <w:rPr>
                <w:rFonts w:cs="Arial"/>
                <w:sz w:val="22"/>
                <w:szCs w:val="22"/>
              </w:rPr>
            </w:pPr>
          </w:p>
        </w:tc>
      </w:tr>
    </w:tbl>
    <w:p w14:paraId="141E68CF" w14:textId="77777777" w:rsidR="004C0586" w:rsidRPr="00503151" w:rsidRDefault="004C0586" w:rsidP="004C0586">
      <w:pPr>
        <w:rPr>
          <w:rFonts w:cs="Arial"/>
          <w:sz w:val="14"/>
          <w:szCs w:val="22"/>
        </w:rPr>
      </w:pPr>
    </w:p>
    <w:tbl>
      <w:tblPr>
        <w:tblStyle w:val="TableGrid"/>
        <w:tblW w:w="0" w:type="auto"/>
        <w:tblBorders>
          <w:top w:val="single" w:sz="18" w:space="0" w:color="FFFFFF"/>
          <w:left w:val="single" w:sz="18" w:space="0" w:color="FFFFFF"/>
          <w:right w:val="single" w:sz="18" w:space="0" w:color="FFFFFF"/>
          <w:insideH w:val="none" w:sz="0" w:space="0" w:color="auto"/>
          <w:insideV w:val="none" w:sz="0" w:space="0" w:color="auto"/>
        </w:tblBorders>
        <w:tblLook w:val="04A0" w:firstRow="1" w:lastRow="0" w:firstColumn="1" w:lastColumn="0" w:noHBand="0" w:noVBand="1"/>
      </w:tblPr>
      <w:tblGrid>
        <w:gridCol w:w="9016"/>
      </w:tblGrid>
      <w:tr w:rsidR="004C0586" w14:paraId="513379A9" w14:textId="77777777" w:rsidTr="00593638">
        <w:tc>
          <w:tcPr>
            <w:tcW w:w="9016" w:type="dxa"/>
            <w:tcBorders>
              <w:top w:val="single" w:sz="18" w:space="0" w:color="FFFFFF"/>
              <w:bottom w:val="single" w:sz="18" w:space="0" w:color="FFFFFF"/>
            </w:tcBorders>
          </w:tcPr>
          <w:p w14:paraId="6DA79607" w14:textId="6A8E42B4" w:rsidR="004C0586" w:rsidRPr="00BD1F1E" w:rsidRDefault="004C0586" w:rsidP="00593638">
            <w:pPr>
              <w:rPr>
                <w:rFonts w:cs="Arial"/>
                <w:b/>
              </w:rPr>
            </w:pPr>
            <w:r w:rsidRPr="00BD1F1E">
              <w:rPr>
                <w:rFonts w:cs="Arial"/>
                <w:b/>
              </w:rPr>
              <w:t>Aim / Summary:</w:t>
            </w:r>
            <w:r w:rsidR="008C2A8C">
              <w:rPr>
                <w:rFonts w:cs="Arial"/>
                <w:b/>
              </w:rPr>
              <w:t xml:space="preserve"> </w:t>
            </w:r>
            <w:r w:rsidR="008C2A8C" w:rsidRPr="006E75B6">
              <w:t>To ensure that occupational therapy services are provided consistently across Nottinghamshire.</w:t>
            </w:r>
          </w:p>
        </w:tc>
      </w:tr>
      <w:tr w:rsidR="004C0586" w14:paraId="2D8910A4" w14:textId="77777777" w:rsidTr="00593638">
        <w:tc>
          <w:tcPr>
            <w:tcW w:w="9016" w:type="dxa"/>
            <w:tcBorders>
              <w:top w:val="single" w:sz="18" w:space="0" w:color="FFFFFF"/>
            </w:tcBorders>
          </w:tcPr>
          <w:p w14:paraId="3ECF309F" w14:textId="77777777" w:rsidR="004C0586" w:rsidRPr="00EE07AA" w:rsidRDefault="004C0586" w:rsidP="00593638">
            <w:pPr>
              <w:spacing w:line="300" w:lineRule="auto"/>
              <w:rPr>
                <w:rFonts w:cs="Arial"/>
                <w:sz w:val="22"/>
                <w:szCs w:val="22"/>
              </w:rPr>
            </w:pPr>
          </w:p>
        </w:tc>
      </w:tr>
    </w:tbl>
    <w:p w14:paraId="7E5024FD" w14:textId="77777777" w:rsidR="004C0586" w:rsidRPr="00612E5C" w:rsidRDefault="004C0586" w:rsidP="004C0586">
      <w:pPr>
        <w:rPr>
          <w:rFonts w:cs="Arial"/>
          <w:sz w:val="16"/>
          <w:szCs w:val="16"/>
        </w:rPr>
      </w:pPr>
    </w:p>
    <w:tbl>
      <w:tblPr>
        <w:tblStyle w:val="TableGrid"/>
        <w:tblW w:w="0" w:type="auto"/>
        <w:tblInd w:w="-5" w:type="dxa"/>
        <w:tblBorders>
          <w:top w:val="none" w:sz="0" w:space="0" w:color="auto"/>
        </w:tblBorders>
        <w:tblLook w:val="04A0" w:firstRow="1" w:lastRow="0" w:firstColumn="1" w:lastColumn="0" w:noHBand="0" w:noVBand="1"/>
      </w:tblPr>
      <w:tblGrid>
        <w:gridCol w:w="2254"/>
        <w:gridCol w:w="2254"/>
        <w:gridCol w:w="2254"/>
        <w:gridCol w:w="2254"/>
      </w:tblGrid>
      <w:tr w:rsidR="004C0586" w14:paraId="029A3DC4" w14:textId="77777777" w:rsidTr="00593638">
        <w:tc>
          <w:tcPr>
            <w:tcW w:w="9016" w:type="dxa"/>
            <w:gridSpan w:val="4"/>
            <w:tcBorders>
              <w:top w:val="single" w:sz="4" w:space="0" w:color="AEAAAA"/>
              <w:left w:val="single" w:sz="4" w:space="0" w:color="AEAAAA"/>
              <w:bottom w:val="single" w:sz="4" w:space="0" w:color="AEAAAA"/>
              <w:right w:val="single" w:sz="4" w:space="0" w:color="AEAAAA"/>
            </w:tcBorders>
          </w:tcPr>
          <w:p w14:paraId="63A7EDB4" w14:textId="77777777" w:rsidR="004C0586" w:rsidRDefault="004C0586" w:rsidP="00593638">
            <w:pPr>
              <w:spacing w:line="120" w:lineRule="auto"/>
              <w:rPr>
                <w:rFonts w:cs="Arial"/>
              </w:rPr>
            </w:pPr>
          </w:p>
          <w:p w14:paraId="3C56EC88" w14:textId="77777777" w:rsidR="004C0586" w:rsidRDefault="004C0586" w:rsidP="00593638">
            <w:pPr>
              <w:rPr>
                <w:rFonts w:cs="Arial"/>
              </w:rPr>
            </w:pPr>
            <w:r w:rsidRPr="006613A0">
              <w:rPr>
                <w:rFonts w:cs="Arial"/>
                <w:b/>
              </w:rPr>
              <w:t>Document Type</w:t>
            </w:r>
            <w:r w:rsidRPr="00BD1F1E">
              <w:rPr>
                <w:rFonts w:cs="Arial"/>
                <w:b/>
              </w:rPr>
              <w:t>:</w:t>
            </w:r>
          </w:p>
          <w:p w14:paraId="6DBCE496" w14:textId="77777777" w:rsidR="004C0586" w:rsidRDefault="004C0586" w:rsidP="00593638">
            <w:pPr>
              <w:spacing w:line="120" w:lineRule="auto"/>
              <w:rPr>
                <w:rFonts w:cs="Arial"/>
              </w:rPr>
            </w:pPr>
          </w:p>
        </w:tc>
      </w:tr>
      <w:tr w:rsidR="004C0586" w14:paraId="35B3CD40" w14:textId="77777777" w:rsidTr="00593638">
        <w:tc>
          <w:tcPr>
            <w:tcW w:w="2254" w:type="dxa"/>
            <w:tcBorders>
              <w:top w:val="single" w:sz="4" w:space="0" w:color="AEAAAA"/>
              <w:left w:val="single" w:sz="4" w:space="0" w:color="AEAAAA"/>
              <w:bottom w:val="single" w:sz="4" w:space="0" w:color="AEAAAA"/>
              <w:right w:val="single" w:sz="18" w:space="0" w:color="FFFFFF"/>
            </w:tcBorders>
          </w:tcPr>
          <w:p w14:paraId="724031A3" w14:textId="77777777" w:rsidR="004C0586" w:rsidRDefault="004C0586" w:rsidP="00593638">
            <w:pPr>
              <w:spacing w:line="120" w:lineRule="auto"/>
              <w:rPr>
                <w:rFonts w:cs="Arial"/>
              </w:rPr>
            </w:pPr>
          </w:p>
          <w:p w14:paraId="23BD2538" w14:textId="77777777" w:rsidR="004C0586" w:rsidRDefault="004C0586" w:rsidP="00593638">
            <w:pPr>
              <w:rPr>
                <w:rFonts w:cs="Arial"/>
              </w:rPr>
            </w:pPr>
            <w:r w:rsidRPr="00F87672">
              <w:rPr>
                <w:rFonts w:cs="Arial"/>
              </w:rPr>
              <w:t>Policy</w:t>
            </w:r>
          </w:p>
          <w:p w14:paraId="2A498839" w14:textId="77777777" w:rsidR="004C0586" w:rsidRDefault="004C0586" w:rsidP="00593638">
            <w:pPr>
              <w:spacing w:line="120" w:lineRule="auto"/>
              <w:rPr>
                <w:rFonts w:cs="Arial"/>
              </w:rPr>
            </w:pPr>
          </w:p>
        </w:tc>
        <w:tc>
          <w:tcPr>
            <w:tcW w:w="2254" w:type="dxa"/>
            <w:tcBorders>
              <w:top w:val="single" w:sz="4" w:space="0" w:color="AEAAAA"/>
              <w:left w:val="single" w:sz="18" w:space="0" w:color="FFFFFF"/>
              <w:bottom w:val="single" w:sz="4" w:space="0" w:color="AEAAAA"/>
              <w:right w:val="single" w:sz="4" w:space="0" w:color="AEAAAA"/>
            </w:tcBorders>
          </w:tcPr>
          <w:p w14:paraId="61FBB2FE" w14:textId="77777777" w:rsidR="004C0586" w:rsidRDefault="004C0586" w:rsidP="00593638">
            <w:pPr>
              <w:spacing w:line="120" w:lineRule="auto"/>
              <w:jc w:val="center"/>
              <w:rPr>
                <w:rFonts w:cs="Arial"/>
              </w:rPr>
            </w:pPr>
          </w:p>
          <w:sdt>
            <w:sdtPr>
              <w:rPr>
                <w:rFonts w:cs="Arial"/>
              </w:rPr>
              <w:id w:val="590514532"/>
              <w15:color w:val="008000"/>
              <w14:checkbox>
                <w14:checked w14:val="0"/>
                <w14:checkedState w14:val="2612" w14:font="MS Gothic"/>
                <w14:uncheckedState w14:val="2610" w14:font="MS Gothic"/>
              </w14:checkbox>
            </w:sdtPr>
            <w:sdtContent>
              <w:p w14:paraId="100EB4A2" w14:textId="77777777" w:rsidR="004C0586" w:rsidRDefault="004C0586" w:rsidP="00593638">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18" w:space="0" w:color="FFFFFF"/>
            </w:tcBorders>
          </w:tcPr>
          <w:p w14:paraId="1F347615" w14:textId="77777777" w:rsidR="004C0586" w:rsidRDefault="004C0586" w:rsidP="00593638">
            <w:pPr>
              <w:spacing w:line="120" w:lineRule="auto"/>
              <w:rPr>
                <w:rFonts w:cs="Arial"/>
              </w:rPr>
            </w:pPr>
          </w:p>
          <w:p w14:paraId="3AA2C531" w14:textId="77777777" w:rsidR="004C0586" w:rsidRDefault="004C0586" w:rsidP="00593638">
            <w:pPr>
              <w:rPr>
                <w:rFonts w:cs="Arial"/>
              </w:rPr>
            </w:pPr>
            <w:r>
              <w:rPr>
                <w:rFonts w:cs="Arial"/>
              </w:rPr>
              <w:t>Guidance</w:t>
            </w:r>
          </w:p>
        </w:tc>
        <w:tc>
          <w:tcPr>
            <w:tcW w:w="2254" w:type="dxa"/>
            <w:tcBorders>
              <w:top w:val="single" w:sz="4" w:space="0" w:color="AEAAAA"/>
              <w:left w:val="single" w:sz="18" w:space="0" w:color="FFFFFF"/>
              <w:bottom w:val="single" w:sz="4" w:space="0" w:color="AEAAAA"/>
              <w:right w:val="single" w:sz="4" w:space="0" w:color="AEAAAA"/>
            </w:tcBorders>
          </w:tcPr>
          <w:p w14:paraId="1173C02C" w14:textId="77777777" w:rsidR="004C0586" w:rsidRDefault="004C0586" w:rsidP="00593638">
            <w:pPr>
              <w:spacing w:line="120" w:lineRule="auto"/>
              <w:jc w:val="center"/>
              <w:rPr>
                <w:rFonts w:cs="Arial"/>
              </w:rPr>
            </w:pPr>
          </w:p>
          <w:sdt>
            <w:sdtPr>
              <w:rPr>
                <w:rFonts w:cs="Arial"/>
              </w:rPr>
              <w:id w:val="-704245392"/>
              <w15:color w:val="008000"/>
              <w14:checkbox>
                <w14:checked w14:val="1"/>
                <w14:checkedState w14:val="2612" w14:font="MS Gothic"/>
                <w14:uncheckedState w14:val="2610" w14:font="MS Gothic"/>
              </w14:checkbox>
            </w:sdtPr>
            <w:sdtContent>
              <w:p w14:paraId="20A00385" w14:textId="35EEA87E" w:rsidR="004C0586" w:rsidRDefault="00E362F9" w:rsidP="00593638">
                <w:pPr>
                  <w:rPr>
                    <w:rFonts w:cs="Arial"/>
                  </w:rPr>
                </w:pPr>
                <w:r>
                  <w:rPr>
                    <w:rFonts w:ascii="MS Gothic" w:eastAsia="MS Gothic" w:hAnsi="MS Gothic" w:cs="Arial" w:hint="eastAsia"/>
                  </w:rPr>
                  <w:t>☒</w:t>
                </w:r>
              </w:p>
            </w:sdtContent>
          </w:sdt>
        </w:tc>
      </w:tr>
      <w:tr w:rsidR="004C0586" w14:paraId="0D531BAB" w14:textId="77777777" w:rsidTr="00593638">
        <w:tc>
          <w:tcPr>
            <w:tcW w:w="2254" w:type="dxa"/>
            <w:tcBorders>
              <w:top w:val="single" w:sz="4" w:space="0" w:color="AEAAAA"/>
              <w:left w:val="single" w:sz="4" w:space="0" w:color="AEAAAA"/>
              <w:bottom w:val="single" w:sz="4" w:space="0" w:color="AEAAAA"/>
              <w:right w:val="single" w:sz="4" w:space="0" w:color="FFFFFF" w:themeColor="background1"/>
            </w:tcBorders>
          </w:tcPr>
          <w:p w14:paraId="4DD5D21D" w14:textId="77777777" w:rsidR="004C0586" w:rsidRDefault="004C0586" w:rsidP="00593638">
            <w:pPr>
              <w:spacing w:line="120" w:lineRule="auto"/>
              <w:rPr>
                <w:rFonts w:cs="Arial"/>
              </w:rPr>
            </w:pPr>
          </w:p>
          <w:p w14:paraId="1EEA6F6A" w14:textId="77777777" w:rsidR="004C0586" w:rsidRDefault="004C0586" w:rsidP="00593638">
            <w:pPr>
              <w:rPr>
                <w:rFonts w:cs="Arial"/>
              </w:rPr>
            </w:pPr>
            <w:r>
              <w:rPr>
                <w:rFonts w:cs="Arial"/>
              </w:rPr>
              <w:t>Strategy</w:t>
            </w:r>
          </w:p>
          <w:p w14:paraId="22C0F6EC" w14:textId="77777777" w:rsidR="004C0586" w:rsidRDefault="004C0586" w:rsidP="00593638">
            <w:pPr>
              <w:spacing w:line="120" w:lineRule="auto"/>
              <w:rPr>
                <w:rFonts w:cs="Arial"/>
              </w:rPr>
            </w:pPr>
          </w:p>
        </w:tc>
        <w:tc>
          <w:tcPr>
            <w:tcW w:w="2254" w:type="dxa"/>
            <w:tcBorders>
              <w:top w:val="single" w:sz="4" w:space="0" w:color="AEAAAA"/>
              <w:left w:val="single" w:sz="4" w:space="0" w:color="FFFFFF" w:themeColor="background1"/>
              <w:bottom w:val="single" w:sz="4" w:space="0" w:color="AEAAAA"/>
              <w:right w:val="single" w:sz="4" w:space="0" w:color="AEAAAA"/>
            </w:tcBorders>
          </w:tcPr>
          <w:p w14:paraId="5FCD852A" w14:textId="77777777" w:rsidR="004C0586" w:rsidRDefault="004C0586" w:rsidP="00593638">
            <w:pPr>
              <w:spacing w:line="120" w:lineRule="auto"/>
              <w:jc w:val="center"/>
              <w:rPr>
                <w:rFonts w:cs="Arial"/>
              </w:rPr>
            </w:pPr>
          </w:p>
          <w:sdt>
            <w:sdtPr>
              <w:rPr>
                <w:rFonts w:cs="Arial"/>
              </w:rPr>
              <w:id w:val="-36978897"/>
              <w15:color w:val="008000"/>
              <w14:checkbox>
                <w14:checked w14:val="0"/>
                <w14:checkedState w14:val="2612" w14:font="MS Gothic"/>
                <w14:uncheckedState w14:val="2610" w14:font="MS Gothic"/>
              </w14:checkbox>
            </w:sdtPr>
            <w:sdtContent>
              <w:p w14:paraId="6A7A7665" w14:textId="77777777" w:rsidR="004C0586" w:rsidRDefault="004C0586" w:rsidP="00593638">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4" w:space="0" w:color="FFFFFF" w:themeColor="background1"/>
            </w:tcBorders>
          </w:tcPr>
          <w:p w14:paraId="771CEE3C" w14:textId="77777777" w:rsidR="004C0586" w:rsidRDefault="004C0586" w:rsidP="00593638">
            <w:pPr>
              <w:spacing w:line="120" w:lineRule="auto"/>
              <w:rPr>
                <w:rFonts w:cs="Arial"/>
              </w:rPr>
            </w:pPr>
          </w:p>
          <w:p w14:paraId="2BEC6311" w14:textId="77777777" w:rsidR="004C0586" w:rsidRDefault="004C0586" w:rsidP="00593638">
            <w:pPr>
              <w:rPr>
                <w:rFonts w:cs="Arial"/>
              </w:rPr>
            </w:pPr>
            <w:r>
              <w:rPr>
                <w:rFonts w:cs="Arial"/>
              </w:rPr>
              <w:t>Procedure</w:t>
            </w:r>
          </w:p>
        </w:tc>
        <w:tc>
          <w:tcPr>
            <w:tcW w:w="2254" w:type="dxa"/>
            <w:tcBorders>
              <w:top w:val="single" w:sz="4" w:space="0" w:color="AEAAAA"/>
              <w:left w:val="single" w:sz="4" w:space="0" w:color="FFFFFF" w:themeColor="background1"/>
              <w:bottom w:val="single" w:sz="4" w:space="0" w:color="AEAAAA"/>
              <w:right w:val="single" w:sz="4" w:space="0" w:color="AEAAAA"/>
            </w:tcBorders>
          </w:tcPr>
          <w:p w14:paraId="26A152FA" w14:textId="77777777" w:rsidR="004C0586" w:rsidRDefault="004C0586" w:rsidP="00593638">
            <w:pPr>
              <w:spacing w:line="120" w:lineRule="auto"/>
              <w:jc w:val="center"/>
              <w:rPr>
                <w:rFonts w:cs="Arial"/>
              </w:rPr>
            </w:pPr>
          </w:p>
          <w:sdt>
            <w:sdtPr>
              <w:rPr>
                <w:rFonts w:cs="Arial"/>
              </w:rPr>
              <w:id w:val="939267632"/>
              <w15:color w:val="008000"/>
              <w14:checkbox>
                <w14:checked w14:val="0"/>
                <w14:checkedState w14:val="2612" w14:font="MS Gothic"/>
                <w14:uncheckedState w14:val="2610" w14:font="MS Gothic"/>
              </w14:checkbox>
            </w:sdtPr>
            <w:sdtContent>
              <w:p w14:paraId="15F90575" w14:textId="77777777" w:rsidR="004C0586" w:rsidRDefault="004C0586" w:rsidP="00593638">
                <w:pPr>
                  <w:rPr>
                    <w:rFonts w:cs="Arial"/>
                  </w:rPr>
                </w:pPr>
                <w:r>
                  <w:rPr>
                    <w:rFonts w:ascii="MS Gothic" w:eastAsia="MS Gothic" w:hAnsi="MS Gothic" w:cs="Arial" w:hint="eastAsia"/>
                  </w:rPr>
                  <w:t>☐</w:t>
                </w:r>
              </w:p>
            </w:sdtContent>
          </w:sdt>
        </w:tc>
      </w:tr>
    </w:tbl>
    <w:p w14:paraId="48593182" w14:textId="77777777" w:rsidR="004C0586" w:rsidRPr="00612E5C" w:rsidRDefault="004C0586" w:rsidP="004C0586">
      <w:pPr>
        <w:rPr>
          <w:rFonts w:cs="Arial"/>
          <w:sz w:val="16"/>
          <w:szCs w:val="16"/>
        </w:rPr>
      </w:pPr>
    </w:p>
    <w:tbl>
      <w:tblPr>
        <w:tblStyle w:val="TableGrid"/>
        <w:tblW w:w="0" w:type="auto"/>
        <w:tblLook w:val="04A0" w:firstRow="1" w:lastRow="0" w:firstColumn="1" w:lastColumn="0" w:noHBand="0" w:noVBand="1"/>
      </w:tblPr>
      <w:tblGrid>
        <w:gridCol w:w="4508"/>
        <w:gridCol w:w="4508"/>
      </w:tblGrid>
      <w:tr w:rsidR="004C0586" w14:paraId="74E8F6EE" w14:textId="77777777" w:rsidTr="00593638">
        <w:tc>
          <w:tcPr>
            <w:tcW w:w="4508" w:type="dxa"/>
            <w:tcBorders>
              <w:top w:val="single" w:sz="4" w:space="0" w:color="AEAAAA"/>
              <w:left w:val="single" w:sz="4" w:space="0" w:color="AEAAAA"/>
              <w:bottom w:val="single" w:sz="4" w:space="0" w:color="AEAAAA"/>
              <w:right w:val="single" w:sz="4" w:space="0" w:color="D0CECE"/>
            </w:tcBorders>
          </w:tcPr>
          <w:p w14:paraId="20CD1F85" w14:textId="77777777" w:rsidR="004C0586" w:rsidRDefault="004C0586" w:rsidP="00593638">
            <w:pPr>
              <w:spacing w:line="120" w:lineRule="auto"/>
              <w:rPr>
                <w:rFonts w:cs="Arial"/>
              </w:rPr>
            </w:pPr>
          </w:p>
          <w:p w14:paraId="783EFC3E" w14:textId="77777777" w:rsidR="004C0586" w:rsidRPr="003E022E" w:rsidRDefault="004C0586" w:rsidP="00593638">
            <w:pPr>
              <w:rPr>
                <w:rFonts w:cs="Arial"/>
              </w:rPr>
            </w:pPr>
            <w:r w:rsidRPr="006A6495">
              <w:rPr>
                <w:rFonts w:cs="Arial"/>
                <w:b/>
              </w:rPr>
              <w:t>Approved By:</w:t>
            </w:r>
            <w:r>
              <w:rPr>
                <w:rFonts w:cs="Arial"/>
                <w:b/>
              </w:rPr>
              <w:t xml:space="preserve"> </w:t>
            </w:r>
          </w:p>
          <w:p w14:paraId="235FC8F1" w14:textId="77777777" w:rsidR="004C0586" w:rsidRDefault="004C0586" w:rsidP="00593638">
            <w:pPr>
              <w:spacing w:line="120" w:lineRule="auto"/>
              <w:rPr>
                <w:rFonts w:cs="Arial"/>
              </w:rPr>
            </w:pPr>
          </w:p>
        </w:tc>
        <w:tc>
          <w:tcPr>
            <w:tcW w:w="4508" w:type="dxa"/>
            <w:tcBorders>
              <w:top w:val="single" w:sz="4" w:space="0" w:color="AEAAAA"/>
              <w:left w:val="single" w:sz="4" w:space="0" w:color="D0CECE"/>
              <w:bottom w:val="single" w:sz="4" w:space="0" w:color="AEAAAA"/>
              <w:right w:val="single" w:sz="4" w:space="0" w:color="AEAAAA"/>
            </w:tcBorders>
          </w:tcPr>
          <w:p w14:paraId="2CAC871D" w14:textId="77777777" w:rsidR="004C0586" w:rsidRDefault="004C0586" w:rsidP="00593638">
            <w:pPr>
              <w:spacing w:line="120" w:lineRule="auto"/>
              <w:rPr>
                <w:rFonts w:cs="Arial"/>
              </w:rPr>
            </w:pPr>
          </w:p>
          <w:p w14:paraId="71C83AE6" w14:textId="77777777" w:rsidR="004C0586" w:rsidRPr="003E022E" w:rsidRDefault="004C0586" w:rsidP="00593638">
            <w:pPr>
              <w:rPr>
                <w:rFonts w:cs="Arial"/>
              </w:rPr>
            </w:pPr>
            <w:r w:rsidRPr="006A6495">
              <w:rPr>
                <w:rFonts w:cs="Arial"/>
                <w:b/>
              </w:rPr>
              <w:t>Version Number</w:t>
            </w:r>
            <w:r>
              <w:rPr>
                <w:rFonts w:cs="Arial"/>
                <w:b/>
              </w:rPr>
              <w:t xml:space="preserve"> *</w:t>
            </w:r>
            <w:r w:rsidRPr="006A6495">
              <w:rPr>
                <w:rFonts w:cs="Arial"/>
                <w:b/>
              </w:rPr>
              <w:t>:</w:t>
            </w:r>
            <w:r>
              <w:rPr>
                <w:rFonts w:cs="Arial"/>
                <w:b/>
              </w:rPr>
              <w:t xml:space="preserve"> </w:t>
            </w:r>
          </w:p>
          <w:p w14:paraId="298881D1" w14:textId="77777777" w:rsidR="004C0586" w:rsidRDefault="004C0586" w:rsidP="00593638">
            <w:pPr>
              <w:spacing w:line="120" w:lineRule="auto"/>
              <w:rPr>
                <w:rFonts w:cs="Arial"/>
              </w:rPr>
            </w:pPr>
          </w:p>
        </w:tc>
      </w:tr>
      <w:tr w:rsidR="004C0586" w14:paraId="622FE33B" w14:textId="77777777" w:rsidTr="00593638">
        <w:tc>
          <w:tcPr>
            <w:tcW w:w="4508" w:type="dxa"/>
            <w:tcBorders>
              <w:top w:val="single" w:sz="4" w:space="0" w:color="AEAAAA"/>
              <w:left w:val="single" w:sz="4" w:space="0" w:color="AEAAAA"/>
              <w:bottom w:val="single" w:sz="4" w:space="0" w:color="AEAAAA"/>
              <w:right w:val="single" w:sz="4" w:space="0" w:color="AEAAAA"/>
            </w:tcBorders>
          </w:tcPr>
          <w:p w14:paraId="2855F7A8" w14:textId="77777777" w:rsidR="004C0586" w:rsidRPr="006A6495" w:rsidRDefault="004C0586" w:rsidP="00593638">
            <w:pPr>
              <w:spacing w:line="120" w:lineRule="auto"/>
              <w:rPr>
                <w:rFonts w:cs="Arial"/>
                <w:b/>
              </w:rPr>
            </w:pPr>
          </w:p>
          <w:p w14:paraId="050AB0CA" w14:textId="77777777" w:rsidR="004C0586" w:rsidRPr="00FC6002" w:rsidRDefault="004C0586" w:rsidP="00593638">
            <w:pPr>
              <w:rPr>
                <w:rFonts w:cs="Arial"/>
              </w:rPr>
            </w:pPr>
            <w:r w:rsidRPr="006A6495">
              <w:rPr>
                <w:rFonts w:cs="Arial"/>
                <w:b/>
              </w:rPr>
              <w:t>Date Approved:</w:t>
            </w:r>
            <w:r>
              <w:rPr>
                <w:rFonts w:cs="Arial"/>
                <w:b/>
              </w:rPr>
              <w:t xml:space="preserve"> </w:t>
            </w:r>
          </w:p>
          <w:sdt>
            <w:sdtPr>
              <w:rPr>
                <w:rFonts w:cs="Arial"/>
                <w:b/>
              </w:rPr>
              <w:id w:val="1806121636"/>
              <w:placeholder>
                <w:docPart w:val="536B6DA8AC324FB7B1E43F8A85D93952"/>
              </w:placeholder>
              <w:date w:fullDate="2023-06-10T00:00:00Z">
                <w:dateFormat w:val="dd/MM/yyyy"/>
                <w:lid w:val="en-GB"/>
                <w:storeMappedDataAs w:val="dateTime"/>
                <w:calendar w:val="gregorian"/>
              </w:date>
            </w:sdtPr>
            <w:sdtContent>
              <w:p w14:paraId="062CF72C" w14:textId="5DE9771A" w:rsidR="004C0586" w:rsidRPr="006A6495" w:rsidRDefault="00E362F9" w:rsidP="00593638">
                <w:pPr>
                  <w:rPr>
                    <w:rFonts w:cs="Arial"/>
                    <w:b/>
                  </w:rPr>
                </w:pPr>
                <w:r>
                  <w:rPr>
                    <w:rFonts w:cs="Arial"/>
                    <w:b/>
                  </w:rPr>
                  <w:t>10/06/2023</w:t>
                </w:r>
              </w:p>
            </w:sdtContent>
          </w:sdt>
          <w:p w14:paraId="061318E5" w14:textId="77777777" w:rsidR="004C0586" w:rsidRPr="006A6495" w:rsidRDefault="004C0586" w:rsidP="00593638">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25AECEBA" w14:textId="77777777" w:rsidR="004C0586" w:rsidRPr="006A6495" w:rsidRDefault="004C0586" w:rsidP="00593638">
            <w:pPr>
              <w:spacing w:line="120" w:lineRule="auto"/>
              <w:rPr>
                <w:rFonts w:cs="Arial"/>
                <w:b/>
              </w:rPr>
            </w:pPr>
          </w:p>
          <w:p w14:paraId="3E3D7EA0" w14:textId="77777777" w:rsidR="004C0586" w:rsidRPr="00FC6002" w:rsidRDefault="004C0586" w:rsidP="00593638">
            <w:pPr>
              <w:rPr>
                <w:rFonts w:cs="Arial"/>
              </w:rPr>
            </w:pPr>
            <w:r w:rsidRPr="006A6495">
              <w:rPr>
                <w:rFonts w:cs="Arial"/>
                <w:b/>
              </w:rPr>
              <w:t>Proposed Review Date:</w:t>
            </w:r>
            <w:r>
              <w:rPr>
                <w:rFonts w:cs="Arial"/>
                <w:b/>
              </w:rPr>
              <w:t xml:space="preserve"> </w:t>
            </w:r>
          </w:p>
          <w:sdt>
            <w:sdtPr>
              <w:rPr>
                <w:rFonts w:cs="Arial"/>
                <w:b/>
              </w:rPr>
              <w:id w:val="2062050348"/>
              <w:placeholder>
                <w:docPart w:val="A310161FC3A84E5DA236B5FE05C12F35"/>
              </w:placeholder>
              <w:date w:fullDate="2025-06-30T00:00:00Z">
                <w:dateFormat w:val="MMMM yyyy"/>
                <w:lid w:val="en-GB"/>
                <w:storeMappedDataAs w:val="dateTime"/>
                <w:calendar w:val="gregorian"/>
              </w:date>
            </w:sdtPr>
            <w:sdtContent>
              <w:p w14:paraId="582F9DC9" w14:textId="4F4BCD35" w:rsidR="004C0586" w:rsidRPr="009241F8" w:rsidRDefault="00E362F9" w:rsidP="00593638">
                <w:pPr>
                  <w:rPr>
                    <w:rFonts w:cs="Arial"/>
                    <w:b/>
                  </w:rPr>
                </w:pPr>
                <w:r>
                  <w:rPr>
                    <w:rFonts w:cs="Arial"/>
                    <w:b/>
                  </w:rPr>
                  <w:t>June 2025</w:t>
                </w:r>
              </w:p>
            </w:sdtContent>
          </w:sdt>
          <w:p w14:paraId="35C503CF" w14:textId="77777777" w:rsidR="004C0586" w:rsidRPr="006A6495" w:rsidRDefault="004C0586" w:rsidP="00593638">
            <w:pPr>
              <w:spacing w:line="120" w:lineRule="auto"/>
              <w:rPr>
                <w:rFonts w:cs="Arial"/>
              </w:rPr>
            </w:pPr>
          </w:p>
        </w:tc>
      </w:tr>
    </w:tbl>
    <w:p w14:paraId="622D2FC4" w14:textId="77777777" w:rsidR="004C0586" w:rsidRPr="00612E5C" w:rsidRDefault="004C0586" w:rsidP="004C0586">
      <w:pPr>
        <w:rPr>
          <w:rFonts w:cs="Arial"/>
          <w:sz w:val="16"/>
          <w:szCs w:val="16"/>
        </w:rPr>
      </w:pPr>
    </w:p>
    <w:tbl>
      <w:tblPr>
        <w:tblStyle w:val="TableGrid"/>
        <w:tblW w:w="0" w:type="auto"/>
        <w:tblLook w:val="04A0" w:firstRow="1" w:lastRow="0" w:firstColumn="1" w:lastColumn="0" w:noHBand="0" w:noVBand="1"/>
      </w:tblPr>
      <w:tblGrid>
        <w:gridCol w:w="4508"/>
        <w:gridCol w:w="4508"/>
      </w:tblGrid>
      <w:tr w:rsidR="004C0586" w14:paraId="3EBA36BB" w14:textId="77777777" w:rsidTr="00593638">
        <w:tc>
          <w:tcPr>
            <w:tcW w:w="4508" w:type="dxa"/>
            <w:tcBorders>
              <w:top w:val="single" w:sz="4" w:space="0" w:color="AEAAAA"/>
              <w:left w:val="single" w:sz="4" w:space="0" w:color="AEAAAA"/>
              <w:bottom w:val="single" w:sz="4" w:space="0" w:color="AEAAAA"/>
              <w:right w:val="single" w:sz="4" w:space="0" w:color="AEAAAA"/>
            </w:tcBorders>
          </w:tcPr>
          <w:p w14:paraId="7A8E4A2A" w14:textId="77777777" w:rsidR="004C0586" w:rsidRDefault="004C0586" w:rsidP="00593638">
            <w:pPr>
              <w:spacing w:line="120" w:lineRule="auto"/>
              <w:rPr>
                <w:rFonts w:cs="Arial"/>
                <w:b/>
              </w:rPr>
            </w:pPr>
          </w:p>
          <w:p w14:paraId="3FC036E7" w14:textId="52B6C19E" w:rsidR="004C0586" w:rsidRPr="00657B2B" w:rsidRDefault="004C0586" w:rsidP="00593638">
            <w:pPr>
              <w:rPr>
                <w:rFonts w:cs="Arial"/>
                <w:bCs/>
              </w:rPr>
            </w:pPr>
            <w:r w:rsidRPr="00A2554F">
              <w:rPr>
                <w:rFonts w:cs="Arial"/>
                <w:b/>
              </w:rPr>
              <w:t>Author:</w:t>
            </w:r>
            <w:r>
              <w:rPr>
                <w:rFonts w:cs="Arial"/>
                <w:b/>
              </w:rPr>
              <w:t xml:space="preserve"> </w:t>
            </w:r>
            <w:r w:rsidR="00A61A19">
              <w:rPr>
                <w:rFonts w:cs="Arial"/>
                <w:b/>
              </w:rPr>
              <w:t>Cate Bennett Principal Occupational Therapist</w:t>
            </w:r>
          </w:p>
          <w:p w14:paraId="4C070952" w14:textId="77777777" w:rsidR="004C0586" w:rsidRPr="00A2554F" w:rsidRDefault="004C0586" w:rsidP="00593638">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44FD5A9E" w14:textId="77777777" w:rsidR="004C0586" w:rsidRDefault="004C0586" w:rsidP="00593638">
            <w:pPr>
              <w:spacing w:line="120" w:lineRule="auto"/>
              <w:rPr>
                <w:rFonts w:cs="Arial"/>
                <w:b/>
              </w:rPr>
            </w:pPr>
          </w:p>
          <w:p w14:paraId="468A3258" w14:textId="74D382B3" w:rsidR="004C0586" w:rsidRPr="00FC6002" w:rsidRDefault="004C0586" w:rsidP="00593638">
            <w:pPr>
              <w:rPr>
                <w:rFonts w:cs="Arial"/>
              </w:rPr>
            </w:pPr>
            <w:r w:rsidRPr="00A2554F">
              <w:rPr>
                <w:rFonts w:cs="Arial"/>
                <w:b/>
              </w:rPr>
              <w:t>Responsible Team:</w:t>
            </w:r>
            <w:r w:rsidRPr="00657B2B">
              <w:rPr>
                <w:rFonts w:cs="Arial"/>
                <w:bCs/>
              </w:rPr>
              <w:t xml:space="preserve"> </w:t>
            </w:r>
            <w:r w:rsidR="00A61A19">
              <w:rPr>
                <w:rFonts w:cs="Arial"/>
                <w:bCs/>
              </w:rPr>
              <w:t xml:space="preserve">Service </w:t>
            </w:r>
            <w:r w:rsidR="004518BC">
              <w:rPr>
                <w:rFonts w:cs="Arial"/>
                <w:bCs/>
              </w:rPr>
              <w:t>Improvement Quality &amp; Practice</w:t>
            </w:r>
          </w:p>
        </w:tc>
      </w:tr>
      <w:tr w:rsidR="004C0586" w14:paraId="34D44D3A" w14:textId="77777777" w:rsidTr="00593638">
        <w:tc>
          <w:tcPr>
            <w:tcW w:w="4508" w:type="dxa"/>
            <w:tcBorders>
              <w:top w:val="single" w:sz="4" w:space="0" w:color="AEAAAA"/>
              <w:left w:val="single" w:sz="4" w:space="0" w:color="AEAAAA"/>
              <w:bottom w:val="single" w:sz="4" w:space="0" w:color="AEAAAA"/>
              <w:right w:val="single" w:sz="4" w:space="0" w:color="AEAAAA"/>
            </w:tcBorders>
          </w:tcPr>
          <w:p w14:paraId="08D278D5" w14:textId="77777777" w:rsidR="004C0586" w:rsidRDefault="004C0586" w:rsidP="00593638">
            <w:pPr>
              <w:spacing w:line="120" w:lineRule="auto"/>
              <w:rPr>
                <w:rFonts w:cs="Arial"/>
                <w:b/>
              </w:rPr>
            </w:pPr>
          </w:p>
          <w:p w14:paraId="0D722F24" w14:textId="532F0E1F" w:rsidR="004C0586" w:rsidRPr="00657B2B" w:rsidRDefault="004C0586" w:rsidP="00593638">
            <w:pPr>
              <w:rPr>
                <w:rFonts w:cs="Arial"/>
                <w:bCs/>
              </w:rPr>
            </w:pPr>
            <w:r w:rsidRPr="00A2554F">
              <w:rPr>
                <w:rFonts w:cs="Arial"/>
                <w:b/>
              </w:rPr>
              <w:t>Contact Number:</w:t>
            </w:r>
            <w:r w:rsidRPr="00657B2B">
              <w:rPr>
                <w:rFonts w:cs="Arial"/>
                <w:bCs/>
              </w:rPr>
              <w:t xml:space="preserve"> </w:t>
            </w:r>
            <w:r w:rsidR="006E4707" w:rsidRPr="006E75B6">
              <w:rPr>
                <w:color w:val="1F4E79"/>
              </w:rPr>
              <w:t>0115 9772323</w:t>
            </w:r>
          </w:p>
          <w:p w14:paraId="70872E8C" w14:textId="77777777" w:rsidR="004C0586" w:rsidRPr="00A2554F" w:rsidRDefault="004C0586" w:rsidP="00593638">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0D11B317" w14:textId="77777777" w:rsidR="004C0586" w:rsidRDefault="004C0586" w:rsidP="00593638">
            <w:pPr>
              <w:spacing w:line="120" w:lineRule="auto"/>
              <w:rPr>
                <w:rFonts w:cs="Arial"/>
                <w:b/>
              </w:rPr>
            </w:pPr>
          </w:p>
          <w:p w14:paraId="7B102124" w14:textId="0D7BE663" w:rsidR="004C0586" w:rsidRPr="00BF7BEA" w:rsidRDefault="004C0586" w:rsidP="00593638">
            <w:pPr>
              <w:rPr>
                <w:rFonts w:cs="Arial"/>
              </w:rPr>
            </w:pPr>
            <w:r w:rsidRPr="00A2554F">
              <w:rPr>
                <w:rFonts w:cs="Arial"/>
                <w:b/>
              </w:rPr>
              <w:t>Contact Email:</w:t>
            </w:r>
            <w:r w:rsidRPr="00657B2B">
              <w:rPr>
                <w:rFonts w:cs="Arial"/>
                <w:bCs/>
              </w:rPr>
              <w:t xml:space="preserve"> </w:t>
            </w:r>
            <w:r w:rsidR="00C95F97" w:rsidRPr="006E75B6">
              <w:t>cate.bennett@nottscc.gov.uk</w:t>
            </w:r>
          </w:p>
        </w:tc>
      </w:tr>
    </w:tbl>
    <w:p w14:paraId="4FA37A51" w14:textId="77777777" w:rsidR="004C0586" w:rsidRPr="00612E5C" w:rsidRDefault="004C0586" w:rsidP="004C0586">
      <w:pPr>
        <w:rPr>
          <w:rFonts w:cs="Arial"/>
          <w:sz w:val="16"/>
          <w:szCs w:val="16"/>
        </w:rPr>
      </w:pPr>
    </w:p>
    <w:tbl>
      <w:tblPr>
        <w:tblStyle w:val="TableGrid"/>
        <w:tblW w:w="0" w:type="auto"/>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Look w:val="04A0" w:firstRow="1" w:lastRow="0" w:firstColumn="1" w:lastColumn="0" w:noHBand="0" w:noVBand="1"/>
      </w:tblPr>
      <w:tblGrid>
        <w:gridCol w:w="4508"/>
        <w:gridCol w:w="4508"/>
      </w:tblGrid>
      <w:tr w:rsidR="004C0586" w14:paraId="15B8705D" w14:textId="77777777" w:rsidTr="00593638">
        <w:trPr>
          <w:trHeight w:val="363"/>
        </w:trPr>
        <w:tc>
          <w:tcPr>
            <w:tcW w:w="4508" w:type="dxa"/>
            <w:tcBorders>
              <w:top w:val="single" w:sz="4" w:space="0" w:color="AEAAAA"/>
              <w:bottom w:val="single" w:sz="4" w:space="0" w:color="AEAAAA"/>
              <w:right w:val="single" w:sz="4" w:space="0" w:color="FFFFFF" w:themeColor="background1"/>
            </w:tcBorders>
          </w:tcPr>
          <w:p w14:paraId="4D9863DF" w14:textId="77777777" w:rsidR="004C0586" w:rsidRDefault="004C0586" w:rsidP="00593638">
            <w:pPr>
              <w:spacing w:line="120" w:lineRule="auto"/>
              <w:rPr>
                <w:rFonts w:cs="Arial"/>
                <w:b/>
              </w:rPr>
            </w:pPr>
          </w:p>
          <w:p w14:paraId="6A3C31CF" w14:textId="77777777" w:rsidR="004C0586" w:rsidRPr="003C659F" w:rsidRDefault="004C0586" w:rsidP="00593638">
            <w:pPr>
              <w:rPr>
                <w:rFonts w:cs="Arial"/>
              </w:rPr>
            </w:pPr>
            <w:r w:rsidRPr="00664C04">
              <w:rPr>
                <w:rFonts w:cs="Arial"/>
                <w:b/>
              </w:rPr>
              <w:t xml:space="preserve">Publicly Available: </w:t>
            </w:r>
          </w:p>
          <w:p w14:paraId="224FBD33" w14:textId="77777777" w:rsidR="004C0586" w:rsidRDefault="004C0586" w:rsidP="00593638">
            <w:pPr>
              <w:spacing w:line="120" w:lineRule="auto"/>
              <w:rPr>
                <w:rFonts w:cs="Arial"/>
              </w:rPr>
            </w:pPr>
          </w:p>
        </w:tc>
        <w:tc>
          <w:tcPr>
            <w:tcW w:w="4508" w:type="dxa"/>
            <w:tcBorders>
              <w:left w:val="single" w:sz="4" w:space="0" w:color="FFFFFF" w:themeColor="background1"/>
            </w:tcBorders>
          </w:tcPr>
          <w:p w14:paraId="681A0FB0" w14:textId="77777777" w:rsidR="004C0586" w:rsidRDefault="004C0586" w:rsidP="00593638">
            <w:pPr>
              <w:spacing w:line="120" w:lineRule="auto"/>
              <w:rPr>
                <w:rFonts w:cs="Arial"/>
                <w:b/>
              </w:rPr>
            </w:pPr>
          </w:p>
          <w:p w14:paraId="4AD8BBB0" w14:textId="6F1B256B" w:rsidR="004C0586" w:rsidRDefault="00000000" w:rsidP="00593638">
            <w:pPr>
              <w:rPr>
                <w:rFonts w:cs="Arial"/>
                <w:b/>
              </w:rPr>
            </w:pPr>
            <w:sdt>
              <w:sdtPr>
                <w:rPr>
                  <w:rFonts w:cs="Arial"/>
                  <w:b/>
                </w:rPr>
                <w:id w:val="433708384"/>
                <w:placeholder>
                  <w:docPart w:val="F481D7DEF0794872B0A794DC40A0C05F"/>
                </w:placeholder>
                <w15:color w:val="008000"/>
                <w:dropDownList>
                  <w:listItem w:value="Choose an item."/>
                  <w:listItem w:displayText="Yes" w:value="Yes"/>
                  <w:listItem w:displayText="No" w:value="No"/>
                </w:dropDownList>
              </w:sdtPr>
              <w:sdtContent>
                <w:r w:rsidR="00C95F97">
                  <w:rPr>
                    <w:rFonts w:cs="Arial"/>
                    <w:b/>
                  </w:rPr>
                  <w:t>Yes</w:t>
                </w:r>
              </w:sdtContent>
            </w:sdt>
          </w:p>
          <w:p w14:paraId="77A5263A" w14:textId="77777777" w:rsidR="004C0586" w:rsidRPr="003C659F" w:rsidRDefault="004C0586" w:rsidP="00593638">
            <w:pPr>
              <w:spacing w:line="120" w:lineRule="auto"/>
              <w:rPr>
                <w:rFonts w:cs="Arial"/>
                <w:b/>
              </w:rPr>
            </w:pPr>
          </w:p>
        </w:tc>
      </w:tr>
    </w:tbl>
    <w:p w14:paraId="5FBB6BD6" w14:textId="77777777" w:rsidR="004C0586" w:rsidRPr="007C37B9" w:rsidRDefault="004C0586" w:rsidP="004C0586">
      <w:pPr>
        <w:rPr>
          <w:rFonts w:cs="Arial"/>
          <w:sz w:val="18"/>
          <w:szCs w:val="22"/>
        </w:rPr>
      </w:pPr>
      <w:r w:rsidRPr="0045390D">
        <w:rPr>
          <w:rFonts w:cs="Arial"/>
          <w:noProof/>
          <w:sz w:val="18"/>
          <w:szCs w:val="22"/>
        </w:rPr>
        <mc:AlternateContent>
          <mc:Choice Requires="wps">
            <w:drawing>
              <wp:anchor distT="45720" distB="45720" distL="114300" distR="114300" simplePos="0" relativeHeight="251660288" behindDoc="1" locked="0" layoutInCell="1" allowOverlap="1" wp14:anchorId="0E71CDE7" wp14:editId="3EF4E25F">
                <wp:simplePos x="0" y="0"/>
                <wp:positionH relativeFrom="page">
                  <wp:posOffset>125046</wp:posOffset>
                </wp:positionH>
                <wp:positionV relativeFrom="paragraph">
                  <wp:posOffset>254000</wp:posOffset>
                </wp:positionV>
                <wp:extent cx="604520" cy="583565"/>
                <wp:effectExtent l="0" t="0" r="508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583565"/>
                        </a:xfrm>
                        <a:prstGeom prst="rect">
                          <a:avLst/>
                        </a:prstGeom>
                        <a:solidFill>
                          <a:srgbClr val="FFFFFF"/>
                        </a:solidFill>
                        <a:ln w="9525">
                          <a:noFill/>
                          <a:miter lim="800000"/>
                          <a:headEnd/>
                          <a:tailEnd/>
                        </a:ln>
                      </wps:spPr>
                      <wps:txbx>
                        <w:txbxContent>
                          <w:p w14:paraId="54198E3F" w14:textId="77777777" w:rsidR="004C0586" w:rsidRPr="001348B1" w:rsidRDefault="004C0586" w:rsidP="004C0586">
                            <w:pPr>
                              <w:jc w:val="center"/>
                              <w:rPr>
                                <w:color w:val="C00000"/>
                                <w:sz w:val="20"/>
                                <w:szCs w:val="20"/>
                              </w:rPr>
                            </w:pPr>
                            <w:r w:rsidRPr="001348B1">
                              <w:rPr>
                                <w:color w:val="C00000"/>
                                <w:sz w:val="20"/>
                                <w:szCs w:val="20"/>
                              </w:rPr>
                              <w:t>Adult’s Dept.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1CDE7" id="_x0000_t202" coordsize="21600,21600" o:spt="202" path="m,l,21600r21600,l21600,xe">
                <v:stroke joinstyle="miter"/>
                <v:path gradientshapeok="t" o:connecttype="rect"/>
              </v:shapetype>
              <v:shape id="Text Box 2" o:spid="_x0000_s1026" type="#_x0000_t202" style="position:absolute;margin-left:9.85pt;margin-top:20pt;width:47.6pt;height:45.95pt;z-index:-25165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" stroked="f">
                <v:textbox>
                  <w:txbxContent>
                    <w:p w14:paraId="54198E3F" w14:textId="77777777" w:rsidR="004C0586" w:rsidRPr="001348B1" w:rsidRDefault="004C0586" w:rsidP="004C0586">
                      <w:pPr>
                        <w:jc w:val="center"/>
                        <w:rPr>
                          <w:color w:val="C00000"/>
                          <w:sz w:val="20"/>
                          <w:szCs w:val="20"/>
                        </w:rPr>
                      </w:pPr>
                      <w:r w:rsidRPr="001348B1">
                        <w:rPr>
                          <w:color w:val="C00000"/>
                          <w:sz w:val="20"/>
                          <w:szCs w:val="20"/>
                        </w:rPr>
                        <w:t>Adult’s Dept. only</w:t>
                      </w:r>
                    </w:p>
                  </w:txbxContent>
                </v:textbox>
                <w10:wrap anchorx="page"/>
              </v:shape>
            </w:pict>
          </mc:Fallback>
        </mc:AlternateContent>
      </w:r>
      <w:r>
        <w:rPr>
          <w:rFonts w:cs="Arial"/>
          <w:noProof/>
          <w:sz w:val="18"/>
          <w:szCs w:val="22"/>
        </w:rPr>
        <mc:AlternateContent>
          <mc:Choice Requires="wps">
            <w:drawing>
              <wp:anchor distT="0" distB="0" distL="114300" distR="114300" simplePos="0" relativeHeight="251659264" behindDoc="0" locked="0" layoutInCell="1" allowOverlap="1" wp14:anchorId="539D2CFA" wp14:editId="4FD36430">
                <wp:simplePos x="0" y="0"/>
                <wp:positionH relativeFrom="column">
                  <wp:posOffset>-174625</wp:posOffset>
                </wp:positionH>
                <wp:positionV relativeFrom="paragraph">
                  <wp:posOffset>55929</wp:posOffset>
                </wp:positionV>
                <wp:extent cx="133643" cy="942535"/>
                <wp:effectExtent l="38100" t="0" r="19050" b="10160"/>
                <wp:wrapNone/>
                <wp:docPr id="1" name="Left Brace 1"/>
                <wp:cNvGraphicFramePr/>
                <a:graphic xmlns:a="http://schemas.openxmlformats.org/drawingml/2006/main">
                  <a:graphicData uri="http://schemas.microsoft.com/office/word/2010/wordprocessingShape">
                    <wps:wsp>
                      <wps:cNvSpPr/>
                      <wps:spPr>
                        <a:xfrm>
                          <a:off x="0" y="0"/>
                          <a:ext cx="133643" cy="942535"/>
                        </a:xfrm>
                        <a:prstGeom prst="leftBrac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22A1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13.75pt;margin-top:4.4pt;width:10.5pt;height:7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" adj="255" strokecolor="#c00000">
                <v:stroke joinstyle="miter"/>
              </v:shape>
            </w:pict>
          </mc:Fallback>
        </mc:AlternateContent>
      </w:r>
    </w:p>
    <w:tbl>
      <w:tblPr>
        <w:tblStyle w:val="TableGrid"/>
        <w:tblW w:w="0" w:type="auto"/>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Look w:val="04A0" w:firstRow="1" w:lastRow="0" w:firstColumn="1" w:lastColumn="0" w:noHBand="0" w:noVBand="1"/>
      </w:tblPr>
      <w:tblGrid>
        <w:gridCol w:w="4508"/>
        <w:gridCol w:w="4508"/>
      </w:tblGrid>
      <w:tr w:rsidR="004C0586" w14:paraId="0B9AFD80" w14:textId="77777777" w:rsidTr="00593638">
        <w:trPr>
          <w:trHeight w:val="363"/>
        </w:trPr>
        <w:tc>
          <w:tcPr>
            <w:tcW w:w="4508" w:type="dxa"/>
            <w:tcBorders>
              <w:top w:val="single" w:sz="4" w:space="0" w:color="AEAAAA"/>
              <w:bottom w:val="single" w:sz="4" w:space="0" w:color="AEAAAA"/>
              <w:right w:val="single" w:sz="4" w:space="0" w:color="FFFFFF" w:themeColor="background1"/>
            </w:tcBorders>
          </w:tcPr>
          <w:p w14:paraId="3424D898" w14:textId="77777777" w:rsidR="004C0586" w:rsidRDefault="004C0586" w:rsidP="00593638">
            <w:pPr>
              <w:spacing w:line="120" w:lineRule="auto"/>
              <w:rPr>
                <w:rFonts w:cs="Arial"/>
                <w:b/>
              </w:rPr>
            </w:pPr>
          </w:p>
          <w:p w14:paraId="04960F9F" w14:textId="77777777" w:rsidR="004C0586" w:rsidRPr="003C659F" w:rsidRDefault="004C0586" w:rsidP="00593638">
            <w:pPr>
              <w:rPr>
                <w:rFonts w:cs="Arial"/>
              </w:rPr>
            </w:pPr>
            <w:r>
              <w:rPr>
                <w:rFonts w:cs="Arial"/>
                <w:b/>
              </w:rPr>
              <w:t>Site Link</w:t>
            </w:r>
            <w:r w:rsidRPr="00664C04">
              <w:rPr>
                <w:rFonts w:cs="Arial"/>
                <w:b/>
              </w:rPr>
              <w:t xml:space="preserve">: </w:t>
            </w:r>
          </w:p>
          <w:p w14:paraId="0BE1F66B" w14:textId="77777777" w:rsidR="004C0586" w:rsidRDefault="004C0586" w:rsidP="00593638">
            <w:pPr>
              <w:spacing w:line="120" w:lineRule="auto"/>
              <w:rPr>
                <w:rFonts w:cs="Arial"/>
              </w:rPr>
            </w:pPr>
          </w:p>
        </w:tc>
        <w:tc>
          <w:tcPr>
            <w:tcW w:w="4508" w:type="dxa"/>
            <w:tcBorders>
              <w:left w:val="single" w:sz="4" w:space="0" w:color="FFFFFF" w:themeColor="background1"/>
            </w:tcBorders>
          </w:tcPr>
          <w:p w14:paraId="76B72E6D" w14:textId="77777777" w:rsidR="004C0586" w:rsidRDefault="004C0586" w:rsidP="00593638">
            <w:pPr>
              <w:spacing w:line="120" w:lineRule="auto"/>
              <w:rPr>
                <w:rFonts w:cs="Arial"/>
                <w:b/>
              </w:rPr>
            </w:pPr>
          </w:p>
          <w:sdt>
            <w:sdtPr>
              <w:rPr>
                <w:rFonts w:cs="Arial"/>
                <w:b/>
              </w:rPr>
              <w:id w:val="-284050311"/>
              <w:placeholder>
                <w:docPart w:val="A73E2E68590544C6AFC4C2DBDD77F5B2"/>
              </w:placeholder>
              <w:dropDownList>
                <w:listItem w:value="Choose an item."/>
                <w:listItem w:displayText="Intranet Page" w:value="Intranet Page"/>
                <w:listItem w:displayText="Internet Page" w:value="Internet Page"/>
                <w:listItem w:displayText="Trix" w:value="Trix"/>
              </w:dropDownList>
            </w:sdtPr>
            <w:sdtContent>
              <w:p w14:paraId="6C7CF758" w14:textId="13CAA3AF" w:rsidR="004C0586" w:rsidRDefault="005A45A5" w:rsidP="00593638">
                <w:pPr>
                  <w:rPr>
                    <w:rFonts w:cs="Arial"/>
                    <w:b/>
                  </w:rPr>
                </w:pPr>
                <w:r>
                  <w:rPr>
                    <w:rFonts w:cs="Arial"/>
                    <w:b/>
                  </w:rPr>
                  <w:t>Internet Page</w:t>
                </w:r>
              </w:p>
            </w:sdtContent>
          </w:sdt>
          <w:p w14:paraId="1129CC9A" w14:textId="77777777" w:rsidR="004C0586" w:rsidRPr="003C659F" w:rsidRDefault="004C0586" w:rsidP="00593638">
            <w:pPr>
              <w:spacing w:line="120" w:lineRule="auto"/>
              <w:rPr>
                <w:rFonts w:cs="Arial"/>
                <w:b/>
              </w:rPr>
            </w:pPr>
          </w:p>
        </w:tc>
      </w:tr>
    </w:tbl>
    <w:p w14:paraId="53FBCAE6" w14:textId="77777777" w:rsidR="004C0586" w:rsidRPr="00612E5C" w:rsidRDefault="004C0586" w:rsidP="004C0586">
      <w:pPr>
        <w:rPr>
          <w:rFonts w:cs="Arial"/>
          <w:sz w:val="16"/>
          <w:szCs w:val="20"/>
        </w:rPr>
      </w:pPr>
    </w:p>
    <w:tbl>
      <w:tblPr>
        <w:tblStyle w:val="TableGrid"/>
        <w:tblW w:w="0" w:type="auto"/>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Look w:val="04A0" w:firstRow="1" w:lastRow="0" w:firstColumn="1" w:lastColumn="0" w:noHBand="0" w:noVBand="1"/>
      </w:tblPr>
      <w:tblGrid>
        <w:gridCol w:w="4508"/>
        <w:gridCol w:w="4508"/>
      </w:tblGrid>
      <w:tr w:rsidR="004C0586" w:rsidRPr="003C659F" w14:paraId="2D2B4CFE" w14:textId="77777777" w:rsidTr="00593638">
        <w:trPr>
          <w:trHeight w:val="363"/>
        </w:trPr>
        <w:tc>
          <w:tcPr>
            <w:tcW w:w="4508" w:type="dxa"/>
            <w:tcBorders>
              <w:top w:val="single" w:sz="4" w:space="0" w:color="AEAAAA" w:themeColor="background2" w:themeShade="BF"/>
              <w:bottom w:val="single" w:sz="4" w:space="0" w:color="AEAAAA" w:themeColor="background2" w:themeShade="BF"/>
              <w:right w:val="single" w:sz="4" w:space="0" w:color="A5A5A5" w:themeColor="accent3"/>
            </w:tcBorders>
          </w:tcPr>
          <w:p w14:paraId="7DA3CA9E" w14:textId="77777777" w:rsidR="004C0586" w:rsidRPr="00C423CD" w:rsidRDefault="004C0586" w:rsidP="00593638">
            <w:pPr>
              <w:rPr>
                <w:rFonts w:cs="Arial"/>
                <w:b/>
                <w:sz w:val="6"/>
                <w:szCs w:val="6"/>
              </w:rPr>
            </w:pPr>
          </w:p>
          <w:p w14:paraId="0FA11347" w14:textId="32ECEC17" w:rsidR="004C0586" w:rsidRDefault="004C0586" w:rsidP="00593638">
            <w:pPr>
              <w:rPr>
                <w:rFonts w:cs="Arial"/>
                <w:b/>
              </w:rPr>
            </w:pPr>
            <w:r>
              <w:rPr>
                <w:rFonts w:cs="Arial"/>
                <w:b/>
              </w:rPr>
              <w:t>Area on Trix</w:t>
            </w:r>
            <w:r w:rsidRPr="00664C04">
              <w:rPr>
                <w:rFonts w:cs="Arial"/>
                <w:b/>
              </w:rPr>
              <w:t xml:space="preserve">: </w:t>
            </w:r>
            <w:r w:rsidR="004D210B" w:rsidRPr="005630CB">
              <w:rPr>
                <w:rFonts w:cs="Arial"/>
                <w:bCs/>
              </w:rPr>
              <w:t>Occupational Therapy</w:t>
            </w:r>
          </w:p>
          <w:p w14:paraId="316D3248" w14:textId="77777777" w:rsidR="004C0586" w:rsidRDefault="004C0586" w:rsidP="00593638">
            <w:pPr>
              <w:spacing w:line="120" w:lineRule="auto"/>
              <w:rPr>
                <w:rFonts w:cs="Arial"/>
              </w:rPr>
            </w:pPr>
          </w:p>
        </w:tc>
        <w:tc>
          <w:tcPr>
            <w:tcW w:w="4508" w:type="dxa"/>
            <w:tcBorders>
              <w:top w:val="single" w:sz="4" w:space="0" w:color="AEAAAA" w:themeColor="background2" w:themeShade="BF"/>
              <w:bottom w:val="single" w:sz="4" w:space="0" w:color="AEAAAA" w:themeColor="background2" w:themeShade="BF"/>
              <w:right w:val="single" w:sz="4" w:space="0" w:color="A5A5A5" w:themeColor="accent3"/>
            </w:tcBorders>
          </w:tcPr>
          <w:p w14:paraId="452EC36E" w14:textId="77777777" w:rsidR="004C0586" w:rsidRPr="003C659F" w:rsidRDefault="004C0586" w:rsidP="00593638">
            <w:pPr>
              <w:rPr>
                <w:rFonts w:cs="Arial"/>
                <w:b/>
                <w:bCs/>
                <w:sz w:val="6"/>
                <w:szCs w:val="6"/>
              </w:rPr>
            </w:pPr>
            <w:r w:rsidRPr="4D1F4525">
              <w:rPr>
                <w:rFonts w:cs="Arial"/>
                <w:b/>
                <w:bCs/>
                <w:sz w:val="6"/>
                <w:szCs w:val="6"/>
              </w:rPr>
              <w:t xml:space="preserve">  </w:t>
            </w:r>
          </w:p>
          <w:p w14:paraId="2E0C338C" w14:textId="704C5972" w:rsidR="004C0586" w:rsidRPr="003C659F" w:rsidRDefault="004C0586" w:rsidP="00593638">
            <w:pPr>
              <w:rPr>
                <w:rFonts w:cs="Arial"/>
              </w:rPr>
            </w:pPr>
            <w:r w:rsidRPr="4D1F4525">
              <w:rPr>
                <w:rFonts w:cs="Arial"/>
                <w:b/>
                <w:bCs/>
              </w:rPr>
              <w:t xml:space="preserve">Subheading: </w:t>
            </w:r>
            <w:r w:rsidR="004D210B" w:rsidRPr="005630CB">
              <w:rPr>
                <w:rFonts w:cs="Arial"/>
              </w:rPr>
              <w:t>Occupational Therapy</w:t>
            </w:r>
          </w:p>
          <w:p w14:paraId="25223A82" w14:textId="77777777" w:rsidR="004C0586" w:rsidRDefault="004C0586" w:rsidP="00593638">
            <w:pPr>
              <w:spacing w:line="120" w:lineRule="auto"/>
              <w:rPr>
                <w:rFonts w:cs="Arial"/>
                <w:b/>
              </w:rPr>
            </w:pPr>
          </w:p>
        </w:tc>
      </w:tr>
    </w:tbl>
    <w:p w14:paraId="713575DA" w14:textId="77777777" w:rsidR="004C0586" w:rsidRPr="00503151" w:rsidRDefault="004C0586" w:rsidP="004C0586">
      <w:pPr>
        <w:rPr>
          <w:rFonts w:cs="Arial"/>
          <w:sz w:val="14"/>
          <w:szCs w:val="18"/>
        </w:rPr>
      </w:pPr>
    </w:p>
    <w:tbl>
      <w:tblPr>
        <w:tblStyle w:val="TableGrid"/>
        <w:tblW w:w="0" w:type="auto"/>
        <w:tblLook w:val="04A0" w:firstRow="1" w:lastRow="0" w:firstColumn="1" w:lastColumn="0" w:noHBand="0" w:noVBand="1"/>
      </w:tblPr>
      <w:tblGrid>
        <w:gridCol w:w="9016"/>
      </w:tblGrid>
      <w:tr w:rsidR="004C0586" w14:paraId="63D18071" w14:textId="77777777" w:rsidTr="009A44B8">
        <w:tc>
          <w:tcPr>
            <w:tcW w:w="9016" w:type="dxa"/>
            <w:tcBorders>
              <w:top w:val="single" w:sz="18" w:space="0" w:color="FFFFFF"/>
              <w:left w:val="single" w:sz="18" w:space="0" w:color="FFFFFF"/>
              <w:bottom w:val="single" w:sz="18" w:space="0" w:color="FFFFFF"/>
              <w:right w:val="single" w:sz="18" w:space="0" w:color="FFFFFF"/>
            </w:tcBorders>
          </w:tcPr>
          <w:tbl>
            <w:tblPr>
              <w:tblStyle w:val="TableGrid0"/>
              <w:tblW w:w="8759" w:type="dxa"/>
              <w:tblInd w:w="0" w:type="dxa"/>
              <w:tblCellMar>
                <w:top w:w="47" w:type="dxa"/>
                <w:left w:w="5" w:type="dxa"/>
                <w:right w:w="14" w:type="dxa"/>
              </w:tblCellMar>
              <w:tblLook w:val="04A0" w:firstRow="1" w:lastRow="0" w:firstColumn="1" w:lastColumn="0" w:noHBand="0" w:noVBand="1"/>
            </w:tblPr>
            <w:tblGrid>
              <w:gridCol w:w="2984"/>
              <w:gridCol w:w="5775"/>
            </w:tblGrid>
            <w:tr w:rsidR="00A058EA" w:rsidRPr="006E75B6" w14:paraId="64F8985D" w14:textId="77777777" w:rsidTr="00D81A13">
              <w:trPr>
                <w:trHeight w:val="340"/>
              </w:trPr>
              <w:tc>
                <w:tcPr>
                  <w:tcW w:w="8759" w:type="dxa"/>
                  <w:gridSpan w:val="2"/>
                  <w:shd w:val="clear" w:color="auto" w:fill="auto"/>
                </w:tcPr>
                <w:p w14:paraId="09D90099" w14:textId="77777777" w:rsidR="00A058EA" w:rsidRPr="00794470" w:rsidRDefault="00A058EA" w:rsidP="00A058EA">
                  <w:pPr>
                    <w:ind w:left="103"/>
                  </w:pPr>
                  <w:r w:rsidRPr="00794470">
                    <w:rPr>
                      <w:b/>
                    </w:rPr>
                    <w:t>Please include any supporting documents</w:t>
                  </w:r>
                  <w:r w:rsidRPr="00794470">
                    <w:t xml:space="preserve"> </w:t>
                  </w:r>
                </w:p>
              </w:tc>
            </w:tr>
            <w:tr w:rsidR="00A058EA" w:rsidRPr="006E75B6" w14:paraId="293C1956" w14:textId="77777777" w:rsidTr="00D81A13">
              <w:trPr>
                <w:trHeight w:val="563"/>
              </w:trPr>
              <w:tc>
                <w:tcPr>
                  <w:tcW w:w="8759" w:type="dxa"/>
                  <w:gridSpan w:val="2"/>
                  <w:shd w:val="clear" w:color="auto" w:fill="auto"/>
                </w:tcPr>
                <w:p w14:paraId="2FFA1D20" w14:textId="38A8A9BF" w:rsidR="00B2399B" w:rsidRPr="00A55D5F" w:rsidRDefault="00A058EA" w:rsidP="00A55D5F">
                  <w:pPr>
                    <w:pStyle w:val="ListParagraph"/>
                    <w:numPr>
                      <w:ilvl w:val="0"/>
                      <w:numId w:val="12"/>
                    </w:numPr>
                    <w:spacing w:after="0"/>
                    <w:jc w:val="both"/>
                    <w:rPr>
                      <w:rFonts w:ascii="Arial" w:eastAsiaTheme="minorEastAsia" w:hAnsi="Arial" w:cs="Arial"/>
                      <w:sz w:val="24"/>
                      <w:szCs w:val="24"/>
                    </w:rPr>
                  </w:pPr>
                  <w:hyperlink r:id="rId12" w:history="1">
                    <w:r w:rsidRPr="00A55D5F">
                      <w:rPr>
                        <w:rStyle w:val="Hyperlink"/>
                        <w:rFonts w:ascii="Arial" w:eastAsiaTheme="minorEastAsia" w:hAnsi="Arial" w:cs="Arial"/>
                        <w:sz w:val="24"/>
                        <w:szCs w:val="24"/>
                      </w:rPr>
                      <w:t xml:space="preserve">Occupational Therapy – Provision of Equipment and Minor Adaptations – practice guidance </w:t>
                    </w:r>
                  </w:hyperlink>
                </w:p>
              </w:tc>
            </w:tr>
            <w:tr w:rsidR="00A058EA" w:rsidRPr="006E75B6" w14:paraId="19398D85" w14:textId="77777777" w:rsidTr="00D81A13">
              <w:trPr>
                <w:trHeight w:val="563"/>
              </w:trPr>
              <w:tc>
                <w:tcPr>
                  <w:tcW w:w="8759" w:type="dxa"/>
                  <w:gridSpan w:val="2"/>
                  <w:tcBorders>
                    <w:bottom w:val="single" w:sz="4" w:space="0" w:color="auto"/>
                  </w:tcBorders>
                  <w:shd w:val="clear" w:color="auto" w:fill="auto"/>
                </w:tcPr>
                <w:p w14:paraId="61652407" w14:textId="44A7A03D" w:rsidR="00B2399B" w:rsidRPr="00A55D5F" w:rsidRDefault="00A058EA" w:rsidP="00A55D5F">
                  <w:pPr>
                    <w:pStyle w:val="ListParagraph"/>
                    <w:numPr>
                      <w:ilvl w:val="0"/>
                      <w:numId w:val="12"/>
                    </w:numPr>
                    <w:spacing w:after="0"/>
                    <w:ind w:right="126"/>
                    <w:rPr>
                      <w:rFonts w:ascii="Arial" w:eastAsiaTheme="minorEastAsia" w:hAnsi="Arial" w:cs="Arial"/>
                      <w:sz w:val="24"/>
                      <w:szCs w:val="24"/>
                    </w:rPr>
                  </w:pPr>
                  <w:hyperlink r:id="rId13" w:history="1">
                    <w:r w:rsidRPr="00A55D5F">
                      <w:rPr>
                        <w:rStyle w:val="Hyperlink"/>
                        <w:rFonts w:ascii="Arial" w:eastAsiaTheme="minorEastAsia" w:hAnsi="Arial" w:cs="Arial"/>
                        <w:sz w:val="24"/>
                        <w:szCs w:val="24"/>
                      </w:rPr>
                      <w:t xml:space="preserve">Occupational Therapy – Recommending Major Adaptations – Practice guidance </w:t>
                    </w:r>
                  </w:hyperlink>
                </w:p>
                <w:p w14:paraId="289B3E24" w14:textId="5A73926E" w:rsidR="00A058EA" w:rsidRPr="00A55D5F" w:rsidRDefault="00A058EA" w:rsidP="00A55D5F">
                  <w:pPr>
                    <w:pStyle w:val="ListParagraph"/>
                    <w:numPr>
                      <w:ilvl w:val="0"/>
                      <w:numId w:val="12"/>
                    </w:numPr>
                    <w:ind w:right="126"/>
                    <w:rPr>
                      <w:rStyle w:val="Hyperlink"/>
                      <w:rFonts w:ascii="Arial" w:eastAsiaTheme="minorEastAsia" w:hAnsi="Arial" w:cs="Arial"/>
                      <w:sz w:val="24"/>
                      <w:szCs w:val="24"/>
                    </w:rPr>
                  </w:pPr>
                  <w:hyperlink r:id="rId14" w:history="1">
                    <w:r w:rsidRPr="00A55D5F">
                      <w:rPr>
                        <w:rStyle w:val="Hyperlink"/>
                        <w:rFonts w:ascii="Arial" w:eastAsiaTheme="minorEastAsia" w:hAnsi="Arial" w:cs="Arial"/>
                        <w:sz w:val="24"/>
                        <w:szCs w:val="24"/>
                      </w:rPr>
                      <w:t>Double to single handling practice guidance</w:t>
                    </w:r>
                  </w:hyperlink>
                </w:p>
                <w:p w14:paraId="66ABC2BE" w14:textId="5EAD3CF3" w:rsidR="00A058EA" w:rsidRPr="00A55D5F" w:rsidRDefault="00A058EA" w:rsidP="00A55D5F">
                  <w:pPr>
                    <w:pStyle w:val="ListParagraph"/>
                    <w:numPr>
                      <w:ilvl w:val="0"/>
                      <w:numId w:val="12"/>
                    </w:numPr>
                    <w:pBdr>
                      <w:bottom w:val="single" w:sz="4" w:space="1" w:color="auto"/>
                    </w:pBdr>
                    <w:ind w:right="126"/>
                    <w:rPr>
                      <w:rStyle w:val="Hyperlink"/>
                      <w:rFonts w:ascii="Arial" w:eastAsiaTheme="minorEastAsia" w:hAnsi="Arial" w:cs="Arial"/>
                      <w:sz w:val="24"/>
                      <w:szCs w:val="24"/>
                    </w:rPr>
                  </w:pPr>
                  <w:hyperlink r:id="rId15" w:history="1">
                    <w:r w:rsidRPr="00A55D5F">
                      <w:rPr>
                        <w:rStyle w:val="Hyperlink"/>
                        <w:rFonts w:ascii="Arial" w:eastAsiaTheme="minorEastAsia" w:hAnsi="Arial" w:cs="Arial"/>
                        <w:sz w:val="24"/>
                        <w:szCs w:val="24"/>
                      </w:rPr>
                      <w:t>DFG contribution- NCC contribution fund practice guidance</w:t>
                    </w:r>
                  </w:hyperlink>
                </w:p>
                <w:p w14:paraId="665AEC4B" w14:textId="58754016" w:rsidR="00A058EA" w:rsidRPr="00A55D5F" w:rsidRDefault="00A058EA" w:rsidP="00A55D5F">
                  <w:pPr>
                    <w:pStyle w:val="ListParagraph"/>
                    <w:numPr>
                      <w:ilvl w:val="0"/>
                      <w:numId w:val="12"/>
                    </w:numPr>
                    <w:ind w:right="126"/>
                    <w:rPr>
                      <w:rStyle w:val="Hyperlink"/>
                      <w:rFonts w:ascii="Arial" w:eastAsiaTheme="minorEastAsia" w:hAnsi="Arial" w:cs="Arial"/>
                      <w:sz w:val="24"/>
                      <w:szCs w:val="24"/>
                    </w:rPr>
                  </w:pPr>
                  <w:hyperlink r:id="rId16" w:history="1">
                    <w:r w:rsidRPr="00A55D5F">
                      <w:rPr>
                        <w:rStyle w:val="Hyperlink"/>
                        <w:rFonts w:ascii="Arial" w:eastAsiaTheme="minorEastAsia" w:hAnsi="Arial" w:cs="Arial"/>
                        <w:sz w:val="24"/>
                        <w:szCs w:val="24"/>
                      </w:rPr>
                      <w:t>Personal Budgets and Personal Health Budgets for Community Equipment ICELs</w:t>
                    </w:r>
                  </w:hyperlink>
                </w:p>
                <w:p w14:paraId="4927E5BE" w14:textId="20938F3F" w:rsidR="00A058EA" w:rsidRPr="00A55D5F" w:rsidRDefault="00A058EA" w:rsidP="00A55D5F">
                  <w:pPr>
                    <w:pStyle w:val="ListParagraph"/>
                    <w:numPr>
                      <w:ilvl w:val="0"/>
                      <w:numId w:val="12"/>
                    </w:numPr>
                    <w:pBdr>
                      <w:bottom w:val="single" w:sz="4" w:space="1" w:color="auto"/>
                    </w:pBdr>
                    <w:ind w:right="126"/>
                    <w:rPr>
                      <w:rStyle w:val="Hyperlink"/>
                      <w:rFonts w:ascii="Arial" w:eastAsiaTheme="minorEastAsia" w:hAnsi="Arial" w:cs="Arial"/>
                      <w:sz w:val="24"/>
                      <w:szCs w:val="24"/>
                    </w:rPr>
                  </w:pPr>
                  <w:hyperlink r:id="rId17" w:history="1">
                    <w:r w:rsidRPr="00A55D5F">
                      <w:rPr>
                        <w:rStyle w:val="Hyperlink"/>
                        <w:rFonts w:ascii="Arial" w:eastAsiaTheme="minorEastAsia" w:hAnsi="Arial" w:cs="Arial"/>
                        <w:sz w:val="24"/>
                        <w:szCs w:val="24"/>
                      </w:rPr>
                      <w:t>Provision of equipment to care homes ICELs policy.</w:t>
                    </w:r>
                  </w:hyperlink>
                </w:p>
                <w:p w14:paraId="1AA58477" w14:textId="1A178774" w:rsidR="00A058EA" w:rsidRPr="00A55D5F" w:rsidRDefault="00A058EA" w:rsidP="00A55D5F">
                  <w:pPr>
                    <w:pStyle w:val="ListParagraph"/>
                    <w:numPr>
                      <w:ilvl w:val="0"/>
                      <w:numId w:val="12"/>
                    </w:numPr>
                    <w:pBdr>
                      <w:bottom w:val="single" w:sz="4" w:space="1" w:color="auto"/>
                    </w:pBdr>
                    <w:ind w:right="126"/>
                    <w:rPr>
                      <w:rStyle w:val="Hyperlink"/>
                      <w:rFonts w:ascii="Arial" w:eastAsiaTheme="minorEastAsia" w:hAnsi="Arial" w:cs="Arial"/>
                      <w:sz w:val="24"/>
                      <w:szCs w:val="24"/>
                    </w:rPr>
                  </w:pPr>
                  <w:hyperlink r:id="rId18" w:history="1">
                    <w:r w:rsidRPr="00A55D5F">
                      <w:rPr>
                        <w:rStyle w:val="Hyperlink"/>
                        <w:rFonts w:ascii="Arial" w:eastAsiaTheme="minorEastAsia" w:hAnsi="Arial" w:cs="Arial"/>
                        <w:sz w:val="24"/>
                        <w:szCs w:val="24"/>
                      </w:rPr>
                      <w:t>Transition planning for young people with disabilities</w:t>
                    </w:r>
                  </w:hyperlink>
                </w:p>
                <w:p w14:paraId="0B1C3E54" w14:textId="25C2ED4F" w:rsidR="00A058EA" w:rsidRPr="00A55D5F" w:rsidRDefault="00A058EA" w:rsidP="00A55D5F">
                  <w:pPr>
                    <w:pStyle w:val="ListParagraph"/>
                    <w:numPr>
                      <w:ilvl w:val="0"/>
                      <w:numId w:val="12"/>
                    </w:numPr>
                    <w:pBdr>
                      <w:bottom w:val="single" w:sz="4" w:space="1" w:color="auto"/>
                    </w:pBdr>
                    <w:ind w:right="126"/>
                    <w:rPr>
                      <w:rStyle w:val="Hyperlink"/>
                      <w:rFonts w:ascii="Arial" w:eastAsiaTheme="minorEastAsia" w:hAnsi="Arial" w:cs="Arial"/>
                      <w:sz w:val="24"/>
                      <w:szCs w:val="24"/>
                    </w:rPr>
                  </w:pPr>
                  <w:hyperlink r:id="rId19" w:history="1">
                    <w:r w:rsidRPr="00A55D5F">
                      <w:rPr>
                        <w:rStyle w:val="Hyperlink"/>
                        <w:rFonts w:ascii="Arial" w:eastAsiaTheme="minorEastAsia" w:hAnsi="Arial" w:cs="Arial"/>
                        <w:sz w:val="24"/>
                        <w:szCs w:val="24"/>
                      </w:rPr>
                      <w:t>Disabled Facilities Grant (DFG) delivery: Guidance for local authorities in England - GOV.UK (www.gov.uk)</w:t>
                    </w:r>
                  </w:hyperlink>
                </w:p>
                <w:p w14:paraId="5AD785EC" w14:textId="3A1D24DE" w:rsidR="00B2399B" w:rsidRPr="00A55D5F" w:rsidRDefault="00B2399B" w:rsidP="00A058EA">
                  <w:pPr>
                    <w:ind w:left="103" w:right="126"/>
                    <w:rPr>
                      <w:rFonts w:cs="Arial"/>
                    </w:rPr>
                  </w:pPr>
                </w:p>
              </w:tc>
            </w:tr>
            <w:tr w:rsidR="00A058EA" w:rsidRPr="006E75B6" w14:paraId="15D56BDB" w14:textId="77777777" w:rsidTr="002E51EB">
              <w:trPr>
                <w:trHeight w:val="367"/>
              </w:trPr>
              <w:tc>
                <w:tcPr>
                  <w:tcW w:w="2984" w:type="dxa"/>
                  <w:tcBorders>
                    <w:top w:val="single" w:sz="4" w:space="0" w:color="auto"/>
                    <w:left w:val="single" w:sz="4" w:space="0" w:color="auto"/>
                    <w:bottom w:val="single" w:sz="4" w:space="0" w:color="auto"/>
                    <w:right w:val="single" w:sz="4" w:space="0" w:color="auto"/>
                  </w:tcBorders>
                  <w:shd w:val="clear" w:color="auto" w:fill="auto"/>
                </w:tcPr>
                <w:p w14:paraId="4FF6F88A" w14:textId="77777777" w:rsidR="00A058EA" w:rsidRPr="00794470" w:rsidRDefault="00A058EA" w:rsidP="00A058EA">
                  <w:pPr>
                    <w:ind w:left="103"/>
                  </w:pPr>
                  <w:r w:rsidRPr="00794470">
                    <w:rPr>
                      <w:b/>
                    </w:rPr>
                    <w:lastRenderedPageBreak/>
                    <w:t>Review date</w:t>
                  </w:r>
                  <w:r w:rsidRPr="00794470">
                    <w:t xml:space="preserve"> </w:t>
                  </w:r>
                </w:p>
              </w:tc>
              <w:tc>
                <w:tcPr>
                  <w:tcW w:w="5775" w:type="dxa"/>
                  <w:tcBorders>
                    <w:top w:val="single" w:sz="4" w:space="0" w:color="auto"/>
                    <w:left w:val="single" w:sz="4" w:space="0" w:color="auto"/>
                    <w:bottom w:val="single" w:sz="4" w:space="0" w:color="auto"/>
                    <w:right w:val="single" w:sz="4" w:space="0" w:color="auto"/>
                  </w:tcBorders>
                  <w:shd w:val="clear" w:color="auto" w:fill="auto"/>
                </w:tcPr>
                <w:p w14:paraId="50A99C13" w14:textId="77777777" w:rsidR="00A058EA" w:rsidRPr="00794470" w:rsidRDefault="00A058EA" w:rsidP="00A058EA">
                  <w:pPr>
                    <w:ind w:left="103"/>
                  </w:pPr>
                  <w:r w:rsidRPr="00794470">
                    <w:rPr>
                      <w:b/>
                    </w:rPr>
                    <w:t>Amendments</w:t>
                  </w:r>
                  <w:r w:rsidRPr="00794470">
                    <w:t xml:space="preserve"> </w:t>
                  </w:r>
                </w:p>
              </w:tc>
            </w:tr>
            <w:tr w:rsidR="00A058EA" w:rsidRPr="006E75B6" w14:paraId="352158CC" w14:textId="77777777" w:rsidTr="002E51EB">
              <w:trPr>
                <w:trHeight w:val="365"/>
              </w:trPr>
              <w:tc>
                <w:tcPr>
                  <w:tcW w:w="2984" w:type="dxa"/>
                  <w:tcBorders>
                    <w:top w:val="single" w:sz="4" w:space="0" w:color="auto"/>
                    <w:left w:val="single" w:sz="4" w:space="0" w:color="auto"/>
                    <w:bottom w:val="single" w:sz="4" w:space="0" w:color="auto"/>
                    <w:right w:val="single" w:sz="4" w:space="0" w:color="auto"/>
                  </w:tcBorders>
                  <w:shd w:val="clear" w:color="auto" w:fill="auto"/>
                </w:tcPr>
                <w:p w14:paraId="37977A10" w14:textId="583DBF8F" w:rsidR="00A058EA" w:rsidRPr="00794470" w:rsidRDefault="00C9288B" w:rsidP="00A058EA">
                  <w:r w:rsidRPr="00794470">
                    <w:t>01.04.</w:t>
                  </w:r>
                  <w:r w:rsidR="0007007E" w:rsidRPr="00794470">
                    <w:t>20</w:t>
                  </w:r>
                  <w:r w:rsidR="00A058EA" w:rsidRPr="00794470">
                    <w:t xml:space="preserve">15 </w:t>
                  </w:r>
                </w:p>
              </w:tc>
              <w:tc>
                <w:tcPr>
                  <w:tcW w:w="5775" w:type="dxa"/>
                  <w:tcBorders>
                    <w:top w:val="single" w:sz="4" w:space="0" w:color="auto"/>
                    <w:left w:val="single" w:sz="4" w:space="0" w:color="auto"/>
                    <w:bottom w:val="single" w:sz="4" w:space="0" w:color="auto"/>
                    <w:right w:val="single" w:sz="4" w:space="0" w:color="auto"/>
                  </w:tcBorders>
                  <w:shd w:val="clear" w:color="auto" w:fill="auto"/>
                </w:tcPr>
                <w:p w14:paraId="493298EB" w14:textId="77777777" w:rsidR="00A058EA" w:rsidRPr="00794470" w:rsidRDefault="00A058EA" w:rsidP="00A058EA">
                  <w:pPr>
                    <w:jc w:val="both"/>
                  </w:pPr>
                  <w:r w:rsidRPr="00794470">
                    <w:t xml:space="preserve">Legislation updated in line with the Care Act 2014 </w:t>
                  </w:r>
                </w:p>
              </w:tc>
            </w:tr>
            <w:tr w:rsidR="00A058EA" w:rsidRPr="006E75B6" w14:paraId="6E8903D4" w14:textId="77777777" w:rsidTr="002E51EB">
              <w:trPr>
                <w:trHeight w:val="365"/>
              </w:trPr>
              <w:tc>
                <w:tcPr>
                  <w:tcW w:w="2984" w:type="dxa"/>
                  <w:tcBorders>
                    <w:top w:val="single" w:sz="4" w:space="0" w:color="auto"/>
                    <w:left w:val="single" w:sz="4" w:space="0" w:color="auto"/>
                    <w:bottom w:val="single" w:sz="4" w:space="0" w:color="auto"/>
                    <w:right w:val="single" w:sz="4" w:space="0" w:color="auto"/>
                  </w:tcBorders>
                  <w:shd w:val="clear" w:color="auto" w:fill="auto"/>
                </w:tcPr>
                <w:p w14:paraId="5B585363" w14:textId="7031C04A" w:rsidR="00A058EA" w:rsidRPr="00794470" w:rsidRDefault="00A058EA" w:rsidP="00A058EA">
                  <w:r w:rsidRPr="00794470">
                    <w:t>23.10.</w:t>
                  </w:r>
                  <w:r w:rsidR="0007007E" w:rsidRPr="00794470">
                    <w:t>20</w:t>
                  </w:r>
                  <w:r w:rsidRPr="00794470">
                    <w:t>17</w:t>
                  </w:r>
                </w:p>
              </w:tc>
              <w:tc>
                <w:tcPr>
                  <w:tcW w:w="5775" w:type="dxa"/>
                  <w:tcBorders>
                    <w:top w:val="single" w:sz="4" w:space="0" w:color="auto"/>
                    <w:left w:val="single" w:sz="4" w:space="0" w:color="auto"/>
                    <w:bottom w:val="single" w:sz="4" w:space="0" w:color="auto"/>
                    <w:right w:val="single" w:sz="4" w:space="0" w:color="auto"/>
                  </w:tcBorders>
                  <w:shd w:val="clear" w:color="auto" w:fill="auto"/>
                </w:tcPr>
                <w:p w14:paraId="6683EF87" w14:textId="77777777" w:rsidR="00A058EA" w:rsidRPr="00794470" w:rsidRDefault="00A058EA" w:rsidP="00A058EA">
                  <w:pPr>
                    <w:jc w:val="both"/>
                  </w:pPr>
                  <w:r w:rsidRPr="00794470">
                    <w:t>Reviewed and amended by Principal OT</w:t>
                  </w:r>
                </w:p>
              </w:tc>
            </w:tr>
            <w:tr w:rsidR="00A058EA" w:rsidRPr="006E75B6" w14:paraId="797C0E83" w14:textId="77777777" w:rsidTr="002E51EB">
              <w:trPr>
                <w:trHeight w:val="365"/>
              </w:trPr>
              <w:tc>
                <w:tcPr>
                  <w:tcW w:w="2984" w:type="dxa"/>
                  <w:tcBorders>
                    <w:top w:val="single" w:sz="4" w:space="0" w:color="auto"/>
                    <w:left w:val="single" w:sz="4" w:space="0" w:color="auto"/>
                    <w:bottom w:val="single" w:sz="4" w:space="0" w:color="auto"/>
                    <w:right w:val="single" w:sz="4" w:space="0" w:color="auto"/>
                  </w:tcBorders>
                  <w:shd w:val="clear" w:color="auto" w:fill="auto"/>
                </w:tcPr>
                <w:p w14:paraId="1964CA8A" w14:textId="135E6E8B" w:rsidR="00A058EA" w:rsidRPr="00794470" w:rsidRDefault="00C9288B" w:rsidP="00A058EA">
                  <w:r w:rsidRPr="00794470">
                    <w:t>05.04.</w:t>
                  </w:r>
                  <w:r w:rsidR="0007007E" w:rsidRPr="00794470">
                    <w:t>20</w:t>
                  </w:r>
                  <w:r w:rsidRPr="00794470">
                    <w:t>22</w:t>
                  </w:r>
                </w:p>
              </w:tc>
              <w:tc>
                <w:tcPr>
                  <w:tcW w:w="5775" w:type="dxa"/>
                  <w:tcBorders>
                    <w:top w:val="single" w:sz="4" w:space="0" w:color="auto"/>
                    <w:left w:val="single" w:sz="4" w:space="0" w:color="auto"/>
                    <w:bottom w:val="single" w:sz="4" w:space="0" w:color="auto"/>
                    <w:right w:val="single" w:sz="4" w:space="0" w:color="auto"/>
                  </w:tcBorders>
                  <w:shd w:val="clear" w:color="auto" w:fill="auto"/>
                </w:tcPr>
                <w:p w14:paraId="4ABAC09C" w14:textId="77777777" w:rsidR="00A058EA" w:rsidRPr="00794470" w:rsidRDefault="00A058EA" w:rsidP="00A058EA">
                  <w:pPr>
                    <w:jc w:val="both"/>
                  </w:pPr>
                  <w:r w:rsidRPr="00794470">
                    <w:t>Reviewed added the linked document 8 DFG guidance</w:t>
                  </w:r>
                </w:p>
              </w:tc>
            </w:tr>
            <w:tr w:rsidR="00A058EA" w:rsidRPr="006E75B6" w14:paraId="1FE2FE2C" w14:textId="77777777" w:rsidTr="002E51EB">
              <w:trPr>
                <w:trHeight w:val="365"/>
              </w:trPr>
              <w:tc>
                <w:tcPr>
                  <w:tcW w:w="2984" w:type="dxa"/>
                  <w:tcBorders>
                    <w:top w:val="single" w:sz="4" w:space="0" w:color="auto"/>
                    <w:left w:val="single" w:sz="4" w:space="0" w:color="auto"/>
                    <w:bottom w:val="single" w:sz="4" w:space="0" w:color="auto"/>
                    <w:right w:val="single" w:sz="4" w:space="0" w:color="auto"/>
                  </w:tcBorders>
                  <w:shd w:val="clear" w:color="auto" w:fill="auto"/>
                </w:tcPr>
                <w:p w14:paraId="2745C2BC" w14:textId="6DF2B491" w:rsidR="00A058EA" w:rsidRPr="00794470" w:rsidRDefault="00A058EA" w:rsidP="00A058EA">
                  <w:r w:rsidRPr="00794470">
                    <w:t>09.06.</w:t>
                  </w:r>
                  <w:r w:rsidR="0007007E" w:rsidRPr="00794470">
                    <w:t>20</w:t>
                  </w:r>
                  <w:r w:rsidRPr="00794470">
                    <w:t>23</w:t>
                  </w:r>
                </w:p>
              </w:tc>
              <w:tc>
                <w:tcPr>
                  <w:tcW w:w="5775" w:type="dxa"/>
                  <w:tcBorders>
                    <w:top w:val="single" w:sz="4" w:space="0" w:color="auto"/>
                    <w:left w:val="single" w:sz="4" w:space="0" w:color="auto"/>
                    <w:bottom w:val="single" w:sz="4" w:space="0" w:color="auto"/>
                    <w:right w:val="single" w:sz="4" w:space="0" w:color="auto"/>
                  </w:tcBorders>
                  <w:shd w:val="clear" w:color="auto" w:fill="auto"/>
                </w:tcPr>
                <w:p w14:paraId="3A4C659D" w14:textId="77777777" w:rsidR="00A058EA" w:rsidRPr="00794470" w:rsidRDefault="00A058EA" w:rsidP="00A058EA">
                  <w:pPr>
                    <w:jc w:val="both"/>
                  </w:pPr>
                  <w:r w:rsidRPr="00794470">
                    <w:t xml:space="preserve">Reviewed minor language changes </w:t>
                  </w:r>
                </w:p>
              </w:tc>
            </w:tr>
          </w:tbl>
          <w:p w14:paraId="2AF71446" w14:textId="46D6F475" w:rsidR="004C0586" w:rsidRPr="006C417D" w:rsidRDefault="004C0586" w:rsidP="00593638">
            <w:pPr>
              <w:spacing w:after="80"/>
              <w:rPr>
                <w:rFonts w:cs="Arial"/>
                <w:b/>
              </w:rPr>
            </w:pPr>
          </w:p>
        </w:tc>
      </w:tr>
    </w:tbl>
    <w:p w14:paraId="7A8D8A3D" w14:textId="77777777" w:rsidR="004C0586" w:rsidRPr="003772B6" w:rsidRDefault="004C0586" w:rsidP="004C0586">
      <w:pPr>
        <w:rPr>
          <w:rFonts w:cs="Arial"/>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tblGrid>
      <w:tr w:rsidR="004C0586" w:rsidRPr="003730F9" w14:paraId="68C0981F" w14:textId="77777777" w:rsidTr="00593638">
        <w:tc>
          <w:tcPr>
            <w:tcW w:w="9118" w:type="dxa"/>
          </w:tcPr>
          <w:p w14:paraId="22FD4158" w14:textId="77777777" w:rsidR="004C0586" w:rsidRPr="005A24B2" w:rsidRDefault="004C0586" w:rsidP="00593638">
            <w:pPr>
              <w:jc w:val="both"/>
              <w:rPr>
                <w:color w:val="808080"/>
                <w:sz w:val="20"/>
              </w:rPr>
            </w:pPr>
            <w:r w:rsidRPr="005A24B2">
              <w:rPr>
                <w:rFonts w:cs="Arial"/>
                <w:color w:val="808080"/>
                <w:sz w:val="20"/>
                <w14:textFill>
                  <w14:solidFill>
                    <w14:srgbClr w14:val="808080">
                      <w14:lumMod w14:val="75000"/>
                    </w14:srgbClr>
                  </w14:solidFill>
                </w14:textFill>
              </w:rPr>
              <w:t xml:space="preserve">* </w:t>
            </w:r>
            <w:r w:rsidRPr="005A24B2">
              <w:rPr>
                <w:rFonts w:cs="Arial"/>
                <w:color w:val="808080"/>
                <w:sz w:val="20"/>
              </w:rPr>
              <w:t>If you are making changes to an existing document, please overwrite the previous version.</w:t>
            </w:r>
          </w:p>
        </w:tc>
      </w:tr>
    </w:tbl>
    <w:p w14:paraId="433C4413" w14:textId="77777777" w:rsidR="00D42292" w:rsidRDefault="00D42292" w:rsidP="00D42292"/>
    <w:p w14:paraId="5026AD02" w14:textId="76C81810" w:rsidR="00072354" w:rsidRDefault="00072354">
      <w:r>
        <w:br w:type="page"/>
      </w:r>
    </w:p>
    <w:p w14:paraId="017D2F07" w14:textId="77777777" w:rsidR="0015511B" w:rsidRDefault="00690DA9" w:rsidP="00D01B3A">
      <w:r>
        <w:rPr>
          <w:noProof/>
        </w:rPr>
        <w:lastRenderedPageBreak/>
        <w:drawing>
          <wp:inline distT="0" distB="0" distL="0" distR="0" wp14:anchorId="57859F8B" wp14:editId="3C4674DB">
            <wp:extent cx="2946400" cy="501650"/>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6400" cy="501650"/>
                    </a:xfrm>
                    <a:prstGeom prst="rect">
                      <a:avLst/>
                    </a:prstGeom>
                    <a:noFill/>
                    <a:ln>
                      <a:noFill/>
                    </a:ln>
                  </pic:spPr>
                </pic:pic>
              </a:graphicData>
            </a:graphic>
          </wp:inline>
        </w:drawing>
      </w:r>
    </w:p>
    <w:p w14:paraId="3A81D80A" w14:textId="77777777" w:rsidR="00690DA9" w:rsidRDefault="00690DA9" w:rsidP="00D01B3A"/>
    <w:p w14:paraId="2249CFD4" w14:textId="67C3246B" w:rsidR="00E63417" w:rsidRDefault="005E27AA" w:rsidP="001A2E4A">
      <w:pPr>
        <w:rPr>
          <w:b/>
          <w:bCs/>
          <w:sz w:val="48"/>
          <w:szCs w:val="48"/>
        </w:rPr>
      </w:pPr>
      <w:r w:rsidRPr="001A2E4A">
        <w:rPr>
          <w:b/>
          <w:bCs/>
          <w:sz w:val="48"/>
          <w:szCs w:val="48"/>
        </w:rPr>
        <w:t xml:space="preserve">Occupational Therapy Service Policy </w:t>
      </w:r>
    </w:p>
    <w:p w14:paraId="1B4FCB89" w14:textId="77777777" w:rsidR="0028576E" w:rsidRPr="001A2E4A" w:rsidRDefault="0028576E" w:rsidP="001A2E4A">
      <w:pPr>
        <w:rPr>
          <w:rFonts w:cs="Arial"/>
          <w:b/>
          <w:bCs/>
          <w:sz w:val="48"/>
          <w:szCs w:val="48"/>
        </w:rPr>
      </w:pPr>
    </w:p>
    <w:sdt>
      <w:sdtPr>
        <w:id w:val="-1250338259"/>
        <w:docPartObj>
          <w:docPartGallery w:val="Table of Contents"/>
          <w:docPartUnique/>
        </w:docPartObj>
      </w:sdtPr>
      <w:sdtEndPr>
        <w:rPr>
          <w:rFonts w:ascii="Arial" w:eastAsia="Times New Roman" w:hAnsi="Arial" w:cs="Times New Roman"/>
          <w:b/>
          <w:bCs/>
          <w:noProof/>
          <w:color w:val="auto"/>
          <w:sz w:val="24"/>
          <w:szCs w:val="24"/>
          <w:lang w:val="en-GB" w:eastAsia="en-GB"/>
        </w:rPr>
      </w:sdtEndPr>
      <w:sdtContent>
        <w:p w14:paraId="0A0E2A36" w14:textId="7670A6D6" w:rsidR="003D4AE6" w:rsidRDefault="003D4AE6">
          <w:pPr>
            <w:pStyle w:val="TOCHeading"/>
            <w:rPr>
              <w:rFonts w:ascii="Arial" w:hAnsi="Arial" w:cs="Arial"/>
              <w:b/>
              <w:bCs/>
              <w:color w:val="auto"/>
            </w:rPr>
          </w:pPr>
          <w:r w:rsidRPr="0028576E">
            <w:rPr>
              <w:rFonts w:ascii="Arial" w:hAnsi="Arial" w:cs="Arial"/>
              <w:color w:val="auto"/>
            </w:rPr>
            <w:t>Contents</w:t>
          </w:r>
        </w:p>
        <w:p w14:paraId="1F9D0A61" w14:textId="77777777" w:rsidR="001E6EC6" w:rsidRPr="001E6EC6" w:rsidRDefault="001E6EC6" w:rsidP="001E6EC6">
          <w:pPr>
            <w:rPr>
              <w:lang w:val="en-US" w:eastAsia="en-US"/>
            </w:rPr>
          </w:pPr>
        </w:p>
        <w:p w14:paraId="43510D5A" w14:textId="6EA11EC1" w:rsidR="0028576E" w:rsidRDefault="003D4AE6">
          <w:pPr>
            <w:pStyle w:val="TOC1"/>
            <w:tabs>
              <w:tab w:val="right" w:leader="dot" w:pos="911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2483242" w:history="1">
            <w:r w:rsidR="0028576E" w:rsidRPr="00325284">
              <w:rPr>
                <w:rStyle w:val="Hyperlink"/>
                <w:rFonts w:cs="Arial"/>
                <w:b/>
                <w:bCs/>
                <w:noProof/>
              </w:rPr>
              <w:t>Context</w:t>
            </w:r>
            <w:r w:rsidR="0028576E">
              <w:rPr>
                <w:noProof/>
                <w:webHidden/>
              </w:rPr>
              <w:tab/>
            </w:r>
            <w:r w:rsidR="0028576E">
              <w:rPr>
                <w:noProof/>
                <w:webHidden/>
              </w:rPr>
              <w:fldChar w:fldCharType="begin"/>
            </w:r>
            <w:r w:rsidR="0028576E">
              <w:rPr>
                <w:noProof/>
                <w:webHidden/>
              </w:rPr>
              <w:instrText xml:space="preserve"> PAGEREF _Toc142483242 \h </w:instrText>
            </w:r>
            <w:r w:rsidR="0028576E">
              <w:rPr>
                <w:noProof/>
                <w:webHidden/>
              </w:rPr>
            </w:r>
            <w:r w:rsidR="0028576E">
              <w:rPr>
                <w:noProof/>
                <w:webHidden/>
              </w:rPr>
              <w:fldChar w:fldCharType="separate"/>
            </w:r>
            <w:r w:rsidR="0028576E">
              <w:rPr>
                <w:noProof/>
                <w:webHidden/>
              </w:rPr>
              <w:t>4</w:t>
            </w:r>
            <w:r w:rsidR="0028576E">
              <w:rPr>
                <w:noProof/>
                <w:webHidden/>
              </w:rPr>
              <w:fldChar w:fldCharType="end"/>
            </w:r>
          </w:hyperlink>
        </w:p>
        <w:p w14:paraId="177A0499" w14:textId="644CFBCF" w:rsidR="0028576E" w:rsidRDefault="0028576E">
          <w:pPr>
            <w:pStyle w:val="TOC1"/>
            <w:tabs>
              <w:tab w:val="right" w:leader="dot" w:pos="9118"/>
            </w:tabs>
            <w:rPr>
              <w:rFonts w:asciiTheme="minorHAnsi" w:eastAsiaTheme="minorEastAsia" w:hAnsiTheme="minorHAnsi" w:cstheme="minorBidi"/>
              <w:noProof/>
              <w:sz w:val="22"/>
              <w:szCs w:val="22"/>
            </w:rPr>
          </w:pPr>
          <w:hyperlink w:anchor="_Toc142483243" w:history="1">
            <w:r w:rsidRPr="00325284">
              <w:rPr>
                <w:rStyle w:val="Hyperlink"/>
                <w:rFonts w:cs="Arial"/>
                <w:b/>
                <w:bCs/>
                <w:noProof/>
              </w:rPr>
              <w:t>Occupational Therapy - Recommending Major Adaptations Guidance</w:t>
            </w:r>
            <w:r>
              <w:rPr>
                <w:noProof/>
                <w:webHidden/>
              </w:rPr>
              <w:tab/>
            </w:r>
            <w:r>
              <w:rPr>
                <w:noProof/>
                <w:webHidden/>
              </w:rPr>
              <w:fldChar w:fldCharType="begin"/>
            </w:r>
            <w:r>
              <w:rPr>
                <w:noProof/>
                <w:webHidden/>
              </w:rPr>
              <w:instrText xml:space="preserve"> PAGEREF _Toc142483243 \h </w:instrText>
            </w:r>
            <w:r>
              <w:rPr>
                <w:noProof/>
                <w:webHidden/>
              </w:rPr>
            </w:r>
            <w:r>
              <w:rPr>
                <w:noProof/>
                <w:webHidden/>
              </w:rPr>
              <w:fldChar w:fldCharType="separate"/>
            </w:r>
            <w:r>
              <w:rPr>
                <w:noProof/>
                <w:webHidden/>
              </w:rPr>
              <w:t>5</w:t>
            </w:r>
            <w:r>
              <w:rPr>
                <w:noProof/>
                <w:webHidden/>
              </w:rPr>
              <w:fldChar w:fldCharType="end"/>
            </w:r>
          </w:hyperlink>
        </w:p>
        <w:p w14:paraId="3F0F1F53" w14:textId="5A032E58" w:rsidR="0028576E" w:rsidRDefault="0028576E">
          <w:pPr>
            <w:pStyle w:val="TOC1"/>
            <w:tabs>
              <w:tab w:val="right" w:leader="dot" w:pos="9118"/>
            </w:tabs>
            <w:rPr>
              <w:rFonts w:asciiTheme="minorHAnsi" w:eastAsiaTheme="minorEastAsia" w:hAnsiTheme="minorHAnsi" w:cstheme="minorBidi"/>
              <w:noProof/>
              <w:sz w:val="22"/>
              <w:szCs w:val="22"/>
            </w:rPr>
          </w:pPr>
          <w:hyperlink w:anchor="_Toc142483244" w:history="1">
            <w:r w:rsidRPr="00325284">
              <w:rPr>
                <w:rStyle w:val="Hyperlink"/>
                <w:rFonts w:cs="Arial"/>
                <w:b/>
                <w:bCs/>
                <w:noProof/>
              </w:rPr>
              <w:t>Scope of this Occupational Therapy Policy</w:t>
            </w:r>
            <w:r>
              <w:rPr>
                <w:noProof/>
                <w:webHidden/>
              </w:rPr>
              <w:tab/>
            </w:r>
            <w:r>
              <w:rPr>
                <w:noProof/>
                <w:webHidden/>
              </w:rPr>
              <w:fldChar w:fldCharType="begin"/>
            </w:r>
            <w:r>
              <w:rPr>
                <w:noProof/>
                <w:webHidden/>
              </w:rPr>
              <w:instrText xml:space="preserve"> PAGEREF _Toc142483244 \h </w:instrText>
            </w:r>
            <w:r>
              <w:rPr>
                <w:noProof/>
                <w:webHidden/>
              </w:rPr>
            </w:r>
            <w:r>
              <w:rPr>
                <w:noProof/>
                <w:webHidden/>
              </w:rPr>
              <w:fldChar w:fldCharType="separate"/>
            </w:r>
            <w:r>
              <w:rPr>
                <w:noProof/>
                <w:webHidden/>
              </w:rPr>
              <w:t>6</w:t>
            </w:r>
            <w:r>
              <w:rPr>
                <w:noProof/>
                <w:webHidden/>
              </w:rPr>
              <w:fldChar w:fldCharType="end"/>
            </w:r>
          </w:hyperlink>
        </w:p>
        <w:p w14:paraId="42318067" w14:textId="29E7A8CD" w:rsidR="0028576E" w:rsidRDefault="0028576E">
          <w:pPr>
            <w:pStyle w:val="TOC1"/>
            <w:tabs>
              <w:tab w:val="right" w:leader="dot" w:pos="9118"/>
            </w:tabs>
            <w:rPr>
              <w:rFonts w:asciiTheme="minorHAnsi" w:eastAsiaTheme="minorEastAsia" w:hAnsiTheme="minorHAnsi" w:cstheme="minorBidi"/>
              <w:noProof/>
              <w:sz w:val="22"/>
              <w:szCs w:val="22"/>
            </w:rPr>
          </w:pPr>
          <w:hyperlink w:anchor="_Toc142483245" w:history="1">
            <w:r w:rsidRPr="00325284">
              <w:rPr>
                <w:rStyle w:val="Hyperlink"/>
                <w:rFonts w:cs="Arial"/>
                <w:b/>
                <w:bCs/>
                <w:noProof/>
              </w:rPr>
              <w:t>Principles and Commitments within this Occupational Therapy Policy</w:t>
            </w:r>
            <w:r>
              <w:rPr>
                <w:noProof/>
                <w:webHidden/>
              </w:rPr>
              <w:tab/>
            </w:r>
            <w:r>
              <w:rPr>
                <w:noProof/>
                <w:webHidden/>
              </w:rPr>
              <w:fldChar w:fldCharType="begin"/>
            </w:r>
            <w:r>
              <w:rPr>
                <w:noProof/>
                <w:webHidden/>
              </w:rPr>
              <w:instrText xml:space="preserve"> PAGEREF _Toc142483245 \h </w:instrText>
            </w:r>
            <w:r>
              <w:rPr>
                <w:noProof/>
                <w:webHidden/>
              </w:rPr>
            </w:r>
            <w:r>
              <w:rPr>
                <w:noProof/>
                <w:webHidden/>
              </w:rPr>
              <w:fldChar w:fldCharType="separate"/>
            </w:r>
            <w:r>
              <w:rPr>
                <w:noProof/>
                <w:webHidden/>
              </w:rPr>
              <w:t>6</w:t>
            </w:r>
            <w:r>
              <w:rPr>
                <w:noProof/>
                <w:webHidden/>
              </w:rPr>
              <w:fldChar w:fldCharType="end"/>
            </w:r>
          </w:hyperlink>
        </w:p>
        <w:p w14:paraId="0017D3AD" w14:textId="366A0D69" w:rsidR="0028576E" w:rsidRDefault="0028576E">
          <w:pPr>
            <w:pStyle w:val="TOC1"/>
            <w:tabs>
              <w:tab w:val="right" w:leader="dot" w:pos="9118"/>
            </w:tabs>
            <w:rPr>
              <w:rFonts w:asciiTheme="minorHAnsi" w:eastAsiaTheme="minorEastAsia" w:hAnsiTheme="minorHAnsi" w:cstheme="minorBidi"/>
              <w:noProof/>
              <w:sz w:val="22"/>
              <w:szCs w:val="22"/>
            </w:rPr>
          </w:pPr>
          <w:hyperlink w:anchor="_Toc142483246" w:history="1">
            <w:r w:rsidRPr="00325284">
              <w:rPr>
                <w:rStyle w:val="Hyperlink"/>
                <w:rFonts w:cs="Arial"/>
                <w:b/>
                <w:bCs/>
                <w:noProof/>
              </w:rPr>
              <w:t>Key actions to meet the commitments set out in the Policy</w:t>
            </w:r>
            <w:r>
              <w:rPr>
                <w:noProof/>
                <w:webHidden/>
              </w:rPr>
              <w:tab/>
            </w:r>
            <w:r>
              <w:rPr>
                <w:noProof/>
                <w:webHidden/>
              </w:rPr>
              <w:fldChar w:fldCharType="begin"/>
            </w:r>
            <w:r>
              <w:rPr>
                <w:noProof/>
                <w:webHidden/>
              </w:rPr>
              <w:instrText xml:space="preserve"> PAGEREF _Toc142483246 \h </w:instrText>
            </w:r>
            <w:r>
              <w:rPr>
                <w:noProof/>
                <w:webHidden/>
              </w:rPr>
            </w:r>
            <w:r>
              <w:rPr>
                <w:noProof/>
                <w:webHidden/>
              </w:rPr>
              <w:fldChar w:fldCharType="separate"/>
            </w:r>
            <w:r>
              <w:rPr>
                <w:noProof/>
                <w:webHidden/>
              </w:rPr>
              <w:t>8</w:t>
            </w:r>
            <w:r>
              <w:rPr>
                <w:noProof/>
                <w:webHidden/>
              </w:rPr>
              <w:fldChar w:fldCharType="end"/>
            </w:r>
          </w:hyperlink>
        </w:p>
        <w:p w14:paraId="5C760945" w14:textId="2D2048AC" w:rsidR="003D4AE6" w:rsidRDefault="003D4AE6">
          <w:r>
            <w:rPr>
              <w:b/>
              <w:bCs/>
              <w:noProof/>
            </w:rPr>
            <w:fldChar w:fldCharType="end"/>
          </w:r>
        </w:p>
      </w:sdtContent>
    </w:sdt>
    <w:p w14:paraId="6B3E4D6F" w14:textId="20EF044A" w:rsidR="0028576E" w:rsidRDefault="0028576E">
      <w:pPr>
        <w:rPr>
          <w:rFonts w:cs="Arial"/>
        </w:rPr>
      </w:pPr>
      <w:r>
        <w:rPr>
          <w:rFonts w:cs="Arial"/>
        </w:rPr>
        <w:br w:type="page"/>
      </w:r>
    </w:p>
    <w:p w14:paraId="0C84506B" w14:textId="77777777" w:rsidR="005E27AA" w:rsidRPr="00A61A19" w:rsidRDefault="005E27AA" w:rsidP="005E27AA">
      <w:pPr>
        <w:ind w:left="120"/>
        <w:rPr>
          <w:rFonts w:cs="Arial"/>
        </w:rPr>
      </w:pPr>
    </w:p>
    <w:p w14:paraId="502D7C5B" w14:textId="77777777" w:rsidR="005E27AA" w:rsidRPr="00A51E1A" w:rsidRDefault="005E27AA" w:rsidP="00A51E1A">
      <w:pPr>
        <w:pStyle w:val="Heading1"/>
        <w:rPr>
          <w:rFonts w:ascii="Arial" w:hAnsi="Arial" w:cs="Arial"/>
          <w:b/>
          <w:bCs/>
          <w:color w:val="auto"/>
          <w:sz w:val="28"/>
          <w:szCs w:val="28"/>
        </w:rPr>
      </w:pPr>
      <w:bookmarkStart w:id="0" w:name="_Toc142483242"/>
      <w:r w:rsidRPr="00A51E1A">
        <w:rPr>
          <w:rFonts w:ascii="Arial" w:hAnsi="Arial" w:cs="Arial"/>
          <w:b/>
          <w:bCs/>
          <w:color w:val="auto"/>
          <w:sz w:val="28"/>
          <w:szCs w:val="28"/>
        </w:rPr>
        <w:t>Context</w:t>
      </w:r>
      <w:bookmarkEnd w:id="0"/>
      <w:r w:rsidRPr="00A51E1A">
        <w:rPr>
          <w:rFonts w:ascii="Arial" w:hAnsi="Arial" w:cs="Arial"/>
          <w:b/>
          <w:bCs/>
          <w:color w:val="auto"/>
          <w:sz w:val="28"/>
          <w:szCs w:val="28"/>
        </w:rPr>
        <w:t xml:space="preserve"> </w:t>
      </w:r>
    </w:p>
    <w:p w14:paraId="7C089196" w14:textId="77777777" w:rsidR="005E27AA" w:rsidRPr="00072354" w:rsidRDefault="005E27AA" w:rsidP="005E27AA">
      <w:pPr>
        <w:rPr>
          <w:rFonts w:cs="Arial"/>
        </w:rPr>
      </w:pPr>
    </w:p>
    <w:p w14:paraId="6FC62239" w14:textId="7FB4F997" w:rsidR="005E27AA" w:rsidRPr="00072354" w:rsidRDefault="005E27AA" w:rsidP="00E80633">
      <w:pPr>
        <w:rPr>
          <w:b/>
        </w:rPr>
      </w:pPr>
      <w:r w:rsidRPr="00072354">
        <w:t xml:space="preserve">Occupational </w:t>
      </w:r>
      <w:r w:rsidR="00B32A36">
        <w:t>t</w:t>
      </w:r>
      <w:r w:rsidRPr="00072354">
        <w:t xml:space="preserve">herapy enables people to experience health, wellbeing and life satisfaction through participation in activities or occupation. When people cannot participate in their daily activities through mental or physical illness, disability or old age their wellbeing, identity and sense of purpose is </w:t>
      </w:r>
      <w:r w:rsidR="00A51E1A" w:rsidRPr="00072354">
        <w:t>affected,</w:t>
      </w:r>
      <w:r w:rsidRPr="00072354">
        <w:t xml:space="preserve"> and they can become dependent on others.</w:t>
      </w:r>
    </w:p>
    <w:p w14:paraId="1F1BD2EE" w14:textId="77777777" w:rsidR="005E27AA" w:rsidRPr="00072354" w:rsidRDefault="005E27AA" w:rsidP="00E80633">
      <w:pPr>
        <w:rPr>
          <w:rFonts w:cs="Arial"/>
        </w:rPr>
      </w:pPr>
    </w:p>
    <w:p w14:paraId="0977AF6F" w14:textId="77777777" w:rsidR="005E27AA" w:rsidRPr="00072354" w:rsidRDefault="005E27AA" w:rsidP="00E80633">
      <w:pPr>
        <w:ind w:right="-57"/>
        <w:rPr>
          <w:rFonts w:cs="Arial"/>
        </w:rPr>
      </w:pPr>
      <w:r w:rsidRPr="00072354">
        <w:rPr>
          <w:rFonts w:cs="Arial"/>
        </w:rPr>
        <w:t>By listening, understanding and responding to the experiences, preferences and priorities of our citizens, and by working together effectively across all ten councils with adult social care responsibilities in the East Midlands region in the delivery of strengths based, sustainable and successful adult social care, people live their lives in the ways they want, in places they call home, with the people and things they love, in communities where people look out for each other, and doing the things that matter most to them.</w:t>
      </w:r>
    </w:p>
    <w:p w14:paraId="0951D05A" w14:textId="77777777" w:rsidR="00943069" w:rsidRDefault="00943069" w:rsidP="00E80633"/>
    <w:p w14:paraId="2B54F561" w14:textId="6D564FF2" w:rsidR="005E27AA" w:rsidRPr="00072354" w:rsidRDefault="004E2A93" w:rsidP="00E80633">
      <w:r>
        <w:t>Nottinghamshire County Council (</w:t>
      </w:r>
      <w:r w:rsidR="005E27AA" w:rsidRPr="00072354">
        <w:t>NCC</w:t>
      </w:r>
      <w:r>
        <w:t>)</w:t>
      </w:r>
      <w:r w:rsidR="005E27AA" w:rsidRPr="00072354">
        <w:t xml:space="preserve"> employ </w:t>
      </w:r>
      <w:r w:rsidR="00AB7FC9">
        <w:t>o</w:t>
      </w:r>
      <w:r w:rsidR="005E27AA" w:rsidRPr="00072354">
        <w:t xml:space="preserve">ccupational </w:t>
      </w:r>
      <w:r w:rsidR="00AB7FC9">
        <w:t>t</w:t>
      </w:r>
      <w:r w:rsidR="005E27AA" w:rsidRPr="00072354">
        <w:t xml:space="preserve">herapists </w:t>
      </w:r>
      <w:r w:rsidR="00AB7FC9" w:rsidRPr="00072354">
        <w:t xml:space="preserve">(OT) </w:t>
      </w:r>
      <w:r w:rsidR="005E27AA" w:rsidRPr="00072354">
        <w:t xml:space="preserve">and </w:t>
      </w:r>
      <w:r w:rsidR="00AB7FC9">
        <w:t>c</w:t>
      </w:r>
      <w:r w:rsidR="005E27AA" w:rsidRPr="00072354">
        <w:t xml:space="preserve">ommunity </w:t>
      </w:r>
      <w:r w:rsidR="00AB7FC9">
        <w:t>c</w:t>
      </w:r>
      <w:r w:rsidR="005E27AA" w:rsidRPr="00072354">
        <w:t xml:space="preserve">are </w:t>
      </w:r>
      <w:r w:rsidR="00AB7FC9">
        <w:t>o</w:t>
      </w:r>
      <w:r w:rsidR="005E27AA" w:rsidRPr="00072354">
        <w:t xml:space="preserve">fficers </w:t>
      </w:r>
      <w:r w:rsidR="00AB7FC9">
        <w:t xml:space="preserve">(CCO) </w:t>
      </w:r>
      <w:r w:rsidR="005E27AA" w:rsidRPr="00072354">
        <w:t xml:space="preserve">to assess people’s needs and to support people to identify any outcomes that will improve their wellbeing. The aim of providing this service to people living in the community, is to enable them to have the self-determination to maintain or improve their independence in their daily activities and occupations, it may also be possible to prevent or reduce dependency on social care for some people. </w:t>
      </w:r>
    </w:p>
    <w:p w14:paraId="75565790" w14:textId="77777777" w:rsidR="005E27AA" w:rsidRPr="00072354" w:rsidRDefault="005E27AA" w:rsidP="00E80633">
      <w:pPr>
        <w:rPr>
          <w:rFonts w:cs="Arial"/>
        </w:rPr>
      </w:pPr>
    </w:p>
    <w:p w14:paraId="0C6A1A8A" w14:textId="1BB9D25F" w:rsidR="005E27AA" w:rsidRPr="00072354" w:rsidRDefault="005E27AA" w:rsidP="00E80633">
      <w:pPr>
        <w:rPr>
          <w:rFonts w:cs="Arial"/>
        </w:rPr>
      </w:pPr>
      <w:r w:rsidRPr="00072354">
        <w:rPr>
          <w:rFonts w:cs="Arial"/>
        </w:rPr>
        <w:t xml:space="preserve">Occupational </w:t>
      </w:r>
      <w:r w:rsidR="007B4E4F">
        <w:rPr>
          <w:rFonts w:cs="Arial"/>
        </w:rPr>
        <w:t>t</w:t>
      </w:r>
      <w:r w:rsidRPr="00072354">
        <w:rPr>
          <w:rFonts w:cs="Arial"/>
        </w:rPr>
        <w:t>herapists bring a unique contribution to social care. They are strength based and person centred in their approach. They can analyse how a person performs a task, make changes to the way they do it to make it easier, or change the environment and remove any barriers. By identifying different solutions or setting goals they enable that person to be more independent. This might include working with people or their carers to practice or re-learn new skills or compensating for the things they can`t do with equipment or assistive technology. Sometimes, a person will require assistance from another person to enable them to complete a task and they may be eligible under the Care Act for social care funding for this.</w:t>
      </w:r>
    </w:p>
    <w:p w14:paraId="5D88D0E9" w14:textId="77777777" w:rsidR="005E27AA" w:rsidRPr="00072354" w:rsidRDefault="005E27AA" w:rsidP="00E80633">
      <w:pPr>
        <w:rPr>
          <w:rFonts w:cs="Arial"/>
        </w:rPr>
      </w:pPr>
    </w:p>
    <w:p w14:paraId="64C35DFF" w14:textId="79C21F3E" w:rsidR="005E27AA" w:rsidRPr="00072354" w:rsidRDefault="005E27AA" w:rsidP="00E80633">
      <w:pPr>
        <w:rPr>
          <w:rFonts w:cs="Arial"/>
        </w:rPr>
      </w:pPr>
      <w:r w:rsidRPr="00072354">
        <w:rPr>
          <w:rFonts w:cs="Arial"/>
        </w:rPr>
        <w:t xml:space="preserve">Occupational </w:t>
      </w:r>
      <w:r w:rsidR="00386017">
        <w:rPr>
          <w:rFonts w:cs="Arial"/>
        </w:rPr>
        <w:t>t</w:t>
      </w:r>
      <w:r w:rsidRPr="00072354">
        <w:rPr>
          <w:rFonts w:cs="Arial"/>
        </w:rPr>
        <w:t xml:space="preserve">herapists who work in social care are governed by specific legislation, primarily: </w:t>
      </w:r>
    </w:p>
    <w:p w14:paraId="35F9FA4C" w14:textId="77777777" w:rsidR="005E27AA" w:rsidRPr="00072354" w:rsidRDefault="005E27AA" w:rsidP="00E80633">
      <w:pPr>
        <w:rPr>
          <w:rFonts w:cs="Arial"/>
        </w:rPr>
      </w:pPr>
      <w:r w:rsidRPr="00072354">
        <w:rPr>
          <w:rFonts w:eastAsia="Calibri" w:cs="Arial"/>
        </w:rPr>
        <w:t xml:space="preserve"> </w:t>
      </w:r>
    </w:p>
    <w:p w14:paraId="5203F659" w14:textId="77777777" w:rsidR="005E27AA" w:rsidRPr="00072354" w:rsidRDefault="005E27AA" w:rsidP="00E80633">
      <w:pPr>
        <w:pStyle w:val="ListParagraph"/>
        <w:numPr>
          <w:ilvl w:val="0"/>
          <w:numId w:val="10"/>
        </w:numPr>
        <w:spacing w:after="0" w:line="240" w:lineRule="auto"/>
        <w:rPr>
          <w:rFonts w:ascii="Arial" w:hAnsi="Arial" w:cs="Arial"/>
          <w:sz w:val="24"/>
          <w:szCs w:val="24"/>
        </w:rPr>
      </w:pPr>
      <w:hyperlink r:id="rId20" w:history="1">
        <w:r w:rsidRPr="00072354">
          <w:rPr>
            <w:rStyle w:val="Hyperlink"/>
            <w:rFonts w:ascii="Arial" w:hAnsi="Arial" w:cs="Arial"/>
            <w:sz w:val="24"/>
            <w:szCs w:val="24"/>
          </w:rPr>
          <w:t xml:space="preserve">The Care Act 2014 </w:t>
        </w:r>
      </w:hyperlink>
    </w:p>
    <w:p w14:paraId="7D0E8BC5" w14:textId="77777777" w:rsidR="005E27AA" w:rsidRPr="00072354" w:rsidRDefault="005E27AA" w:rsidP="00E80633">
      <w:pPr>
        <w:pStyle w:val="ListParagraph"/>
        <w:numPr>
          <w:ilvl w:val="0"/>
          <w:numId w:val="10"/>
        </w:numPr>
        <w:spacing w:after="0" w:line="240" w:lineRule="auto"/>
        <w:rPr>
          <w:rFonts w:ascii="Arial" w:hAnsi="Arial" w:cs="Arial"/>
          <w:sz w:val="24"/>
          <w:szCs w:val="24"/>
        </w:rPr>
      </w:pPr>
      <w:hyperlink r:id="rId21" w:history="1">
        <w:r w:rsidRPr="00072354">
          <w:rPr>
            <w:rStyle w:val="Hyperlink"/>
            <w:rFonts w:ascii="Arial" w:hAnsi="Arial" w:cs="Arial"/>
            <w:sz w:val="24"/>
            <w:szCs w:val="24"/>
          </w:rPr>
          <w:t xml:space="preserve">The Disability Discrimination Act 1995 </w:t>
        </w:r>
      </w:hyperlink>
    </w:p>
    <w:p w14:paraId="321503CC" w14:textId="77777777" w:rsidR="005E27AA" w:rsidRPr="00072354" w:rsidRDefault="005E27AA" w:rsidP="00E80633">
      <w:pPr>
        <w:pStyle w:val="ListParagraph"/>
        <w:numPr>
          <w:ilvl w:val="0"/>
          <w:numId w:val="10"/>
        </w:numPr>
        <w:spacing w:after="0" w:line="240" w:lineRule="auto"/>
        <w:rPr>
          <w:rFonts w:ascii="Arial" w:hAnsi="Arial" w:cs="Arial"/>
          <w:sz w:val="24"/>
          <w:szCs w:val="24"/>
        </w:rPr>
      </w:pPr>
      <w:hyperlink r:id="rId22" w:history="1">
        <w:r w:rsidRPr="00072354">
          <w:rPr>
            <w:rStyle w:val="Hyperlink"/>
            <w:rFonts w:ascii="Arial" w:hAnsi="Arial" w:cs="Arial"/>
            <w:sz w:val="24"/>
            <w:szCs w:val="24"/>
          </w:rPr>
          <w:t xml:space="preserve">Housing Grants, Construction and Regeneration Act 1996 </w:t>
        </w:r>
      </w:hyperlink>
    </w:p>
    <w:p w14:paraId="6B3F6D11" w14:textId="77777777" w:rsidR="005E27AA" w:rsidRPr="00072354" w:rsidRDefault="005E27AA" w:rsidP="00E80633">
      <w:pPr>
        <w:pStyle w:val="ListParagraph"/>
        <w:numPr>
          <w:ilvl w:val="0"/>
          <w:numId w:val="10"/>
        </w:numPr>
        <w:spacing w:after="0" w:line="240" w:lineRule="auto"/>
        <w:rPr>
          <w:rFonts w:ascii="Arial" w:hAnsi="Arial" w:cs="Arial"/>
          <w:sz w:val="24"/>
          <w:szCs w:val="24"/>
        </w:rPr>
      </w:pPr>
      <w:hyperlink r:id="rId23" w:history="1">
        <w:r w:rsidRPr="00072354">
          <w:rPr>
            <w:rStyle w:val="Hyperlink"/>
            <w:rFonts w:ascii="Arial" w:hAnsi="Arial" w:cs="Arial"/>
            <w:sz w:val="24"/>
            <w:szCs w:val="24"/>
          </w:rPr>
          <w:t>Health and safety at work act 1974: Manual Handling Operations Regulations 1992 (MHOR)</w:t>
        </w:r>
      </w:hyperlink>
    </w:p>
    <w:p w14:paraId="7B481BB6" w14:textId="77777777" w:rsidR="005E27AA" w:rsidRPr="00072354" w:rsidRDefault="005E27AA" w:rsidP="00E80633">
      <w:pPr>
        <w:pStyle w:val="ListParagraph"/>
        <w:spacing w:after="0" w:line="240" w:lineRule="auto"/>
        <w:ind w:left="941"/>
        <w:rPr>
          <w:rFonts w:ascii="Arial" w:hAnsi="Arial" w:cs="Arial"/>
          <w:sz w:val="24"/>
          <w:szCs w:val="24"/>
        </w:rPr>
      </w:pPr>
    </w:p>
    <w:p w14:paraId="185BFCBF" w14:textId="3D7682C8" w:rsidR="005E27AA" w:rsidRPr="00072354" w:rsidRDefault="005E27AA" w:rsidP="00E80633">
      <w:pPr>
        <w:rPr>
          <w:rFonts w:cs="Arial"/>
          <w:lang w:val="en"/>
        </w:rPr>
      </w:pPr>
      <w:r w:rsidRPr="00072354">
        <w:rPr>
          <w:rFonts w:cs="Arial"/>
          <w:b/>
        </w:rPr>
        <w:t xml:space="preserve">The Care Act 2014 </w:t>
      </w:r>
      <w:r w:rsidRPr="00072354">
        <w:rPr>
          <w:rFonts w:cs="Arial"/>
        </w:rPr>
        <w:t xml:space="preserve">imposes a duty on Local Authorities to assess adults who appear to have needs for care and support, either in their own right or because they are caring for another adult; it includes young people in transition from children’s services to Adult Care. The Care Act reinforces that a </w:t>
      </w:r>
      <w:r w:rsidR="00386017">
        <w:rPr>
          <w:rFonts w:cs="Arial"/>
        </w:rPr>
        <w:t>l</w:t>
      </w:r>
      <w:r w:rsidRPr="00072354">
        <w:rPr>
          <w:rFonts w:cs="Arial"/>
        </w:rPr>
        <w:t xml:space="preserve">ocal </w:t>
      </w:r>
      <w:r w:rsidR="00386017">
        <w:rPr>
          <w:rFonts w:cs="Arial"/>
        </w:rPr>
        <w:t>a</w:t>
      </w:r>
      <w:r w:rsidRPr="00072354">
        <w:rPr>
          <w:rFonts w:cs="Arial"/>
        </w:rPr>
        <w:t xml:space="preserve">uthority must </w:t>
      </w:r>
      <w:r w:rsidRPr="00072354">
        <w:rPr>
          <w:rStyle w:val="legds2"/>
          <w:rFonts w:cs="Arial"/>
          <w:lang w:val="en"/>
          <w:specVanish w:val="0"/>
        </w:rPr>
        <w:t xml:space="preserve">contribute towards preventing or delaying the need for care and support services; occupational therapy has a significant role to play in this. </w:t>
      </w:r>
    </w:p>
    <w:p w14:paraId="1BFBE6F5" w14:textId="77777777" w:rsidR="005E27AA" w:rsidRPr="00072354" w:rsidRDefault="005E27AA" w:rsidP="00E80633">
      <w:pPr>
        <w:rPr>
          <w:rFonts w:cs="Arial"/>
        </w:rPr>
      </w:pPr>
      <w:r w:rsidRPr="00072354">
        <w:rPr>
          <w:rFonts w:eastAsia="Calibri" w:cs="Arial"/>
        </w:rPr>
        <w:lastRenderedPageBreak/>
        <w:t xml:space="preserve"> </w:t>
      </w:r>
    </w:p>
    <w:p w14:paraId="29D807FE" w14:textId="77777777" w:rsidR="005E27AA" w:rsidRPr="00072354" w:rsidRDefault="005E27AA" w:rsidP="00E80633">
      <w:pPr>
        <w:ind w:right="-50" w:hanging="10"/>
        <w:rPr>
          <w:rFonts w:cs="Arial"/>
        </w:rPr>
      </w:pPr>
      <w:r w:rsidRPr="00072354">
        <w:rPr>
          <w:rFonts w:cs="Arial"/>
        </w:rPr>
        <w:t xml:space="preserve">The Care Act </w:t>
      </w:r>
      <w:r w:rsidRPr="00072354">
        <w:rPr>
          <w:rFonts w:cs="Arial"/>
          <w:b/>
        </w:rPr>
        <w:t xml:space="preserve">national eligibility framework </w:t>
      </w:r>
      <w:r w:rsidRPr="00072354">
        <w:rPr>
          <w:rFonts w:cs="Arial"/>
        </w:rPr>
        <w:t>relates to the allocation of social care support, including provision of equipment and minor adaptations. The Care Act statutory guidance (2014), paragraph 8:11 clearly states that people should not be charged for community equipment and minor adaptations (under £1000) regardless of whether they are provided to meet eligible need or to prevent or delay needs (Gov.uk; 2016).</w:t>
      </w:r>
    </w:p>
    <w:p w14:paraId="5FB75D95" w14:textId="77777777" w:rsidR="005E27AA" w:rsidRPr="00072354" w:rsidRDefault="005E27AA" w:rsidP="00E80633">
      <w:pPr>
        <w:ind w:left="216" w:right="324" w:hanging="10"/>
        <w:rPr>
          <w:rFonts w:cs="Arial"/>
        </w:rPr>
      </w:pPr>
    </w:p>
    <w:p w14:paraId="188E13D1" w14:textId="77777777" w:rsidR="005E27AA" w:rsidRPr="00072354" w:rsidRDefault="005E27AA" w:rsidP="00E80633">
      <w:r w:rsidRPr="00072354">
        <w:t xml:space="preserve">The County Council has established an Integrated Community Equipment Loan Service (ICELS) with Nottingham City Council and the local health commissioners for the provision of equipment and minor adaptations; this is overseen by a senior leader’s team comprised from health and social care, referred to as The Partnership Board. </w:t>
      </w:r>
      <w:hyperlink r:id="rId24" w:history="1">
        <w:r w:rsidRPr="00072354">
          <w:rPr>
            <w:rStyle w:val="Hyperlink"/>
            <w:rFonts w:cs="Arial"/>
          </w:rPr>
          <w:t>Occupational Therapy Loan of Equipment and Provision of Minor Adaptations guidance</w:t>
        </w:r>
      </w:hyperlink>
    </w:p>
    <w:p w14:paraId="1D9B07FA" w14:textId="77777777" w:rsidR="005E27AA" w:rsidRPr="00072354" w:rsidRDefault="005E27AA" w:rsidP="00E80633">
      <w:pPr>
        <w:rPr>
          <w:rFonts w:cs="Arial"/>
        </w:rPr>
      </w:pPr>
    </w:p>
    <w:p w14:paraId="5F8DCD7F" w14:textId="77777777" w:rsidR="005E27AA" w:rsidRPr="00072354" w:rsidRDefault="005E27AA" w:rsidP="00E80633">
      <w:pPr>
        <w:rPr>
          <w:rFonts w:cs="Arial"/>
        </w:rPr>
      </w:pPr>
      <w:r w:rsidRPr="00072354">
        <w:rPr>
          <w:rFonts w:cs="Arial"/>
          <w:b/>
        </w:rPr>
        <w:t xml:space="preserve">The Housing Grants, Construction and Regeneration Act 1996 </w:t>
      </w:r>
      <w:r w:rsidRPr="00072354">
        <w:rPr>
          <w:rFonts w:cs="Arial"/>
        </w:rPr>
        <w:t xml:space="preserve">provides the current legislative framework for Disabled Facilities Grants (DFGs). Since 1990, District Councils have been under a statutory duty to provide grant aid to disabled people for a range of adaptations to their homes. The maximum amount of grant available for a mandatory DFG is currently £30,000. This act does not sit within the Care Act legislative framework, meaning that a person can be eligible for major adaptation funding and yet not be eligible for funded social care. This recognises that major adaptations can increase independence and can prevent dependency on statutory services. The </w:t>
      </w:r>
      <w:hyperlink r:id="rId25" w:history="1">
        <w:r w:rsidRPr="00072354">
          <w:rPr>
            <w:rStyle w:val="Hyperlink"/>
            <w:rFonts w:cs="Arial"/>
          </w:rPr>
          <w:t>Housing Act 1996</w:t>
        </w:r>
      </w:hyperlink>
      <w:r w:rsidRPr="00072354">
        <w:rPr>
          <w:rFonts w:cs="Arial"/>
        </w:rPr>
        <w:t xml:space="preserve"> provides definitions of who may qualify for a DFG, irrespective of the type of tenure. It also sets out the purposes for which mandatory DFGs may be given. </w:t>
      </w:r>
    </w:p>
    <w:p w14:paraId="5E116C82" w14:textId="77777777" w:rsidR="005E27AA" w:rsidRPr="00072354" w:rsidRDefault="005E27AA" w:rsidP="00E80633">
      <w:pPr>
        <w:rPr>
          <w:rFonts w:cs="Arial"/>
        </w:rPr>
      </w:pPr>
      <w:r w:rsidRPr="00072354">
        <w:rPr>
          <w:rFonts w:eastAsia="Calibri" w:cs="Arial"/>
        </w:rPr>
        <w:t xml:space="preserve"> </w:t>
      </w:r>
    </w:p>
    <w:p w14:paraId="5D7C9C3A" w14:textId="305D264C" w:rsidR="005E27AA" w:rsidRPr="00072354" w:rsidRDefault="005E27AA" w:rsidP="00E80633">
      <w:pPr>
        <w:rPr>
          <w:rFonts w:cs="Arial"/>
        </w:rPr>
      </w:pPr>
      <w:r w:rsidRPr="00072354">
        <w:rPr>
          <w:rFonts w:cs="Arial"/>
        </w:rPr>
        <w:t xml:space="preserve">A financial test of resources is applied to the disabled occupant, their spouse or partner and may lead to a deduction from the amount of grant payable. A </w:t>
      </w:r>
      <w:r w:rsidR="00644C32">
        <w:rPr>
          <w:rFonts w:cs="Arial"/>
        </w:rPr>
        <w:t>d</w:t>
      </w:r>
      <w:r w:rsidRPr="00072354">
        <w:rPr>
          <w:rFonts w:cs="Arial"/>
        </w:rPr>
        <w:t xml:space="preserve">istrict </w:t>
      </w:r>
      <w:r w:rsidR="00644C32">
        <w:rPr>
          <w:rFonts w:cs="Arial"/>
        </w:rPr>
        <w:t>c</w:t>
      </w:r>
      <w:r w:rsidRPr="00072354">
        <w:rPr>
          <w:rFonts w:cs="Arial"/>
        </w:rPr>
        <w:t xml:space="preserve">ouncil does not have a duty to assist applicants with their assessed share of the costs. However, they may refer cases of hardship to the social services authority or consider using their discretionary powers of assistance. </w:t>
      </w:r>
    </w:p>
    <w:p w14:paraId="10825795" w14:textId="77777777" w:rsidR="005E27AA" w:rsidRPr="00072354" w:rsidRDefault="005E27AA" w:rsidP="00E80633">
      <w:pPr>
        <w:rPr>
          <w:rFonts w:cs="Arial"/>
        </w:rPr>
      </w:pPr>
      <w:r w:rsidRPr="00072354">
        <w:rPr>
          <w:rFonts w:eastAsia="Calibri" w:cs="Arial"/>
        </w:rPr>
        <w:t xml:space="preserve"> </w:t>
      </w:r>
    </w:p>
    <w:p w14:paraId="7366A1ED" w14:textId="5FEC86E4" w:rsidR="005E27AA" w:rsidRPr="00072354" w:rsidRDefault="005E27AA" w:rsidP="00E80633">
      <w:pPr>
        <w:ind w:right="225" w:hanging="10"/>
        <w:rPr>
          <w:rFonts w:cs="Arial"/>
        </w:rPr>
      </w:pPr>
      <w:hyperlink r:id="rId26" w:history="1">
        <w:r w:rsidRPr="008C2A8C">
          <w:rPr>
            <w:rStyle w:val="Hyperlink"/>
            <w:rFonts w:cs="Arial"/>
          </w:rPr>
          <w:t>Section 24</w:t>
        </w:r>
      </w:hyperlink>
      <w:r w:rsidRPr="008C2A8C">
        <w:rPr>
          <w:rFonts w:cs="Arial"/>
        </w:rPr>
        <w:t xml:space="preserve"> </w:t>
      </w:r>
      <w:r w:rsidRPr="00072354">
        <w:rPr>
          <w:rFonts w:cs="Arial"/>
        </w:rPr>
        <w:t xml:space="preserve">of the Housing Act 1996 places a duty on </w:t>
      </w:r>
      <w:r w:rsidR="00B32C6B">
        <w:rPr>
          <w:rFonts w:cs="Arial"/>
        </w:rPr>
        <w:t>d</w:t>
      </w:r>
      <w:r w:rsidRPr="00072354">
        <w:rPr>
          <w:rFonts w:cs="Arial"/>
        </w:rPr>
        <w:t xml:space="preserve">istrict </w:t>
      </w:r>
      <w:r w:rsidR="00B32C6B">
        <w:rPr>
          <w:rFonts w:cs="Arial"/>
        </w:rPr>
        <w:t>c</w:t>
      </w:r>
      <w:r w:rsidRPr="00072354">
        <w:rPr>
          <w:rFonts w:cs="Arial"/>
        </w:rPr>
        <w:t xml:space="preserve">ouncils to consult the Social Services authority on the adaptation needs of disabled people, i.e. whether works are necessary and appropriate. The </w:t>
      </w:r>
      <w:r w:rsidR="00B32C6B">
        <w:rPr>
          <w:rFonts w:cs="Arial"/>
        </w:rPr>
        <w:t>d</w:t>
      </w:r>
      <w:r w:rsidRPr="00072354">
        <w:rPr>
          <w:rFonts w:cs="Arial"/>
        </w:rPr>
        <w:t xml:space="preserve">istrict </w:t>
      </w:r>
      <w:r w:rsidR="00B32C6B">
        <w:rPr>
          <w:rFonts w:cs="Arial"/>
        </w:rPr>
        <w:t>c</w:t>
      </w:r>
      <w:r w:rsidRPr="00072354">
        <w:rPr>
          <w:rFonts w:cs="Arial"/>
        </w:rPr>
        <w:t xml:space="preserve">ouncil must decide what action to take on the basis of the advice given by the </w:t>
      </w:r>
      <w:r w:rsidR="00B32C6B">
        <w:rPr>
          <w:rFonts w:cs="Arial"/>
        </w:rPr>
        <w:t>l</w:t>
      </w:r>
      <w:r w:rsidRPr="00072354">
        <w:rPr>
          <w:rFonts w:cs="Arial"/>
        </w:rPr>
        <w:t xml:space="preserve">ocal </w:t>
      </w:r>
      <w:r w:rsidR="00B32C6B">
        <w:rPr>
          <w:rFonts w:cs="Arial"/>
        </w:rPr>
        <w:t>a</w:t>
      </w:r>
      <w:r w:rsidRPr="00072354">
        <w:rPr>
          <w:rFonts w:cs="Arial"/>
        </w:rPr>
        <w:t xml:space="preserve">uthority and judge whether it is reasonable, practicable and cost effective to carry out the works. Often </w:t>
      </w:r>
      <w:r w:rsidR="00B32C6B">
        <w:rPr>
          <w:rFonts w:cs="Arial"/>
        </w:rPr>
        <w:t>d</w:t>
      </w:r>
      <w:r w:rsidRPr="00072354">
        <w:rPr>
          <w:rFonts w:cs="Arial"/>
        </w:rPr>
        <w:t xml:space="preserve">istrict </w:t>
      </w:r>
      <w:r w:rsidR="00B32C6B">
        <w:rPr>
          <w:rFonts w:cs="Arial"/>
        </w:rPr>
        <w:t>c</w:t>
      </w:r>
      <w:r w:rsidRPr="00072354">
        <w:rPr>
          <w:rFonts w:cs="Arial"/>
        </w:rPr>
        <w:t>ouncils will wish a person to consider rehousing to a more appropriate accommodation; one that is adapted already or more suitable for adaptations. OT and CCO should advise this on their assessments or when giving initial information and advice, they may also need to signpost to other housing options.</w:t>
      </w:r>
    </w:p>
    <w:p w14:paraId="435F0725" w14:textId="77777777" w:rsidR="005E27AA" w:rsidRPr="00072354" w:rsidRDefault="005E27AA" w:rsidP="00E80633">
      <w:pPr>
        <w:ind w:left="216" w:right="225" w:hanging="10"/>
        <w:rPr>
          <w:rFonts w:cs="Arial"/>
        </w:rPr>
      </w:pPr>
      <w:r w:rsidRPr="00072354">
        <w:rPr>
          <w:rFonts w:cs="Arial"/>
        </w:rPr>
        <w:t xml:space="preserve"> </w:t>
      </w:r>
    </w:p>
    <w:p w14:paraId="2FA1EEA2" w14:textId="61327589" w:rsidR="005E27AA" w:rsidRDefault="005E27AA" w:rsidP="00E80633">
      <w:pPr>
        <w:pStyle w:val="Heading1"/>
        <w:spacing w:before="0"/>
        <w:rPr>
          <w:rStyle w:val="Hyperlink"/>
          <w:rFonts w:ascii="Arial" w:hAnsi="Arial" w:cs="Arial"/>
          <w:b/>
          <w:bCs/>
          <w:color w:val="2E74B5" w:themeColor="accent1" w:themeShade="BF"/>
          <w:sz w:val="24"/>
          <w:szCs w:val="24"/>
          <w:u w:val="none"/>
        </w:rPr>
      </w:pPr>
      <w:hyperlink r:id="rId27" w:history="1">
        <w:bookmarkStart w:id="1" w:name="_Toc142483243"/>
        <w:r w:rsidRPr="00945646">
          <w:rPr>
            <w:rStyle w:val="Hyperlink"/>
            <w:rFonts w:ascii="Arial" w:hAnsi="Arial" w:cs="Arial"/>
            <w:b/>
            <w:bCs/>
            <w:color w:val="auto"/>
            <w:sz w:val="24"/>
            <w:szCs w:val="24"/>
            <w:u w:val="none"/>
          </w:rPr>
          <w:t xml:space="preserve">Occupational Therapy - Recommending Major Adaptations </w:t>
        </w:r>
        <w:r w:rsidR="004621DA">
          <w:rPr>
            <w:rStyle w:val="Hyperlink"/>
            <w:rFonts w:ascii="Arial" w:hAnsi="Arial" w:cs="Arial"/>
            <w:b/>
            <w:bCs/>
            <w:color w:val="auto"/>
            <w:sz w:val="24"/>
            <w:szCs w:val="24"/>
            <w:u w:val="none"/>
          </w:rPr>
          <w:t>G</w:t>
        </w:r>
        <w:r w:rsidRPr="00945646">
          <w:rPr>
            <w:rStyle w:val="Hyperlink"/>
            <w:rFonts w:ascii="Arial" w:hAnsi="Arial" w:cs="Arial"/>
            <w:b/>
            <w:bCs/>
            <w:color w:val="auto"/>
            <w:sz w:val="24"/>
            <w:szCs w:val="24"/>
            <w:u w:val="none"/>
          </w:rPr>
          <w:t>uidance</w:t>
        </w:r>
        <w:bookmarkEnd w:id="1"/>
        <w:r w:rsidRPr="00945646">
          <w:rPr>
            <w:rStyle w:val="Hyperlink"/>
            <w:rFonts w:ascii="Arial" w:hAnsi="Arial" w:cs="Arial"/>
            <w:b/>
            <w:bCs/>
            <w:color w:val="2E74B5" w:themeColor="accent1" w:themeShade="BF"/>
            <w:sz w:val="24"/>
            <w:szCs w:val="24"/>
            <w:u w:val="none"/>
          </w:rPr>
          <w:t xml:space="preserve"> </w:t>
        </w:r>
      </w:hyperlink>
    </w:p>
    <w:p w14:paraId="081C91C0" w14:textId="77777777" w:rsidR="004621DA" w:rsidRPr="004621DA" w:rsidRDefault="004621DA" w:rsidP="00E80633"/>
    <w:p w14:paraId="7E0A43CF" w14:textId="1518850E" w:rsidR="005E27AA" w:rsidRPr="00072354" w:rsidRDefault="005E27AA" w:rsidP="00E80633">
      <w:r w:rsidRPr="00072354">
        <w:t xml:space="preserve">Under the </w:t>
      </w:r>
      <w:hyperlink r:id="rId28" w:history="1">
        <w:r w:rsidRPr="00A45CF4">
          <w:rPr>
            <w:rStyle w:val="Hyperlink"/>
            <w:rFonts w:cs="Arial"/>
          </w:rPr>
          <w:t>Care Standards Act 2000</w:t>
        </w:r>
      </w:hyperlink>
      <w:r w:rsidRPr="00072354">
        <w:t>, the County Council expects the registered manager in a care home to undertake an assessment of the person prior to offering a placement, which includes the need for standard equipment to meet their needs.</w:t>
      </w:r>
    </w:p>
    <w:p w14:paraId="6AD8489E" w14:textId="77777777" w:rsidR="005E27AA" w:rsidRPr="00072354" w:rsidRDefault="005E27AA" w:rsidP="00E80633">
      <w:pPr>
        <w:rPr>
          <w:rFonts w:cs="Arial"/>
        </w:rPr>
      </w:pPr>
      <w:r w:rsidRPr="00072354">
        <w:rPr>
          <w:rFonts w:cs="Arial"/>
        </w:rPr>
        <w:t xml:space="preserve"> </w:t>
      </w:r>
    </w:p>
    <w:p w14:paraId="0666CF50" w14:textId="67D3E8C0" w:rsidR="005E27AA" w:rsidRPr="00072354" w:rsidRDefault="005E27AA" w:rsidP="00E80633">
      <w:pPr>
        <w:rPr>
          <w:rFonts w:cs="Arial"/>
          <w:color w:val="0070C0"/>
        </w:rPr>
      </w:pPr>
      <w:hyperlink r:id="rId29" w:history="1">
        <w:r w:rsidRPr="00072354">
          <w:rPr>
            <w:rStyle w:val="Hyperlink"/>
            <w:rFonts w:cs="Arial"/>
          </w:rPr>
          <w:t>ICELS s provision of equipment to care homes policy document</w:t>
        </w:r>
      </w:hyperlink>
      <w:r w:rsidR="004621DA">
        <w:rPr>
          <w:rStyle w:val="Hyperlink"/>
          <w:rFonts w:cs="Arial"/>
        </w:rPr>
        <w:t>.</w:t>
      </w:r>
    </w:p>
    <w:p w14:paraId="312BD18F" w14:textId="77777777" w:rsidR="005E27AA" w:rsidRPr="00072354" w:rsidRDefault="005E27AA" w:rsidP="00E80633">
      <w:pPr>
        <w:rPr>
          <w:rFonts w:cs="Arial"/>
        </w:rPr>
      </w:pPr>
      <w:r w:rsidRPr="00072354">
        <w:rPr>
          <w:rFonts w:eastAsia="Calibri" w:cs="Arial"/>
        </w:rPr>
        <w:t xml:space="preserve"> </w:t>
      </w:r>
    </w:p>
    <w:p w14:paraId="791315D7" w14:textId="77383514" w:rsidR="005E27AA" w:rsidRPr="00072354" w:rsidRDefault="005E27AA" w:rsidP="00E80633">
      <w:pPr>
        <w:pStyle w:val="utilclearfloats"/>
        <w:rPr>
          <w:rFonts w:ascii="Arial" w:hAnsi="Arial" w:cs="Arial"/>
          <w:highlight w:val="yellow"/>
        </w:rPr>
      </w:pPr>
      <w:hyperlink r:id="rId30" w:history="1">
        <w:r w:rsidRPr="00A45CF4">
          <w:rPr>
            <w:rStyle w:val="Hyperlink"/>
            <w:rFonts w:ascii="Arial" w:hAnsi="Arial" w:cs="Arial"/>
          </w:rPr>
          <w:t>The Health and safety at work act 1974 (Manual Handling Operations Regulations 1992) Regulation 4(1)</w:t>
        </w:r>
      </w:hyperlink>
      <w:r w:rsidRPr="00072354">
        <w:rPr>
          <w:rFonts w:ascii="Arial" w:hAnsi="Arial" w:cs="Arial"/>
        </w:rPr>
        <w:t xml:space="preserve"> sets out a hierarchy of measures for employers that are designed to reduce the risks of manual handling. The County Council employs </w:t>
      </w:r>
      <w:r w:rsidR="006A55D1">
        <w:rPr>
          <w:rFonts w:ascii="Arial" w:hAnsi="Arial" w:cs="Arial"/>
        </w:rPr>
        <w:t>OTs</w:t>
      </w:r>
      <w:r w:rsidRPr="00072354">
        <w:rPr>
          <w:rFonts w:ascii="Arial" w:hAnsi="Arial" w:cs="Arial"/>
        </w:rPr>
        <w:t xml:space="preserve"> and CCO to undertake these risk assessments. They should apply the 3 principles outlined in the </w:t>
      </w:r>
      <w:r w:rsidR="00847EFF">
        <w:rPr>
          <w:rFonts w:ascii="Arial" w:hAnsi="Arial" w:cs="Arial"/>
        </w:rPr>
        <w:t>Manual Handling Operations Regulations (</w:t>
      </w:r>
      <w:r w:rsidRPr="00072354">
        <w:rPr>
          <w:rFonts w:ascii="Arial" w:hAnsi="Arial" w:cs="Arial"/>
        </w:rPr>
        <w:t>MHOR</w:t>
      </w:r>
      <w:r w:rsidR="00847EFF">
        <w:rPr>
          <w:rFonts w:ascii="Arial" w:hAnsi="Arial" w:cs="Arial"/>
        </w:rPr>
        <w:t xml:space="preserve">) </w:t>
      </w:r>
      <w:r w:rsidRPr="00072354">
        <w:rPr>
          <w:rFonts w:ascii="Arial" w:hAnsi="Arial" w:cs="Arial"/>
        </w:rPr>
        <w:t xml:space="preserve">(1992) to their assessments: avoid hazardous manual handling operations so far as is reasonably practicable; risk assess any hazardous manual handling operations that cannot be avoided and reduce the risk of injury so far as is reasonably practicable. </w:t>
      </w:r>
    </w:p>
    <w:p w14:paraId="6C39D077" w14:textId="760DA917" w:rsidR="005E27AA" w:rsidRPr="00072354" w:rsidRDefault="005E27AA" w:rsidP="00E80633">
      <w:pPr>
        <w:pStyle w:val="utilclearfloats"/>
        <w:spacing w:after="0"/>
        <w:rPr>
          <w:rFonts w:ascii="Arial" w:hAnsi="Arial" w:cs="Arial"/>
        </w:rPr>
      </w:pPr>
      <w:r w:rsidRPr="00072354">
        <w:rPr>
          <w:rFonts w:ascii="Arial" w:hAnsi="Arial" w:cs="Arial"/>
        </w:rPr>
        <w:t xml:space="preserve">The County Council supports the single handling care approach and will only fund personal budgets based on assessed moving and handling needs. OTs and CCO should engage in a positive risk management approach and any risk assessments moving and handling plans, or risk management documents should be reviewed to reflect a person’s changing needs. </w:t>
      </w:r>
      <w:hyperlink r:id="rId31" w:history="1">
        <w:r w:rsidRPr="00072354">
          <w:rPr>
            <w:rStyle w:val="Hyperlink"/>
            <w:rFonts w:ascii="Arial" w:hAnsi="Arial" w:cs="Arial"/>
          </w:rPr>
          <w:t>Double to Single Handed Care Guidance</w:t>
        </w:r>
      </w:hyperlink>
      <w:r w:rsidR="00D559A7">
        <w:rPr>
          <w:rStyle w:val="Hyperlink"/>
          <w:rFonts w:ascii="Arial" w:hAnsi="Arial" w:cs="Arial"/>
        </w:rPr>
        <w:t>.</w:t>
      </w:r>
    </w:p>
    <w:p w14:paraId="00FF4CB6" w14:textId="77777777" w:rsidR="005E27AA" w:rsidRPr="00072354" w:rsidRDefault="005E27AA" w:rsidP="00E80633">
      <w:pPr>
        <w:ind w:left="120"/>
        <w:rPr>
          <w:rFonts w:cs="Arial"/>
        </w:rPr>
      </w:pPr>
    </w:p>
    <w:p w14:paraId="5D2E8FBF" w14:textId="6C465746" w:rsidR="005E27AA" w:rsidRPr="00945646" w:rsidRDefault="005E27AA" w:rsidP="00E80633">
      <w:pPr>
        <w:pStyle w:val="Heading1"/>
        <w:spacing w:before="0"/>
        <w:rPr>
          <w:rFonts w:ascii="Arial" w:hAnsi="Arial" w:cs="Arial"/>
          <w:b/>
          <w:bCs/>
          <w:color w:val="auto"/>
          <w:sz w:val="24"/>
          <w:szCs w:val="24"/>
        </w:rPr>
      </w:pPr>
      <w:bookmarkStart w:id="2" w:name="_Toc142483244"/>
      <w:r w:rsidRPr="00945646">
        <w:rPr>
          <w:rFonts w:ascii="Arial" w:hAnsi="Arial" w:cs="Arial"/>
          <w:b/>
          <w:bCs/>
          <w:color w:val="auto"/>
          <w:sz w:val="24"/>
          <w:szCs w:val="24"/>
        </w:rPr>
        <w:t xml:space="preserve">Scope of this </w:t>
      </w:r>
      <w:r w:rsidR="00945646">
        <w:rPr>
          <w:rFonts w:ascii="Arial" w:hAnsi="Arial" w:cs="Arial"/>
          <w:b/>
          <w:bCs/>
          <w:color w:val="auto"/>
          <w:sz w:val="24"/>
          <w:szCs w:val="24"/>
        </w:rPr>
        <w:t>O</w:t>
      </w:r>
      <w:r w:rsidRPr="00945646">
        <w:rPr>
          <w:rFonts w:ascii="Arial" w:hAnsi="Arial" w:cs="Arial"/>
          <w:b/>
          <w:bCs/>
          <w:color w:val="auto"/>
          <w:sz w:val="24"/>
          <w:szCs w:val="24"/>
        </w:rPr>
        <w:t xml:space="preserve">ccupational </w:t>
      </w:r>
      <w:r w:rsidR="00945646">
        <w:rPr>
          <w:rFonts w:ascii="Arial" w:hAnsi="Arial" w:cs="Arial"/>
          <w:b/>
          <w:bCs/>
          <w:color w:val="auto"/>
          <w:sz w:val="24"/>
          <w:szCs w:val="24"/>
        </w:rPr>
        <w:t>T</w:t>
      </w:r>
      <w:r w:rsidRPr="00945646">
        <w:rPr>
          <w:rFonts w:ascii="Arial" w:hAnsi="Arial" w:cs="Arial"/>
          <w:b/>
          <w:bCs/>
          <w:color w:val="auto"/>
          <w:sz w:val="24"/>
          <w:szCs w:val="24"/>
        </w:rPr>
        <w:t xml:space="preserve">herapy </w:t>
      </w:r>
      <w:r w:rsidR="00945646">
        <w:rPr>
          <w:rFonts w:ascii="Arial" w:hAnsi="Arial" w:cs="Arial"/>
          <w:b/>
          <w:bCs/>
          <w:color w:val="auto"/>
          <w:sz w:val="24"/>
          <w:szCs w:val="24"/>
        </w:rPr>
        <w:t>P</w:t>
      </w:r>
      <w:r w:rsidRPr="00945646">
        <w:rPr>
          <w:rFonts w:ascii="Arial" w:hAnsi="Arial" w:cs="Arial"/>
          <w:b/>
          <w:bCs/>
          <w:color w:val="auto"/>
          <w:sz w:val="24"/>
          <w:szCs w:val="24"/>
        </w:rPr>
        <w:t>olicy</w:t>
      </w:r>
      <w:bookmarkEnd w:id="2"/>
      <w:r w:rsidRPr="00945646">
        <w:rPr>
          <w:rFonts w:ascii="Arial" w:hAnsi="Arial" w:cs="Arial"/>
          <w:b/>
          <w:bCs/>
          <w:color w:val="auto"/>
          <w:sz w:val="24"/>
          <w:szCs w:val="24"/>
        </w:rPr>
        <w:t xml:space="preserve"> </w:t>
      </w:r>
    </w:p>
    <w:p w14:paraId="5E4D83FA" w14:textId="77777777" w:rsidR="005E27AA" w:rsidRPr="00072354" w:rsidRDefault="005E27AA" w:rsidP="00E80633">
      <w:pPr>
        <w:ind w:left="120"/>
        <w:rPr>
          <w:rFonts w:cs="Arial"/>
        </w:rPr>
      </w:pPr>
      <w:r w:rsidRPr="00072354">
        <w:rPr>
          <w:rFonts w:eastAsia="Calibri" w:cs="Arial"/>
        </w:rPr>
        <w:t xml:space="preserve"> </w:t>
      </w:r>
    </w:p>
    <w:p w14:paraId="5ECD0135" w14:textId="77777777" w:rsidR="005E27AA" w:rsidRPr="00072354" w:rsidRDefault="005E27AA" w:rsidP="00E80633">
      <w:pPr>
        <w:rPr>
          <w:rFonts w:cs="Arial"/>
        </w:rPr>
      </w:pPr>
      <w:r w:rsidRPr="00072354">
        <w:rPr>
          <w:rFonts w:cs="Arial"/>
        </w:rPr>
        <w:t xml:space="preserve">This policy applies to: </w:t>
      </w:r>
    </w:p>
    <w:p w14:paraId="79B443F7" w14:textId="77777777" w:rsidR="005E27AA" w:rsidRPr="00072354" w:rsidRDefault="005E27AA" w:rsidP="00E80633">
      <w:pPr>
        <w:rPr>
          <w:rFonts w:cs="Arial"/>
        </w:rPr>
      </w:pPr>
    </w:p>
    <w:p w14:paraId="13A04249" w14:textId="6D5AB010" w:rsidR="005E27AA" w:rsidRPr="00072354" w:rsidRDefault="00712DFE" w:rsidP="00E80633">
      <w:pPr>
        <w:pStyle w:val="ListParagraph"/>
        <w:numPr>
          <w:ilvl w:val="0"/>
          <w:numId w:val="4"/>
        </w:numPr>
        <w:spacing w:after="4" w:line="240" w:lineRule="auto"/>
        <w:ind w:left="709"/>
        <w:rPr>
          <w:rFonts w:ascii="Arial" w:hAnsi="Arial" w:cs="Arial"/>
          <w:sz w:val="24"/>
          <w:szCs w:val="24"/>
        </w:rPr>
      </w:pPr>
      <w:r>
        <w:rPr>
          <w:rFonts w:ascii="Arial" w:hAnsi="Arial" w:cs="Arial"/>
          <w:sz w:val="24"/>
          <w:szCs w:val="24"/>
        </w:rPr>
        <w:t>p</w:t>
      </w:r>
      <w:r w:rsidR="005E27AA" w:rsidRPr="00072354">
        <w:rPr>
          <w:rFonts w:ascii="Arial" w:hAnsi="Arial" w:cs="Arial"/>
          <w:sz w:val="24"/>
          <w:szCs w:val="24"/>
        </w:rPr>
        <w:t>eople who are assessed by the Maximising Independence Team</w:t>
      </w:r>
    </w:p>
    <w:p w14:paraId="061B9F33" w14:textId="4A46C387" w:rsidR="005E27AA" w:rsidRPr="00072354" w:rsidRDefault="00712DFE" w:rsidP="00E80633">
      <w:pPr>
        <w:pStyle w:val="ListParagraph"/>
        <w:numPr>
          <w:ilvl w:val="0"/>
          <w:numId w:val="4"/>
        </w:numPr>
        <w:spacing w:after="33" w:line="240" w:lineRule="auto"/>
        <w:ind w:left="709"/>
        <w:rPr>
          <w:rFonts w:ascii="Arial" w:hAnsi="Arial" w:cs="Arial"/>
          <w:sz w:val="24"/>
          <w:szCs w:val="24"/>
        </w:rPr>
      </w:pPr>
      <w:r>
        <w:rPr>
          <w:rFonts w:ascii="Arial" w:hAnsi="Arial" w:cs="Arial"/>
          <w:sz w:val="24"/>
          <w:szCs w:val="24"/>
        </w:rPr>
        <w:t>p</w:t>
      </w:r>
      <w:r w:rsidR="005E27AA" w:rsidRPr="00072354">
        <w:rPr>
          <w:rFonts w:ascii="Arial" w:hAnsi="Arial" w:cs="Arial"/>
          <w:sz w:val="24"/>
          <w:szCs w:val="24"/>
        </w:rPr>
        <w:t xml:space="preserve">eople who are referred for </w:t>
      </w:r>
      <w:r w:rsidR="00F961BF">
        <w:rPr>
          <w:rFonts w:ascii="Arial" w:hAnsi="Arial" w:cs="Arial"/>
          <w:sz w:val="24"/>
          <w:szCs w:val="24"/>
        </w:rPr>
        <w:t>r</w:t>
      </w:r>
      <w:r w:rsidR="005E27AA" w:rsidRPr="00072354">
        <w:rPr>
          <w:rFonts w:ascii="Arial" w:hAnsi="Arial" w:cs="Arial"/>
          <w:sz w:val="24"/>
          <w:szCs w:val="24"/>
        </w:rPr>
        <w:t xml:space="preserve">eablement or </w:t>
      </w:r>
      <w:r w:rsidR="00F961BF">
        <w:rPr>
          <w:rFonts w:ascii="Arial" w:hAnsi="Arial" w:cs="Arial"/>
          <w:sz w:val="24"/>
          <w:szCs w:val="24"/>
        </w:rPr>
        <w:t>e</w:t>
      </w:r>
      <w:r w:rsidR="005E27AA" w:rsidRPr="00072354">
        <w:rPr>
          <w:rFonts w:ascii="Arial" w:hAnsi="Arial" w:cs="Arial"/>
          <w:sz w:val="24"/>
          <w:szCs w:val="24"/>
        </w:rPr>
        <w:t>nablement and need equipment or minor adaptations to remain in their own homes safely</w:t>
      </w:r>
    </w:p>
    <w:p w14:paraId="6CB70F3D" w14:textId="698087FD" w:rsidR="005E27AA" w:rsidRPr="00072354" w:rsidRDefault="00712DFE" w:rsidP="00E80633">
      <w:pPr>
        <w:pStyle w:val="ListParagraph"/>
        <w:numPr>
          <w:ilvl w:val="0"/>
          <w:numId w:val="4"/>
        </w:numPr>
        <w:spacing w:after="35" w:line="240" w:lineRule="auto"/>
        <w:ind w:left="709"/>
        <w:rPr>
          <w:rFonts w:ascii="Arial" w:hAnsi="Arial" w:cs="Arial"/>
          <w:sz w:val="24"/>
          <w:szCs w:val="24"/>
        </w:rPr>
      </w:pPr>
      <w:r>
        <w:rPr>
          <w:rFonts w:ascii="Arial" w:hAnsi="Arial" w:cs="Arial"/>
          <w:sz w:val="24"/>
          <w:szCs w:val="24"/>
        </w:rPr>
        <w:t>p</w:t>
      </w:r>
      <w:r w:rsidR="005E27AA" w:rsidRPr="00072354">
        <w:rPr>
          <w:rFonts w:ascii="Arial" w:hAnsi="Arial" w:cs="Arial"/>
          <w:sz w:val="24"/>
          <w:szCs w:val="24"/>
        </w:rPr>
        <w:t>eople who are assessed as eligible for social care support. This will include those people whose situation presents a risk of deterioration or where problems are escalating, and where early intervention could prevent or delay the need for social care support</w:t>
      </w:r>
    </w:p>
    <w:p w14:paraId="45D07B57" w14:textId="7D824F79" w:rsidR="005E27AA" w:rsidRPr="00072354" w:rsidRDefault="00712DFE" w:rsidP="00E80633">
      <w:pPr>
        <w:pStyle w:val="ListParagraph"/>
        <w:numPr>
          <w:ilvl w:val="0"/>
          <w:numId w:val="4"/>
        </w:numPr>
        <w:spacing w:after="179" w:line="240" w:lineRule="auto"/>
        <w:ind w:left="709"/>
        <w:rPr>
          <w:rFonts w:ascii="Arial" w:hAnsi="Arial" w:cs="Arial"/>
          <w:sz w:val="24"/>
          <w:szCs w:val="24"/>
        </w:rPr>
      </w:pPr>
      <w:r>
        <w:rPr>
          <w:rFonts w:ascii="Arial" w:hAnsi="Arial" w:cs="Arial"/>
          <w:sz w:val="24"/>
          <w:szCs w:val="24"/>
        </w:rPr>
        <w:t>p</w:t>
      </w:r>
      <w:r w:rsidR="005E27AA" w:rsidRPr="00072354">
        <w:rPr>
          <w:rFonts w:ascii="Arial" w:hAnsi="Arial" w:cs="Arial"/>
          <w:sz w:val="24"/>
          <w:szCs w:val="24"/>
        </w:rPr>
        <w:t>eople who are caring for a disabled friend or relative and need assistance to meet the eligible needs of the person that they care for</w:t>
      </w:r>
    </w:p>
    <w:p w14:paraId="6A188CE6" w14:textId="7BE725CF" w:rsidR="005E27AA" w:rsidRPr="00072354" w:rsidRDefault="00B601FE" w:rsidP="00E80633">
      <w:pPr>
        <w:pStyle w:val="ListParagraph"/>
        <w:numPr>
          <w:ilvl w:val="0"/>
          <w:numId w:val="4"/>
        </w:numPr>
        <w:spacing w:after="179" w:line="240" w:lineRule="auto"/>
        <w:ind w:left="709"/>
        <w:rPr>
          <w:rFonts w:ascii="Arial" w:hAnsi="Arial" w:cs="Arial"/>
          <w:sz w:val="24"/>
          <w:szCs w:val="24"/>
        </w:rPr>
      </w:pPr>
      <w:r>
        <w:rPr>
          <w:rFonts w:ascii="Arial" w:hAnsi="Arial" w:cs="Arial"/>
          <w:sz w:val="24"/>
          <w:szCs w:val="24"/>
        </w:rPr>
        <w:t>y</w:t>
      </w:r>
      <w:r w:rsidR="005E27AA" w:rsidRPr="00072354">
        <w:rPr>
          <w:rFonts w:ascii="Arial" w:hAnsi="Arial" w:cs="Arial"/>
          <w:sz w:val="24"/>
          <w:szCs w:val="24"/>
        </w:rPr>
        <w:t>oung people who are in transition from Children Services to Adult Care</w:t>
      </w:r>
    </w:p>
    <w:p w14:paraId="4AE23AA8" w14:textId="09AB0581" w:rsidR="005E27AA" w:rsidRPr="00072354" w:rsidRDefault="00B601FE" w:rsidP="00E80633">
      <w:pPr>
        <w:pStyle w:val="ListParagraph"/>
        <w:numPr>
          <w:ilvl w:val="0"/>
          <w:numId w:val="4"/>
        </w:numPr>
        <w:spacing w:after="0" w:line="240" w:lineRule="auto"/>
        <w:ind w:left="709"/>
        <w:rPr>
          <w:rFonts w:ascii="Arial" w:hAnsi="Arial" w:cs="Arial"/>
          <w:sz w:val="24"/>
          <w:szCs w:val="24"/>
        </w:rPr>
      </w:pPr>
      <w:r>
        <w:rPr>
          <w:rFonts w:ascii="Arial" w:hAnsi="Arial" w:cs="Arial"/>
          <w:sz w:val="24"/>
          <w:szCs w:val="24"/>
        </w:rPr>
        <w:t>p</w:t>
      </w:r>
      <w:r w:rsidR="005E27AA" w:rsidRPr="00072354">
        <w:rPr>
          <w:rFonts w:ascii="Arial" w:hAnsi="Arial" w:cs="Arial"/>
          <w:sz w:val="24"/>
          <w:szCs w:val="24"/>
        </w:rPr>
        <w:t xml:space="preserve">eople who are in Nottinghamshire prisons or who are in approved secure premises, who are eligible for social care services. </w:t>
      </w:r>
    </w:p>
    <w:p w14:paraId="63F11678" w14:textId="77777777" w:rsidR="005E27AA" w:rsidRPr="00072354" w:rsidRDefault="005E27AA" w:rsidP="00E80633">
      <w:pPr>
        <w:ind w:left="709"/>
        <w:rPr>
          <w:rFonts w:cs="Arial"/>
        </w:rPr>
      </w:pPr>
    </w:p>
    <w:p w14:paraId="32F7F8D3" w14:textId="43C28731" w:rsidR="005E27AA" w:rsidRPr="00945646" w:rsidRDefault="005E27AA" w:rsidP="00E80633">
      <w:pPr>
        <w:pStyle w:val="Heading1"/>
        <w:spacing w:before="0"/>
        <w:rPr>
          <w:rFonts w:ascii="Arial" w:hAnsi="Arial" w:cs="Arial"/>
          <w:b/>
          <w:bCs/>
          <w:sz w:val="24"/>
          <w:szCs w:val="24"/>
        </w:rPr>
      </w:pPr>
      <w:bookmarkStart w:id="3" w:name="_Toc142483245"/>
      <w:r w:rsidRPr="00945646">
        <w:rPr>
          <w:rFonts w:ascii="Arial" w:hAnsi="Arial" w:cs="Arial"/>
          <w:b/>
          <w:bCs/>
          <w:color w:val="auto"/>
          <w:sz w:val="24"/>
          <w:szCs w:val="24"/>
        </w:rPr>
        <w:t xml:space="preserve">Principles and Commitments within this </w:t>
      </w:r>
      <w:r w:rsidR="00945646">
        <w:rPr>
          <w:rFonts w:ascii="Arial" w:hAnsi="Arial" w:cs="Arial"/>
          <w:b/>
          <w:bCs/>
          <w:color w:val="auto"/>
          <w:sz w:val="24"/>
          <w:szCs w:val="24"/>
        </w:rPr>
        <w:t>O</w:t>
      </w:r>
      <w:r w:rsidRPr="00945646">
        <w:rPr>
          <w:rFonts w:ascii="Arial" w:hAnsi="Arial" w:cs="Arial"/>
          <w:b/>
          <w:bCs/>
          <w:color w:val="auto"/>
          <w:sz w:val="24"/>
          <w:szCs w:val="24"/>
        </w:rPr>
        <w:t xml:space="preserve">ccupational </w:t>
      </w:r>
      <w:r w:rsidR="00945646">
        <w:rPr>
          <w:rFonts w:ascii="Arial" w:hAnsi="Arial" w:cs="Arial"/>
          <w:b/>
          <w:bCs/>
          <w:color w:val="auto"/>
          <w:sz w:val="24"/>
          <w:szCs w:val="24"/>
        </w:rPr>
        <w:t>T</w:t>
      </w:r>
      <w:r w:rsidRPr="00945646">
        <w:rPr>
          <w:rFonts w:ascii="Arial" w:hAnsi="Arial" w:cs="Arial"/>
          <w:b/>
          <w:bCs/>
          <w:color w:val="auto"/>
          <w:sz w:val="24"/>
          <w:szCs w:val="24"/>
        </w:rPr>
        <w:t xml:space="preserve">herapy </w:t>
      </w:r>
      <w:r w:rsidR="00945646">
        <w:rPr>
          <w:rFonts w:ascii="Arial" w:hAnsi="Arial" w:cs="Arial"/>
          <w:b/>
          <w:bCs/>
          <w:color w:val="auto"/>
          <w:sz w:val="24"/>
          <w:szCs w:val="24"/>
        </w:rPr>
        <w:t>P</w:t>
      </w:r>
      <w:r w:rsidRPr="00945646">
        <w:rPr>
          <w:rFonts w:ascii="Arial" w:hAnsi="Arial" w:cs="Arial"/>
          <w:b/>
          <w:bCs/>
          <w:color w:val="auto"/>
          <w:sz w:val="24"/>
          <w:szCs w:val="24"/>
        </w:rPr>
        <w:t>olicy</w:t>
      </w:r>
      <w:bookmarkEnd w:id="3"/>
      <w:r w:rsidRPr="00945646">
        <w:rPr>
          <w:rFonts w:ascii="Arial" w:hAnsi="Arial" w:cs="Arial"/>
          <w:b/>
          <w:bCs/>
          <w:color w:val="auto"/>
          <w:sz w:val="24"/>
          <w:szCs w:val="24"/>
        </w:rPr>
        <w:t xml:space="preserve"> </w:t>
      </w:r>
    </w:p>
    <w:p w14:paraId="6E117A76" w14:textId="77777777" w:rsidR="005E27AA" w:rsidRPr="00072354" w:rsidRDefault="005E27AA" w:rsidP="00E80633">
      <w:pPr>
        <w:ind w:left="120"/>
        <w:rPr>
          <w:rFonts w:cs="Arial"/>
        </w:rPr>
      </w:pPr>
      <w:r w:rsidRPr="00072354">
        <w:rPr>
          <w:rFonts w:eastAsia="Calibri" w:cs="Arial"/>
        </w:rPr>
        <w:t xml:space="preserve"> </w:t>
      </w:r>
    </w:p>
    <w:p w14:paraId="2F93E978" w14:textId="77777777" w:rsidR="005E27AA" w:rsidRPr="00072354" w:rsidRDefault="005E27AA" w:rsidP="00E80633">
      <w:pPr>
        <w:rPr>
          <w:rFonts w:cs="Arial"/>
        </w:rPr>
      </w:pPr>
      <w:r w:rsidRPr="00072354">
        <w:rPr>
          <w:rFonts w:cs="Arial"/>
        </w:rPr>
        <w:t xml:space="preserve">In relation to </w:t>
      </w:r>
      <w:r w:rsidRPr="00072354">
        <w:rPr>
          <w:rFonts w:cs="Arial"/>
          <w:b/>
        </w:rPr>
        <w:t xml:space="preserve">assessment and eligibility </w:t>
      </w:r>
      <w:r w:rsidRPr="00072354">
        <w:rPr>
          <w:rFonts w:cs="Arial"/>
        </w:rPr>
        <w:t xml:space="preserve">the County Council OT will: </w:t>
      </w:r>
    </w:p>
    <w:p w14:paraId="587069F3" w14:textId="77777777" w:rsidR="005E27AA" w:rsidRPr="00072354" w:rsidRDefault="005E27AA" w:rsidP="00E80633">
      <w:pPr>
        <w:rPr>
          <w:rFonts w:cs="Arial"/>
        </w:rPr>
      </w:pPr>
    </w:p>
    <w:p w14:paraId="6B9D6272" w14:textId="33D65FFE" w:rsidR="005E27AA" w:rsidRPr="00072354" w:rsidRDefault="00B601FE" w:rsidP="00E80633">
      <w:pPr>
        <w:pStyle w:val="ListParagraph"/>
        <w:numPr>
          <w:ilvl w:val="0"/>
          <w:numId w:val="5"/>
        </w:numPr>
        <w:spacing w:after="4" w:line="240" w:lineRule="auto"/>
        <w:rPr>
          <w:rFonts w:ascii="Arial" w:hAnsi="Arial" w:cs="Arial"/>
          <w:sz w:val="24"/>
          <w:szCs w:val="24"/>
        </w:rPr>
      </w:pPr>
      <w:r>
        <w:rPr>
          <w:rFonts w:ascii="Arial" w:hAnsi="Arial" w:cs="Arial"/>
          <w:sz w:val="24"/>
          <w:szCs w:val="24"/>
        </w:rPr>
        <w:t>o</w:t>
      </w:r>
      <w:r w:rsidR="005E27AA" w:rsidRPr="00072354">
        <w:rPr>
          <w:rFonts w:ascii="Arial" w:hAnsi="Arial" w:cs="Arial"/>
          <w:sz w:val="24"/>
          <w:szCs w:val="24"/>
        </w:rPr>
        <w:t>ffer the person a written copy of their conversation record</w:t>
      </w:r>
    </w:p>
    <w:p w14:paraId="0FD6A115" w14:textId="77777777" w:rsidR="005E27AA" w:rsidRPr="00072354" w:rsidRDefault="005E27AA" w:rsidP="00E80633">
      <w:pPr>
        <w:ind w:left="709"/>
        <w:rPr>
          <w:rFonts w:cs="Arial"/>
        </w:rPr>
      </w:pPr>
      <w:r w:rsidRPr="00072354">
        <w:rPr>
          <w:rFonts w:eastAsia="Calibri" w:cs="Arial"/>
        </w:rPr>
        <w:t xml:space="preserve"> </w:t>
      </w:r>
    </w:p>
    <w:p w14:paraId="37EE6B3C" w14:textId="422D6698" w:rsidR="005E27AA" w:rsidRPr="00072354" w:rsidRDefault="00B601FE" w:rsidP="00E80633">
      <w:pPr>
        <w:pStyle w:val="ListParagraph"/>
        <w:numPr>
          <w:ilvl w:val="0"/>
          <w:numId w:val="5"/>
        </w:numPr>
        <w:spacing w:after="36" w:line="240" w:lineRule="auto"/>
        <w:rPr>
          <w:rFonts w:ascii="Arial" w:hAnsi="Arial" w:cs="Arial"/>
          <w:sz w:val="24"/>
          <w:szCs w:val="24"/>
        </w:rPr>
      </w:pPr>
      <w:r>
        <w:rPr>
          <w:rFonts w:ascii="Arial" w:hAnsi="Arial" w:cs="Arial"/>
          <w:sz w:val="24"/>
          <w:szCs w:val="24"/>
        </w:rPr>
        <w:t>u</w:t>
      </w:r>
      <w:r w:rsidR="005E27AA" w:rsidRPr="00072354">
        <w:rPr>
          <w:rFonts w:ascii="Arial" w:hAnsi="Arial" w:cs="Arial"/>
          <w:sz w:val="24"/>
          <w:szCs w:val="24"/>
        </w:rPr>
        <w:t xml:space="preserve">ndertake strength based conversations with people in the way best suited to their presenting needs. This may involve a phone based, online or face to face assessment, which is responsive to that </w:t>
      </w:r>
      <w:r w:rsidR="008F64B9" w:rsidRPr="00072354">
        <w:rPr>
          <w:rFonts w:ascii="Arial" w:hAnsi="Arial" w:cs="Arial"/>
          <w:sz w:val="24"/>
          <w:szCs w:val="24"/>
        </w:rPr>
        <w:t>person’s</w:t>
      </w:r>
      <w:r w:rsidR="005E27AA" w:rsidRPr="00072354">
        <w:rPr>
          <w:rFonts w:ascii="Arial" w:hAnsi="Arial" w:cs="Arial"/>
          <w:sz w:val="24"/>
          <w:szCs w:val="24"/>
        </w:rPr>
        <w:t xml:space="preserve"> communication needs</w:t>
      </w:r>
    </w:p>
    <w:p w14:paraId="5094B703" w14:textId="77777777" w:rsidR="005E27AA" w:rsidRPr="00072354" w:rsidRDefault="005E27AA" w:rsidP="00E80633">
      <w:pPr>
        <w:pStyle w:val="ListParagraph"/>
        <w:spacing w:line="240" w:lineRule="auto"/>
        <w:ind w:left="426"/>
        <w:rPr>
          <w:rFonts w:ascii="Arial" w:hAnsi="Arial" w:cs="Arial"/>
          <w:sz w:val="24"/>
          <w:szCs w:val="24"/>
        </w:rPr>
      </w:pPr>
    </w:p>
    <w:p w14:paraId="743DBC3D" w14:textId="62C5AE75" w:rsidR="005E27AA" w:rsidRPr="00072354" w:rsidRDefault="00B601FE" w:rsidP="00E80633">
      <w:pPr>
        <w:pStyle w:val="ListParagraph"/>
        <w:numPr>
          <w:ilvl w:val="0"/>
          <w:numId w:val="5"/>
        </w:numPr>
        <w:spacing w:after="0" w:line="240" w:lineRule="auto"/>
        <w:rPr>
          <w:rFonts w:ascii="Arial" w:hAnsi="Arial" w:cs="Arial"/>
          <w:sz w:val="24"/>
          <w:szCs w:val="24"/>
        </w:rPr>
      </w:pPr>
      <w:r>
        <w:rPr>
          <w:rFonts w:ascii="Arial" w:hAnsi="Arial" w:cs="Arial"/>
          <w:sz w:val="24"/>
          <w:szCs w:val="24"/>
        </w:rPr>
        <w:t>e</w:t>
      </w:r>
      <w:r w:rsidR="005E27AA" w:rsidRPr="00072354">
        <w:rPr>
          <w:rFonts w:ascii="Arial" w:hAnsi="Arial" w:cs="Arial"/>
          <w:sz w:val="24"/>
          <w:szCs w:val="24"/>
        </w:rPr>
        <w:t xml:space="preserve">nable people to identify sources of support to help them retain control over their lives and achieve the outcomes they want. This will include directing them to places where they can purchase their own equipment or obtain impartial advice, such as the </w:t>
      </w:r>
      <w:hyperlink r:id="rId32" w:history="1">
        <w:r w:rsidR="005E27AA" w:rsidRPr="00F067C0">
          <w:rPr>
            <w:rStyle w:val="Hyperlink"/>
            <w:rFonts w:ascii="Arial" w:hAnsi="Arial" w:cs="Arial"/>
            <w:sz w:val="24"/>
            <w:szCs w:val="24"/>
          </w:rPr>
          <w:t>Nottinghamshire help yourself w</w:t>
        </w:r>
        <w:r w:rsidR="005E27AA" w:rsidRPr="00F067C0">
          <w:rPr>
            <w:rStyle w:val="Hyperlink"/>
            <w:rFonts w:ascii="Arial" w:hAnsi="Arial" w:cs="Arial"/>
            <w:sz w:val="24"/>
            <w:szCs w:val="24"/>
          </w:rPr>
          <w:t>e</w:t>
        </w:r>
        <w:r w:rsidR="005E27AA" w:rsidRPr="00F067C0">
          <w:rPr>
            <w:rStyle w:val="Hyperlink"/>
            <w:rFonts w:ascii="Arial" w:hAnsi="Arial" w:cs="Arial"/>
            <w:sz w:val="24"/>
            <w:szCs w:val="24"/>
          </w:rPr>
          <w:t>bsite</w:t>
        </w:r>
      </w:hyperlink>
    </w:p>
    <w:p w14:paraId="7F6B5B4E" w14:textId="77777777" w:rsidR="005E27AA" w:rsidRPr="00072354" w:rsidRDefault="005E27AA" w:rsidP="00E80633">
      <w:pPr>
        <w:ind w:left="825"/>
        <w:rPr>
          <w:rFonts w:cs="Arial"/>
        </w:rPr>
      </w:pPr>
    </w:p>
    <w:p w14:paraId="549AB5F2" w14:textId="5D31A5C5" w:rsidR="005E27AA" w:rsidRPr="00072354" w:rsidRDefault="00B601FE" w:rsidP="00E80633">
      <w:pPr>
        <w:pStyle w:val="ListParagraph"/>
        <w:numPr>
          <w:ilvl w:val="0"/>
          <w:numId w:val="5"/>
        </w:numPr>
        <w:spacing w:after="33" w:line="240" w:lineRule="auto"/>
        <w:rPr>
          <w:rFonts w:ascii="Arial" w:hAnsi="Arial" w:cs="Arial"/>
          <w:sz w:val="24"/>
          <w:szCs w:val="24"/>
        </w:rPr>
      </w:pPr>
      <w:r>
        <w:rPr>
          <w:rFonts w:ascii="Arial" w:hAnsi="Arial" w:cs="Arial"/>
          <w:sz w:val="24"/>
          <w:szCs w:val="24"/>
        </w:rPr>
        <w:t>a</w:t>
      </w:r>
      <w:r w:rsidR="005E27AA" w:rsidRPr="00072354">
        <w:rPr>
          <w:rFonts w:ascii="Arial" w:hAnsi="Arial" w:cs="Arial"/>
          <w:sz w:val="24"/>
          <w:szCs w:val="24"/>
        </w:rPr>
        <w:t xml:space="preserve">pply the </w:t>
      </w:r>
      <w:hyperlink r:id="rId33" w:history="1">
        <w:r w:rsidR="005E27AA" w:rsidRPr="00072354">
          <w:rPr>
            <w:rStyle w:val="Hyperlink"/>
            <w:rFonts w:ascii="Arial" w:hAnsi="Arial" w:cs="Arial"/>
            <w:sz w:val="24"/>
            <w:szCs w:val="24"/>
          </w:rPr>
          <w:t>Care Act eli</w:t>
        </w:r>
        <w:r w:rsidR="005E27AA" w:rsidRPr="00072354">
          <w:rPr>
            <w:rStyle w:val="Hyperlink"/>
            <w:rFonts w:ascii="Arial" w:hAnsi="Arial" w:cs="Arial"/>
            <w:sz w:val="24"/>
            <w:szCs w:val="24"/>
          </w:rPr>
          <w:t>g</w:t>
        </w:r>
        <w:r w:rsidR="005E27AA" w:rsidRPr="00072354">
          <w:rPr>
            <w:rStyle w:val="Hyperlink"/>
            <w:rFonts w:ascii="Arial" w:hAnsi="Arial" w:cs="Arial"/>
            <w:sz w:val="24"/>
            <w:szCs w:val="24"/>
          </w:rPr>
          <w:t>ibility</w:t>
        </w:r>
      </w:hyperlink>
      <w:r w:rsidR="005E27AA" w:rsidRPr="00072354">
        <w:rPr>
          <w:rFonts w:ascii="Arial" w:hAnsi="Arial" w:cs="Arial"/>
          <w:sz w:val="24"/>
          <w:szCs w:val="24"/>
        </w:rPr>
        <w:t xml:space="preserve"> to the provision of equipment and minor adaptations, except where people have been referred for Reablement or Enablement or where equipment solutions can clearly be evidenced to prevent a need for funded social care</w:t>
      </w:r>
    </w:p>
    <w:p w14:paraId="4E42F36F" w14:textId="77777777" w:rsidR="005E27AA" w:rsidRPr="00072354" w:rsidRDefault="005E27AA" w:rsidP="00E80633">
      <w:pPr>
        <w:spacing w:after="33"/>
        <w:rPr>
          <w:rFonts w:cs="Arial"/>
        </w:rPr>
      </w:pPr>
    </w:p>
    <w:p w14:paraId="7981C017" w14:textId="54B151E7" w:rsidR="005E27AA" w:rsidRPr="00072354" w:rsidRDefault="00B601FE" w:rsidP="00E80633">
      <w:pPr>
        <w:pStyle w:val="ListParagraph"/>
        <w:numPr>
          <w:ilvl w:val="0"/>
          <w:numId w:val="5"/>
        </w:numPr>
        <w:spacing w:after="180" w:line="240" w:lineRule="auto"/>
        <w:rPr>
          <w:rFonts w:ascii="Arial" w:hAnsi="Arial" w:cs="Arial"/>
          <w:sz w:val="24"/>
          <w:szCs w:val="24"/>
        </w:rPr>
      </w:pPr>
      <w:r>
        <w:rPr>
          <w:rFonts w:ascii="Arial" w:hAnsi="Arial" w:cs="Arial"/>
          <w:sz w:val="24"/>
          <w:szCs w:val="24"/>
        </w:rPr>
        <w:t>e</w:t>
      </w:r>
      <w:r w:rsidR="005E27AA" w:rsidRPr="00072354">
        <w:rPr>
          <w:rFonts w:ascii="Arial" w:hAnsi="Arial" w:cs="Arial"/>
          <w:sz w:val="24"/>
          <w:szCs w:val="24"/>
        </w:rPr>
        <w:t xml:space="preserve">nsure that young people in transition to adult services follow the Transition Pathway. When they are 17 years old, the children’s and adult`s </w:t>
      </w:r>
      <w:r w:rsidR="00B32A36">
        <w:rPr>
          <w:rFonts w:ascii="Arial" w:hAnsi="Arial" w:cs="Arial"/>
          <w:sz w:val="24"/>
          <w:szCs w:val="24"/>
        </w:rPr>
        <w:t>colleague</w:t>
      </w:r>
      <w:r w:rsidR="005E27AA" w:rsidRPr="00072354">
        <w:rPr>
          <w:rFonts w:ascii="Arial" w:hAnsi="Arial" w:cs="Arial"/>
          <w:sz w:val="24"/>
          <w:szCs w:val="24"/>
        </w:rPr>
        <w:t xml:space="preserve"> will engage in person centred conversations about how the young person’s needs can be met going into adulthood, under the </w:t>
      </w:r>
      <w:hyperlink r:id="rId34" w:history="1">
        <w:r w:rsidR="005E27AA" w:rsidRPr="00072354">
          <w:rPr>
            <w:rStyle w:val="Hyperlink"/>
            <w:rFonts w:ascii="Arial" w:hAnsi="Arial" w:cs="Arial"/>
            <w:sz w:val="24"/>
            <w:szCs w:val="24"/>
          </w:rPr>
          <w:t>Care Act legislation</w:t>
        </w:r>
      </w:hyperlink>
      <w:r w:rsidR="005E27AA" w:rsidRPr="00072354">
        <w:rPr>
          <w:rFonts w:ascii="Arial" w:hAnsi="Arial" w:cs="Arial"/>
          <w:sz w:val="24"/>
          <w:szCs w:val="24"/>
        </w:rPr>
        <w:t>. They will be referred by children’s services 28 days before their 18</w:t>
      </w:r>
      <w:r w:rsidR="005E27AA" w:rsidRPr="00072354">
        <w:rPr>
          <w:rFonts w:ascii="Arial" w:hAnsi="Arial" w:cs="Arial"/>
          <w:sz w:val="24"/>
          <w:szCs w:val="24"/>
          <w:vertAlign w:val="superscript"/>
        </w:rPr>
        <w:t>th</w:t>
      </w:r>
      <w:r w:rsidR="005E27AA" w:rsidRPr="00072354">
        <w:rPr>
          <w:rFonts w:ascii="Arial" w:hAnsi="Arial" w:cs="Arial"/>
          <w:sz w:val="24"/>
          <w:szCs w:val="24"/>
        </w:rPr>
        <w:t xml:space="preserve"> birthday for any ongoing recommendations or unmet eligible needs, to be assessed by Adult Care </w:t>
      </w:r>
      <w:hyperlink r:id="rId35" w:history="1">
        <w:r w:rsidR="005E27AA" w:rsidRPr="00072354">
          <w:rPr>
            <w:rStyle w:val="Hyperlink"/>
            <w:rFonts w:ascii="Arial" w:hAnsi="Arial" w:cs="Arial"/>
            <w:sz w:val="24"/>
            <w:szCs w:val="24"/>
          </w:rPr>
          <w:t>Transition planning for young people with disabilities</w:t>
        </w:r>
      </w:hyperlink>
      <w:r w:rsidR="005E27AA" w:rsidRPr="00072354">
        <w:rPr>
          <w:rFonts w:ascii="Arial" w:hAnsi="Arial" w:cs="Arial"/>
          <w:sz w:val="24"/>
          <w:szCs w:val="24"/>
        </w:rPr>
        <w:t>. When possible and necessary, the children’s and adult care OT will complete joint visits to ensure a seamless handover for the young person. The children`s OT will continue to communicate with Adult care OT for 28 days post 18</w:t>
      </w:r>
      <w:r w:rsidR="005E27AA" w:rsidRPr="00072354">
        <w:rPr>
          <w:rFonts w:ascii="Arial" w:hAnsi="Arial" w:cs="Arial"/>
          <w:sz w:val="24"/>
          <w:szCs w:val="24"/>
          <w:vertAlign w:val="superscript"/>
        </w:rPr>
        <w:t>th</w:t>
      </w:r>
      <w:r w:rsidR="005E27AA" w:rsidRPr="00072354">
        <w:rPr>
          <w:rFonts w:ascii="Arial" w:hAnsi="Arial" w:cs="Arial"/>
          <w:sz w:val="24"/>
          <w:szCs w:val="24"/>
        </w:rPr>
        <w:t xml:space="preserve"> birthday, to enable continuity and information sharing</w:t>
      </w:r>
    </w:p>
    <w:p w14:paraId="01B3193C" w14:textId="77777777" w:rsidR="005E27AA" w:rsidRPr="00072354" w:rsidRDefault="005E27AA" w:rsidP="00E80633">
      <w:pPr>
        <w:pStyle w:val="ListParagraph"/>
        <w:spacing w:line="240" w:lineRule="auto"/>
        <w:rPr>
          <w:rFonts w:ascii="Arial" w:hAnsi="Arial" w:cs="Arial"/>
          <w:sz w:val="24"/>
          <w:szCs w:val="24"/>
          <w:highlight w:val="yellow"/>
        </w:rPr>
      </w:pPr>
    </w:p>
    <w:p w14:paraId="4EDBD568" w14:textId="319FF4DE" w:rsidR="005E27AA" w:rsidRPr="00072354" w:rsidRDefault="00B601FE" w:rsidP="00E80633">
      <w:pPr>
        <w:pStyle w:val="ListParagraph"/>
        <w:numPr>
          <w:ilvl w:val="0"/>
          <w:numId w:val="5"/>
        </w:numPr>
        <w:spacing w:after="0" w:line="240" w:lineRule="auto"/>
        <w:rPr>
          <w:rFonts w:ascii="Arial" w:hAnsi="Arial" w:cs="Arial"/>
          <w:sz w:val="24"/>
          <w:szCs w:val="24"/>
        </w:rPr>
      </w:pPr>
      <w:r>
        <w:rPr>
          <w:rFonts w:ascii="Arial" w:hAnsi="Arial" w:cs="Arial"/>
          <w:sz w:val="24"/>
          <w:szCs w:val="24"/>
        </w:rPr>
        <w:t>e</w:t>
      </w:r>
      <w:r w:rsidR="005E27AA" w:rsidRPr="00072354">
        <w:rPr>
          <w:rFonts w:ascii="Arial" w:hAnsi="Arial" w:cs="Arial"/>
          <w:sz w:val="24"/>
          <w:szCs w:val="24"/>
        </w:rPr>
        <w:t xml:space="preserve">nsure that people in Nottinghamshire prisons who are eligible for </w:t>
      </w:r>
      <w:r w:rsidR="005E27AA" w:rsidRPr="00072354">
        <w:rPr>
          <w:rFonts w:ascii="Arial" w:hAnsi="Arial" w:cs="Arial"/>
          <w:sz w:val="24"/>
          <w:szCs w:val="24"/>
          <w:lang w:val="en"/>
        </w:rPr>
        <w:t>social care services are offered an opportunity to have a conversation with an Occupational Therapist. This is important for people in the criminal justice system who have care and support needs, as it can support their rehabilitation and may positively impact on the likelihood of re-offending and their ability to rebuild their lives on release</w:t>
      </w:r>
    </w:p>
    <w:p w14:paraId="6296E2FA" w14:textId="77777777" w:rsidR="005E27AA" w:rsidRPr="00072354" w:rsidRDefault="005E27AA" w:rsidP="00E80633">
      <w:pPr>
        <w:rPr>
          <w:rFonts w:cs="Arial"/>
        </w:rPr>
      </w:pPr>
    </w:p>
    <w:p w14:paraId="518E8CC0" w14:textId="6081BC57" w:rsidR="005E27AA" w:rsidRPr="00072354" w:rsidRDefault="00B601FE" w:rsidP="00E80633">
      <w:pPr>
        <w:pStyle w:val="ListParagraph"/>
        <w:numPr>
          <w:ilvl w:val="0"/>
          <w:numId w:val="5"/>
        </w:numPr>
        <w:spacing w:after="0" w:line="240" w:lineRule="auto"/>
        <w:rPr>
          <w:rFonts w:ascii="Arial" w:hAnsi="Arial" w:cs="Arial"/>
          <w:sz w:val="24"/>
          <w:szCs w:val="24"/>
        </w:rPr>
      </w:pPr>
      <w:r>
        <w:rPr>
          <w:rFonts w:ascii="Arial" w:hAnsi="Arial" w:cs="Arial"/>
          <w:sz w:val="24"/>
          <w:szCs w:val="24"/>
          <w:lang w:val="en"/>
        </w:rPr>
        <w:t>o</w:t>
      </w:r>
      <w:r w:rsidR="005E27AA" w:rsidRPr="00072354">
        <w:rPr>
          <w:rFonts w:ascii="Arial" w:hAnsi="Arial" w:cs="Arial"/>
          <w:sz w:val="24"/>
          <w:szCs w:val="24"/>
          <w:lang w:val="en"/>
        </w:rPr>
        <w:t xml:space="preserve">ccupational </w:t>
      </w:r>
      <w:r w:rsidR="00F760D7">
        <w:rPr>
          <w:rFonts w:ascii="Arial" w:hAnsi="Arial" w:cs="Arial"/>
          <w:sz w:val="24"/>
          <w:szCs w:val="24"/>
          <w:lang w:val="en"/>
        </w:rPr>
        <w:t>t</w:t>
      </w:r>
      <w:r w:rsidR="005E27AA" w:rsidRPr="00072354">
        <w:rPr>
          <w:rFonts w:ascii="Arial" w:hAnsi="Arial" w:cs="Arial"/>
          <w:sz w:val="24"/>
          <w:szCs w:val="24"/>
          <w:lang w:val="en"/>
        </w:rPr>
        <w:t>herapists will</w:t>
      </w:r>
      <w:r w:rsidR="005E27AA" w:rsidRPr="00072354">
        <w:rPr>
          <w:rFonts w:ascii="Arial" w:hAnsi="Arial" w:cs="Arial"/>
          <w:sz w:val="24"/>
          <w:szCs w:val="24"/>
        </w:rPr>
        <w:t xml:space="preserve"> undertake decision specific Mental Capacity Assessments around matters that relate to their area of expertise, such as: individuals understanding the consequences of their actions in relation to how they perform an activity, use equipment or moving and handling technique or carer’s ability to understand the use of equipment or moving and handling technique</w:t>
      </w:r>
    </w:p>
    <w:p w14:paraId="64BA8C39" w14:textId="77777777" w:rsidR="005E27AA" w:rsidRPr="00072354" w:rsidRDefault="005E27AA" w:rsidP="00E80633">
      <w:pPr>
        <w:rPr>
          <w:rFonts w:cs="Arial"/>
        </w:rPr>
      </w:pPr>
    </w:p>
    <w:p w14:paraId="63A244D1" w14:textId="1FE18D32" w:rsidR="005E27AA" w:rsidRPr="00072354" w:rsidRDefault="00F760D7" w:rsidP="00E80633">
      <w:pPr>
        <w:pStyle w:val="ListParagraph"/>
        <w:numPr>
          <w:ilvl w:val="0"/>
          <w:numId w:val="5"/>
        </w:numPr>
        <w:spacing w:after="0" w:line="240" w:lineRule="auto"/>
        <w:rPr>
          <w:rFonts w:ascii="Arial" w:hAnsi="Arial" w:cs="Arial"/>
          <w:i/>
          <w:sz w:val="24"/>
          <w:szCs w:val="24"/>
        </w:rPr>
      </w:pPr>
      <w:r>
        <w:rPr>
          <w:rFonts w:ascii="Arial" w:hAnsi="Arial" w:cs="Arial"/>
          <w:sz w:val="24"/>
          <w:szCs w:val="24"/>
          <w:lang w:val="en"/>
        </w:rPr>
        <w:t>o</w:t>
      </w:r>
      <w:r w:rsidR="005E27AA" w:rsidRPr="00072354">
        <w:rPr>
          <w:rFonts w:ascii="Arial" w:hAnsi="Arial" w:cs="Arial"/>
          <w:sz w:val="24"/>
          <w:szCs w:val="24"/>
          <w:lang w:val="en"/>
        </w:rPr>
        <w:t xml:space="preserve">ccupational </w:t>
      </w:r>
      <w:r>
        <w:rPr>
          <w:rFonts w:ascii="Arial" w:hAnsi="Arial" w:cs="Arial"/>
          <w:sz w:val="24"/>
          <w:szCs w:val="24"/>
          <w:lang w:val="en"/>
        </w:rPr>
        <w:t>t</w:t>
      </w:r>
      <w:r w:rsidR="005E27AA" w:rsidRPr="00072354">
        <w:rPr>
          <w:rFonts w:ascii="Arial" w:hAnsi="Arial" w:cs="Arial"/>
          <w:sz w:val="24"/>
          <w:szCs w:val="24"/>
          <w:lang w:val="en"/>
        </w:rPr>
        <w:t>herapist</w:t>
      </w:r>
      <w:r w:rsidR="005E27AA" w:rsidRPr="00072354">
        <w:rPr>
          <w:rFonts w:ascii="Arial" w:hAnsi="Arial" w:cs="Arial"/>
          <w:sz w:val="24"/>
          <w:szCs w:val="24"/>
        </w:rPr>
        <w:t xml:space="preserve"> will investigate safeguarding concerns that are relevant to their area of expertise for people living in the community.</w:t>
      </w:r>
    </w:p>
    <w:p w14:paraId="6336E528" w14:textId="77777777" w:rsidR="005E27AA" w:rsidRPr="00072354" w:rsidRDefault="005E27AA" w:rsidP="00E80633">
      <w:pPr>
        <w:ind w:left="221"/>
        <w:rPr>
          <w:rFonts w:cs="Arial"/>
          <w:i/>
        </w:rPr>
      </w:pPr>
    </w:p>
    <w:p w14:paraId="4C022A90" w14:textId="6B483CF8" w:rsidR="005E27AA" w:rsidRPr="00072354" w:rsidRDefault="005E27AA" w:rsidP="00E80633">
      <w:pPr>
        <w:ind w:left="349"/>
        <w:rPr>
          <w:rFonts w:cs="Arial"/>
        </w:rPr>
      </w:pPr>
      <w:r w:rsidRPr="00072354">
        <w:rPr>
          <w:rFonts w:cs="Arial"/>
        </w:rPr>
        <w:t xml:space="preserve">In relation to the provision of </w:t>
      </w:r>
      <w:hyperlink r:id="rId36" w:history="1">
        <w:r w:rsidRPr="008F64B9">
          <w:rPr>
            <w:rStyle w:val="Hyperlink"/>
            <w:rFonts w:cs="Arial"/>
          </w:rPr>
          <w:t>equipment and minor adaptations</w:t>
        </w:r>
      </w:hyperlink>
      <w:r w:rsidRPr="00072354">
        <w:rPr>
          <w:rFonts w:cs="Arial"/>
          <w:b/>
        </w:rPr>
        <w:t xml:space="preserve"> </w:t>
      </w:r>
      <w:r w:rsidRPr="00072354">
        <w:rPr>
          <w:rFonts w:cs="Arial"/>
        </w:rPr>
        <w:t xml:space="preserve">the County Council </w:t>
      </w:r>
      <w:r w:rsidR="00F760D7">
        <w:rPr>
          <w:rFonts w:cs="Arial"/>
          <w:lang w:val="en"/>
        </w:rPr>
        <w:t>o</w:t>
      </w:r>
      <w:r w:rsidRPr="00072354">
        <w:rPr>
          <w:rFonts w:cs="Arial"/>
          <w:lang w:val="en"/>
        </w:rPr>
        <w:t xml:space="preserve">ccupational </w:t>
      </w:r>
      <w:r w:rsidR="00F760D7">
        <w:rPr>
          <w:rFonts w:cs="Arial"/>
          <w:lang w:val="en"/>
        </w:rPr>
        <w:t>t</w:t>
      </w:r>
      <w:r w:rsidRPr="00072354">
        <w:rPr>
          <w:rFonts w:cs="Arial"/>
          <w:lang w:val="en"/>
        </w:rPr>
        <w:t>herapist</w:t>
      </w:r>
      <w:r w:rsidRPr="00072354">
        <w:rPr>
          <w:rFonts w:cs="Arial"/>
        </w:rPr>
        <w:t xml:space="preserve"> will: </w:t>
      </w:r>
    </w:p>
    <w:p w14:paraId="0A27B9E5" w14:textId="77777777" w:rsidR="005E27AA" w:rsidRPr="00072354" w:rsidRDefault="005E27AA" w:rsidP="00E80633">
      <w:pPr>
        <w:ind w:left="120"/>
        <w:rPr>
          <w:rFonts w:cs="Arial"/>
        </w:rPr>
      </w:pPr>
      <w:r w:rsidRPr="00072354">
        <w:rPr>
          <w:rFonts w:eastAsia="Calibri" w:cs="Arial"/>
        </w:rPr>
        <w:t xml:space="preserve"> </w:t>
      </w:r>
    </w:p>
    <w:p w14:paraId="31134907" w14:textId="2BCBCA4B" w:rsidR="005E27AA" w:rsidRPr="00072354" w:rsidRDefault="001F3C0B" w:rsidP="00E80633">
      <w:pPr>
        <w:pStyle w:val="ListParagraph"/>
        <w:numPr>
          <w:ilvl w:val="0"/>
          <w:numId w:val="6"/>
        </w:numPr>
        <w:spacing w:after="33" w:line="240" w:lineRule="auto"/>
        <w:rPr>
          <w:rFonts w:ascii="Arial" w:hAnsi="Arial" w:cs="Arial"/>
          <w:sz w:val="24"/>
          <w:szCs w:val="24"/>
        </w:rPr>
      </w:pPr>
      <w:r>
        <w:rPr>
          <w:rFonts w:ascii="Arial" w:hAnsi="Arial" w:cs="Arial"/>
          <w:sz w:val="24"/>
          <w:szCs w:val="24"/>
        </w:rPr>
        <w:t>p</w:t>
      </w:r>
      <w:r w:rsidR="005E27AA" w:rsidRPr="00072354">
        <w:rPr>
          <w:rFonts w:ascii="Arial" w:hAnsi="Arial" w:cs="Arial"/>
          <w:sz w:val="24"/>
          <w:szCs w:val="24"/>
        </w:rPr>
        <w:t xml:space="preserve">rovide equipment and minor adaptations free to people referred for </w:t>
      </w:r>
      <w:r w:rsidR="00370443">
        <w:rPr>
          <w:rFonts w:ascii="Arial" w:hAnsi="Arial" w:cs="Arial"/>
          <w:sz w:val="24"/>
          <w:szCs w:val="24"/>
        </w:rPr>
        <w:t>r</w:t>
      </w:r>
      <w:r w:rsidR="005E27AA" w:rsidRPr="00072354">
        <w:rPr>
          <w:rFonts w:ascii="Arial" w:hAnsi="Arial" w:cs="Arial"/>
          <w:sz w:val="24"/>
          <w:szCs w:val="24"/>
        </w:rPr>
        <w:t xml:space="preserve">eablement or </w:t>
      </w:r>
      <w:r w:rsidR="00370443">
        <w:rPr>
          <w:rFonts w:ascii="Arial" w:hAnsi="Arial" w:cs="Arial"/>
          <w:sz w:val="24"/>
          <w:szCs w:val="24"/>
        </w:rPr>
        <w:t>e</w:t>
      </w:r>
      <w:r w:rsidR="005E27AA" w:rsidRPr="00072354">
        <w:rPr>
          <w:rFonts w:ascii="Arial" w:hAnsi="Arial" w:cs="Arial"/>
          <w:sz w:val="24"/>
          <w:szCs w:val="24"/>
        </w:rPr>
        <w:t xml:space="preserve">nablement, where this will prevent or delay the need for social care or enable them to remain in their homes for longer </w:t>
      </w:r>
    </w:p>
    <w:p w14:paraId="4BE56C48" w14:textId="77777777" w:rsidR="005E27AA" w:rsidRPr="00072354" w:rsidRDefault="005E27AA" w:rsidP="00E80633">
      <w:pPr>
        <w:ind w:left="709"/>
        <w:rPr>
          <w:rFonts w:cs="Arial"/>
        </w:rPr>
      </w:pPr>
    </w:p>
    <w:p w14:paraId="3B77DEB9" w14:textId="27461DA4" w:rsidR="005E27AA" w:rsidRPr="00072354" w:rsidRDefault="005E27AA" w:rsidP="00E80633">
      <w:pPr>
        <w:pStyle w:val="ListParagraph"/>
        <w:numPr>
          <w:ilvl w:val="0"/>
          <w:numId w:val="6"/>
        </w:numPr>
        <w:spacing w:after="33" w:line="240" w:lineRule="auto"/>
        <w:rPr>
          <w:rFonts w:ascii="Arial" w:hAnsi="Arial" w:cs="Arial"/>
          <w:sz w:val="24"/>
          <w:szCs w:val="24"/>
        </w:rPr>
      </w:pPr>
      <w:r w:rsidRPr="00072354">
        <w:rPr>
          <w:rFonts w:ascii="Arial" w:hAnsi="Arial" w:cs="Arial"/>
          <w:sz w:val="24"/>
          <w:szCs w:val="24"/>
        </w:rPr>
        <w:t xml:space="preserve">NCC will provide a direct payment for equipment on request following an </w:t>
      </w:r>
      <w:r w:rsidRPr="00072354">
        <w:rPr>
          <w:rFonts w:ascii="Arial" w:hAnsi="Arial" w:cs="Arial"/>
          <w:sz w:val="24"/>
          <w:szCs w:val="24"/>
          <w:lang w:val="en"/>
        </w:rPr>
        <w:t>Occupational Therapist</w:t>
      </w:r>
      <w:r w:rsidRPr="00072354">
        <w:rPr>
          <w:rFonts w:ascii="Arial" w:hAnsi="Arial" w:cs="Arial"/>
          <w:sz w:val="24"/>
          <w:szCs w:val="24"/>
        </w:rPr>
        <w:t xml:space="preserve"> or CCO assessment of need if certain criteria are met. </w:t>
      </w:r>
      <w:hyperlink r:id="rId37" w:history="1">
        <w:r w:rsidRPr="00072354">
          <w:rPr>
            <w:rStyle w:val="Hyperlink"/>
            <w:rFonts w:ascii="Arial" w:hAnsi="Arial" w:cs="Arial"/>
            <w:sz w:val="24"/>
            <w:szCs w:val="24"/>
          </w:rPr>
          <w:t>Personal Budgets and Personal Health Budgets for Community Equipment ICELs</w:t>
        </w:r>
      </w:hyperlink>
    </w:p>
    <w:p w14:paraId="00A82D83" w14:textId="77777777" w:rsidR="005E27AA" w:rsidRPr="00072354" w:rsidRDefault="005E27AA" w:rsidP="00E80633">
      <w:pPr>
        <w:spacing w:after="33"/>
        <w:rPr>
          <w:rFonts w:cs="Arial"/>
        </w:rPr>
      </w:pPr>
    </w:p>
    <w:p w14:paraId="4EE6A6F2" w14:textId="47EBD453" w:rsidR="005E27AA" w:rsidRPr="00072354" w:rsidRDefault="001F3C0B" w:rsidP="00E80633">
      <w:pPr>
        <w:pStyle w:val="ListParagraph"/>
        <w:numPr>
          <w:ilvl w:val="0"/>
          <w:numId w:val="7"/>
        </w:numPr>
        <w:spacing w:after="33" w:line="240" w:lineRule="auto"/>
        <w:rPr>
          <w:rFonts w:ascii="Arial" w:hAnsi="Arial" w:cs="Arial"/>
          <w:sz w:val="24"/>
          <w:szCs w:val="24"/>
        </w:rPr>
      </w:pPr>
      <w:r>
        <w:rPr>
          <w:rFonts w:ascii="Arial" w:hAnsi="Arial" w:cs="Arial"/>
          <w:sz w:val="24"/>
          <w:szCs w:val="24"/>
        </w:rPr>
        <w:t>p</w:t>
      </w:r>
      <w:r w:rsidR="005E27AA" w:rsidRPr="00072354">
        <w:rPr>
          <w:rFonts w:ascii="Arial" w:hAnsi="Arial" w:cs="Arial"/>
          <w:sz w:val="24"/>
          <w:szCs w:val="24"/>
        </w:rPr>
        <w:t>rovide equipment and minor adaptations only for the persons main residence, except in exceptional circumstances, such as where there is a clearly identified risk to a person or their carer by non-provision</w:t>
      </w:r>
    </w:p>
    <w:p w14:paraId="019F8024" w14:textId="77777777" w:rsidR="005E27AA" w:rsidRPr="00072354" w:rsidRDefault="005E27AA" w:rsidP="00E80633">
      <w:pPr>
        <w:rPr>
          <w:rFonts w:cs="Arial"/>
        </w:rPr>
      </w:pPr>
    </w:p>
    <w:p w14:paraId="5F038512" w14:textId="3D3D5363" w:rsidR="005E27AA" w:rsidRPr="00072354" w:rsidRDefault="001F3C0B" w:rsidP="00E80633">
      <w:pPr>
        <w:pStyle w:val="ListParagraph"/>
        <w:numPr>
          <w:ilvl w:val="0"/>
          <w:numId w:val="3"/>
        </w:numPr>
        <w:spacing w:after="37" w:line="240" w:lineRule="auto"/>
        <w:rPr>
          <w:rFonts w:ascii="Arial" w:hAnsi="Arial" w:cs="Arial"/>
          <w:sz w:val="24"/>
          <w:szCs w:val="24"/>
        </w:rPr>
      </w:pPr>
      <w:r>
        <w:rPr>
          <w:rFonts w:ascii="Arial" w:hAnsi="Arial" w:cs="Arial"/>
          <w:sz w:val="24"/>
          <w:szCs w:val="24"/>
        </w:rPr>
        <w:t>n</w:t>
      </w:r>
      <w:r w:rsidR="005E27AA" w:rsidRPr="00072354">
        <w:rPr>
          <w:rFonts w:ascii="Arial" w:hAnsi="Arial" w:cs="Arial"/>
          <w:sz w:val="24"/>
          <w:szCs w:val="24"/>
        </w:rPr>
        <w:t xml:space="preserve">ot provide standard contract equipment or minor adaptations for permanent residents in care homes, if the resident needs a non-standard piece of equipment as defined by ICELS the </w:t>
      </w:r>
      <w:r w:rsidR="005E27AA" w:rsidRPr="00072354">
        <w:rPr>
          <w:rFonts w:ascii="Arial" w:hAnsi="Arial" w:cs="Arial"/>
          <w:sz w:val="24"/>
          <w:szCs w:val="24"/>
          <w:lang w:val="en"/>
        </w:rPr>
        <w:t>Occupational Therapist</w:t>
      </w:r>
      <w:r w:rsidR="005E27AA" w:rsidRPr="00072354">
        <w:rPr>
          <w:rFonts w:ascii="Arial" w:hAnsi="Arial" w:cs="Arial"/>
          <w:sz w:val="24"/>
          <w:szCs w:val="24"/>
        </w:rPr>
        <w:t xml:space="preserve"> or CCO will loan the equipment and provide instructions on how to use it safely. In the case of </w:t>
      </w:r>
      <w:r w:rsidR="005E27AA" w:rsidRPr="00072354">
        <w:rPr>
          <w:rFonts w:ascii="Arial" w:hAnsi="Arial" w:cs="Arial"/>
          <w:sz w:val="24"/>
          <w:szCs w:val="24"/>
        </w:rPr>
        <w:lastRenderedPageBreak/>
        <w:t xml:space="preserve">emergency respite placements, equipment can be loaned and returned to British Red Cross. </w:t>
      </w:r>
      <w:hyperlink r:id="rId38" w:history="1">
        <w:r w:rsidR="005E27AA" w:rsidRPr="00072354">
          <w:rPr>
            <w:rStyle w:val="Hyperlink"/>
            <w:rFonts w:ascii="Arial" w:hAnsi="Arial" w:cs="Arial"/>
            <w:sz w:val="24"/>
            <w:szCs w:val="24"/>
          </w:rPr>
          <w:t>Equipment for Care Homes</w:t>
        </w:r>
      </w:hyperlink>
      <w:r w:rsidR="005E27AA" w:rsidRPr="00072354">
        <w:rPr>
          <w:rFonts w:ascii="Arial" w:hAnsi="Arial" w:cs="Arial"/>
          <w:sz w:val="24"/>
          <w:szCs w:val="24"/>
        </w:rPr>
        <w:t xml:space="preserve"> </w:t>
      </w:r>
    </w:p>
    <w:p w14:paraId="2514F2E3" w14:textId="77777777" w:rsidR="005E27AA" w:rsidRPr="00072354" w:rsidRDefault="005E27AA" w:rsidP="00E80633">
      <w:pPr>
        <w:rPr>
          <w:rFonts w:cs="Arial"/>
        </w:rPr>
      </w:pPr>
    </w:p>
    <w:p w14:paraId="2FB6AA42" w14:textId="4AA00B85" w:rsidR="005E27AA" w:rsidRPr="00072354" w:rsidRDefault="001F3C0B" w:rsidP="00E80633">
      <w:pPr>
        <w:pStyle w:val="NoSpacing"/>
        <w:numPr>
          <w:ilvl w:val="0"/>
          <w:numId w:val="3"/>
        </w:numPr>
        <w:rPr>
          <w:szCs w:val="24"/>
        </w:rPr>
      </w:pPr>
      <w:r>
        <w:rPr>
          <w:szCs w:val="24"/>
        </w:rPr>
        <w:t>n</w:t>
      </w:r>
      <w:r w:rsidR="005E27AA" w:rsidRPr="00072354">
        <w:rPr>
          <w:szCs w:val="24"/>
        </w:rPr>
        <w:t xml:space="preserve">ot service, maintain, remove, or repair equipment that belongs to a person, except in the case of ceiling track hoists funded through a Disabled Facilities Grant or via the single handling project. </w:t>
      </w:r>
    </w:p>
    <w:p w14:paraId="407D1FD8" w14:textId="77777777" w:rsidR="005E27AA" w:rsidRPr="00072354" w:rsidRDefault="005E27AA" w:rsidP="00E80633">
      <w:pPr>
        <w:ind w:left="840"/>
        <w:rPr>
          <w:rFonts w:cs="Arial"/>
        </w:rPr>
      </w:pPr>
    </w:p>
    <w:p w14:paraId="1B3B6FEC" w14:textId="17E2C7AE" w:rsidR="005E27AA" w:rsidRPr="00072354" w:rsidRDefault="005E27AA" w:rsidP="00E80633">
      <w:pPr>
        <w:ind w:left="349"/>
        <w:rPr>
          <w:rFonts w:cs="Arial"/>
        </w:rPr>
      </w:pPr>
      <w:r w:rsidRPr="00072354">
        <w:rPr>
          <w:rFonts w:cs="Arial"/>
        </w:rPr>
        <w:t xml:space="preserve">In relation to the provision of </w:t>
      </w:r>
      <w:hyperlink r:id="rId39" w:history="1">
        <w:r w:rsidRPr="008F64B9">
          <w:rPr>
            <w:rStyle w:val="Hyperlink"/>
            <w:rFonts w:cs="Arial"/>
          </w:rPr>
          <w:t xml:space="preserve">major adaptations </w:t>
        </w:r>
      </w:hyperlink>
      <w:r w:rsidRPr="008F64B9">
        <w:rPr>
          <w:rFonts w:cs="Arial"/>
        </w:rPr>
        <w:t>t</w:t>
      </w:r>
      <w:r w:rsidRPr="00072354">
        <w:rPr>
          <w:rFonts w:cs="Arial"/>
        </w:rPr>
        <w:t xml:space="preserve">he County Council </w:t>
      </w:r>
      <w:r w:rsidR="001F3C0B">
        <w:rPr>
          <w:rFonts w:cs="Arial"/>
          <w:lang w:val="en"/>
        </w:rPr>
        <w:t>o</w:t>
      </w:r>
      <w:r w:rsidRPr="00072354">
        <w:rPr>
          <w:rFonts w:cs="Arial"/>
          <w:lang w:val="en"/>
        </w:rPr>
        <w:t xml:space="preserve">ccupational </w:t>
      </w:r>
      <w:r w:rsidR="001F3C0B">
        <w:rPr>
          <w:rFonts w:cs="Arial"/>
          <w:lang w:val="en"/>
        </w:rPr>
        <w:t>t</w:t>
      </w:r>
      <w:r w:rsidRPr="00072354">
        <w:rPr>
          <w:rFonts w:cs="Arial"/>
          <w:lang w:val="en"/>
        </w:rPr>
        <w:t>herapist</w:t>
      </w:r>
      <w:r w:rsidRPr="00072354">
        <w:rPr>
          <w:rFonts w:cs="Arial"/>
        </w:rPr>
        <w:t xml:space="preserve"> will: </w:t>
      </w:r>
    </w:p>
    <w:p w14:paraId="52416B07" w14:textId="77777777" w:rsidR="005E27AA" w:rsidRPr="00072354" w:rsidRDefault="005E27AA" w:rsidP="00E80633">
      <w:pPr>
        <w:ind w:left="120"/>
        <w:rPr>
          <w:rFonts w:cs="Arial"/>
        </w:rPr>
      </w:pPr>
      <w:r w:rsidRPr="00072354">
        <w:rPr>
          <w:rFonts w:eastAsia="Calibri" w:cs="Arial"/>
        </w:rPr>
        <w:t xml:space="preserve"> </w:t>
      </w:r>
    </w:p>
    <w:p w14:paraId="32B3D186" w14:textId="6F0DAB41" w:rsidR="005E27AA" w:rsidRPr="00072354" w:rsidRDefault="006E4FE3" w:rsidP="00E80633">
      <w:pPr>
        <w:pStyle w:val="ListParagraph"/>
        <w:numPr>
          <w:ilvl w:val="0"/>
          <w:numId w:val="8"/>
        </w:numPr>
        <w:spacing w:after="34" w:line="240" w:lineRule="auto"/>
        <w:rPr>
          <w:rFonts w:ascii="Arial" w:hAnsi="Arial" w:cs="Arial"/>
          <w:sz w:val="24"/>
          <w:szCs w:val="24"/>
        </w:rPr>
      </w:pPr>
      <w:r>
        <w:rPr>
          <w:rFonts w:ascii="Arial" w:hAnsi="Arial" w:cs="Arial"/>
          <w:sz w:val="24"/>
          <w:szCs w:val="24"/>
        </w:rPr>
        <w:t>p</w:t>
      </w:r>
      <w:r w:rsidR="005E27AA" w:rsidRPr="00072354">
        <w:rPr>
          <w:rFonts w:ascii="Arial" w:hAnsi="Arial" w:cs="Arial"/>
          <w:sz w:val="24"/>
          <w:szCs w:val="24"/>
        </w:rPr>
        <w:t xml:space="preserve">rovide a statement of needs to </w:t>
      </w:r>
      <w:r w:rsidR="009E5EC2">
        <w:rPr>
          <w:rFonts w:ascii="Arial" w:hAnsi="Arial" w:cs="Arial"/>
          <w:sz w:val="24"/>
          <w:szCs w:val="24"/>
        </w:rPr>
        <w:t>d</w:t>
      </w:r>
      <w:r w:rsidR="005E27AA" w:rsidRPr="00072354">
        <w:rPr>
          <w:rFonts w:ascii="Arial" w:hAnsi="Arial" w:cs="Arial"/>
          <w:sz w:val="24"/>
          <w:szCs w:val="24"/>
        </w:rPr>
        <w:t xml:space="preserve">istrict and </w:t>
      </w:r>
      <w:r w:rsidR="009E5EC2">
        <w:rPr>
          <w:rFonts w:ascii="Arial" w:hAnsi="Arial" w:cs="Arial"/>
          <w:sz w:val="24"/>
          <w:szCs w:val="24"/>
        </w:rPr>
        <w:t>b</w:t>
      </w:r>
      <w:r w:rsidR="005E27AA" w:rsidRPr="00072354">
        <w:rPr>
          <w:rFonts w:ascii="Arial" w:hAnsi="Arial" w:cs="Arial"/>
          <w:sz w:val="24"/>
          <w:szCs w:val="24"/>
        </w:rPr>
        <w:t xml:space="preserve">orough councils that recommends a Disabled Facilities Grant funding application for a major adaptation or make recommendations for adaptations if the property is the councils’ own housing stock. </w:t>
      </w:r>
    </w:p>
    <w:p w14:paraId="3779BD53" w14:textId="77777777" w:rsidR="005E27AA" w:rsidRPr="00072354" w:rsidRDefault="005E27AA" w:rsidP="00E80633">
      <w:pPr>
        <w:ind w:left="825"/>
        <w:rPr>
          <w:rFonts w:cs="Arial"/>
        </w:rPr>
      </w:pPr>
    </w:p>
    <w:p w14:paraId="5460E31B" w14:textId="62BEAB9E" w:rsidR="005E27AA" w:rsidRPr="00072354" w:rsidRDefault="006E4FE3" w:rsidP="00E80633">
      <w:pPr>
        <w:pStyle w:val="ListParagraph"/>
        <w:numPr>
          <w:ilvl w:val="0"/>
          <w:numId w:val="8"/>
        </w:numPr>
        <w:spacing w:after="34" w:line="240" w:lineRule="auto"/>
        <w:rPr>
          <w:rFonts w:ascii="Arial" w:hAnsi="Arial" w:cs="Arial"/>
          <w:sz w:val="24"/>
          <w:szCs w:val="24"/>
        </w:rPr>
      </w:pPr>
      <w:r>
        <w:rPr>
          <w:rFonts w:ascii="Arial" w:hAnsi="Arial" w:cs="Arial"/>
          <w:sz w:val="24"/>
          <w:szCs w:val="24"/>
        </w:rPr>
        <w:t>w</w:t>
      </w:r>
      <w:r w:rsidR="005E27AA" w:rsidRPr="00072354">
        <w:rPr>
          <w:rFonts w:ascii="Arial" w:hAnsi="Arial" w:cs="Arial"/>
          <w:sz w:val="24"/>
          <w:szCs w:val="24"/>
        </w:rPr>
        <w:t xml:space="preserve">here people are living in properties that are unsuitable for their long-term needs, or unfeasible to adapt, the </w:t>
      </w:r>
      <w:r w:rsidR="004947EF">
        <w:rPr>
          <w:rFonts w:ascii="Arial" w:hAnsi="Arial" w:cs="Arial"/>
          <w:sz w:val="24"/>
          <w:szCs w:val="24"/>
          <w:lang w:val="en"/>
        </w:rPr>
        <w:t>o</w:t>
      </w:r>
      <w:r w:rsidR="005E27AA" w:rsidRPr="00072354">
        <w:rPr>
          <w:rFonts w:ascii="Arial" w:hAnsi="Arial" w:cs="Arial"/>
          <w:sz w:val="24"/>
          <w:szCs w:val="24"/>
          <w:lang w:val="en"/>
        </w:rPr>
        <w:t xml:space="preserve">ccupational </w:t>
      </w:r>
      <w:r w:rsidR="004947EF">
        <w:rPr>
          <w:rFonts w:ascii="Arial" w:hAnsi="Arial" w:cs="Arial"/>
          <w:sz w:val="24"/>
          <w:szCs w:val="24"/>
          <w:lang w:val="en"/>
        </w:rPr>
        <w:t>t</w:t>
      </w:r>
      <w:r w:rsidR="005E27AA" w:rsidRPr="00072354">
        <w:rPr>
          <w:rFonts w:ascii="Arial" w:hAnsi="Arial" w:cs="Arial"/>
          <w:sz w:val="24"/>
          <w:szCs w:val="24"/>
          <w:lang w:val="en"/>
        </w:rPr>
        <w:t>herapist</w:t>
      </w:r>
      <w:r w:rsidR="005E27AA" w:rsidRPr="00072354">
        <w:rPr>
          <w:rFonts w:ascii="Arial" w:hAnsi="Arial" w:cs="Arial"/>
          <w:sz w:val="24"/>
          <w:szCs w:val="24"/>
        </w:rPr>
        <w:t xml:space="preserve"> will suggest rehousing in the first instance</w:t>
      </w:r>
    </w:p>
    <w:p w14:paraId="23F5675D" w14:textId="77777777" w:rsidR="005E27AA" w:rsidRPr="00072354" w:rsidRDefault="005E27AA" w:rsidP="00E80633">
      <w:pPr>
        <w:rPr>
          <w:rFonts w:cs="Arial"/>
        </w:rPr>
      </w:pPr>
    </w:p>
    <w:p w14:paraId="188B2B7C" w14:textId="47CAA6B0" w:rsidR="005E27AA" w:rsidRPr="00072354" w:rsidRDefault="006E4FE3" w:rsidP="00E80633">
      <w:pPr>
        <w:pStyle w:val="ListParagraph"/>
        <w:numPr>
          <w:ilvl w:val="0"/>
          <w:numId w:val="8"/>
        </w:numPr>
        <w:spacing w:after="33" w:line="240" w:lineRule="auto"/>
        <w:rPr>
          <w:rFonts w:ascii="Arial" w:hAnsi="Arial" w:cs="Arial"/>
          <w:sz w:val="24"/>
          <w:szCs w:val="24"/>
        </w:rPr>
      </w:pPr>
      <w:r>
        <w:rPr>
          <w:rFonts w:ascii="Arial" w:hAnsi="Arial" w:cs="Arial"/>
          <w:sz w:val="24"/>
          <w:szCs w:val="24"/>
        </w:rPr>
        <w:t>t</w:t>
      </w:r>
      <w:r w:rsidR="005E27AA" w:rsidRPr="00072354">
        <w:rPr>
          <w:rFonts w:ascii="Arial" w:hAnsi="Arial" w:cs="Arial"/>
          <w:sz w:val="24"/>
          <w:szCs w:val="24"/>
        </w:rPr>
        <w:t xml:space="preserve">hey will recommend that people adapt an existing downstairs room if available and suitable, before making a recommendation for a major adaptation </w:t>
      </w:r>
    </w:p>
    <w:p w14:paraId="2E0FFF93" w14:textId="77777777" w:rsidR="005E27AA" w:rsidRPr="00072354" w:rsidRDefault="005E27AA" w:rsidP="00E80633">
      <w:pPr>
        <w:ind w:left="825"/>
        <w:rPr>
          <w:rFonts w:cs="Arial"/>
        </w:rPr>
      </w:pPr>
    </w:p>
    <w:p w14:paraId="36CC87D7" w14:textId="4469830E" w:rsidR="005E27AA" w:rsidRPr="00072354" w:rsidRDefault="006E4FE3" w:rsidP="00E80633">
      <w:pPr>
        <w:pStyle w:val="ListParagraph"/>
        <w:numPr>
          <w:ilvl w:val="0"/>
          <w:numId w:val="8"/>
        </w:numPr>
        <w:spacing w:after="34" w:line="240" w:lineRule="auto"/>
        <w:rPr>
          <w:rFonts w:ascii="Arial" w:hAnsi="Arial" w:cs="Arial"/>
          <w:sz w:val="24"/>
          <w:szCs w:val="24"/>
        </w:rPr>
      </w:pPr>
      <w:r>
        <w:rPr>
          <w:rFonts w:ascii="Arial" w:hAnsi="Arial" w:cs="Arial"/>
          <w:sz w:val="24"/>
          <w:szCs w:val="24"/>
        </w:rPr>
        <w:t>o</w:t>
      </w:r>
      <w:r w:rsidR="005E27AA" w:rsidRPr="00072354">
        <w:rPr>
          <w:rFonts w:ascii="Arial" w:hAnsi="Arial" w:cs="Arial"/>
          <w:sz w:val="24"/>
          <w:szCs w:val="24"/>
        </w:rPr>
        <w:t xml:space="preserve">nly recommend major adaptations to a person’s main residence in line with sections </w:t>
      </w:r>
      <w:hyperlink r:id="rId40" w:history="1">
        <w:r w:rsidR="005E27AA" w:rsidRPr="00072354">
          <w:rPr>
            <w:rStyle w:val="Hyperlink"/>
            <w:rFonts w:ascii="Arial" w:hAnsi="Arial" w:cs="Arial"/>
            <w:sz w:val="24"/>
            <w:szCs w:val="24"/>
          </w:rPr>
          <w:t>21(2)(b)</w:t>
        </w:r>
      </w:hyperlink>
      <w:r w:rsidR="005E27AA" w:rsidRPr="00072354">
        <w:rPr>
          <w:rFonts w:ascii="Arial" w:hAnsi="Arial" w:cs="Arial"/>
          <w:sz w:val="24"/>
          <w:szCs w:val="24"/>
        </w:rPr>
        <w:t xml:space="preserve"> and </w:t>
      </w:r>
      <w:hyperlink r:id="rId41" w:history="1">
        <w:r w:rsidR="005E27AA" w:rsidRPr="00072354">
          <w:rPr>
            <w:rStyle w:val="Hyperlink"/>
            <w:rFonts w:ascii="Arial" w:hAnsi="Arial" w:cs="Arial"/>
            <w:sz w:val="24"/>
            <w:szCs w:val="24"/>
          </w:rPr>
          <w:t>22(b)</w:t>
        </w:r>
      </w:hyperlink>
      <w:r w:rsidR="005E27AA" w:rsidRPr="00072354">
        <w:rPr>
          <w:rFonts w:ascii="Arial" w:hAnsi="Arial" w:cs="Arial"/>
          <w:sz w:val="24"/>
          <w:szCs w:val="24"/>
        </w:rPr>
        <w:t xml:space="preserve"> of the Housing Grants, Construction and Regeneration Act 1996 </w:t>
      </w:r>
    </w:p>
    <w:p w14:paraId="5F8409FC" w14:textId="77777777" w:rsidR="005E27AA" w:rsidRPr="00072354" w:rsidRDefault="005E27AA" w:rsidP="00E80633">
      <w:pPr>
        <w:rPr>
          <w:rFonts w:cs="Arial"/>
        </w:rPr>
      </w:pPr>
    </w:p>
    <w:p w14:paraId="6780024E" w14:textId="10F3A7D2" w:rsidR="005E27AA" w:rsidRPr="00072354" w:rsidRDefault="006E4FE3" w:rsidP="00E80633">
      <w:pPr>
        <w:pStyle w:val="NoSpacing"/>
        <w:numPr>
          <w:ilvl w:val="0"/>
          <w:numId w:val="8"/>
        </w:numPr>
        <w:rPr>
          <w:szCs w:val="24"/>
        </w:rPr>
      </w:pPr>
      <w:r>
        <w:rPr>
          <w:szCs w:val="24"/>
        </w:rPr>
        <w:t>c</w:t>
      </w:r>
      <w:r w:rsidR="005E27AA" w:rsidRPr="00072354">
        <w:rPr>
          <w:szCs w:val="24"/>
        </w:rPr>
        <w:t xml:space="preserve">onsider financial assistance for people who cannot afford their assessed contribution towards a Disabled Facilities Grant. The contribution will only be given in cases of extreme </w:t>
      </w:r>
      <w:r w:rsidR="001F3C0B" w:rsidRPr="00072354">
        <w:rPr>
          <w:szCs w:val="24"/>
        </w:rPr>
        <w:t>hardship,</w:t>
      </w:r>
      <w:r w:rsidR="005E27AA" w:rsidRPr="00072354">
        <w:rPr>
          <w:szCs w:val="24"/>
        </w:rPr>
        <w:t xml:space="preserve"> and it will be in the form of a loan that is subject to an assessment by the County Council’s Adult Care Financial Services. It will result in a legal charge being placed on the property if and when it is sold; this legal charge may incur an admin fee at each mortgage application. </w:t>
      </w:r>
      <w:hyperlink r:id="rId42" w:history="1">
        <w:r w:rsidR="005E27AA" w:rsidRPr="00072354">
          <w:rPr>
            <w:rStyle w:val="Hyperlink"/>
            <w:szCs w:val="24"/>
          </w:rPr>
          <w:t>Disabled Facilities Grant- NCC contribution fund</w:t>
        </w:r>
      </w:hyperlink>
      <w:r w:rsidR="009E5EC2">
        <w:rPr>
          <w:color w:val="auto"/>
          <w:szCs w:val="24"/>
        </w:rPr>
        <w:t>.</w:t>
      </w:r>
    </w:p>
    <w:p w14:paraId="34E54A8B" w14:textId="77777777" w:rsidR="005E27AA" w:rsidRPr="00072354" w:rsidRDefault="005E27AA" w:rsidP="00E80633">
      <w:pPr>
        <w:ind w:left="120"/>
        <w:rPr>
          <w:rFonts w:cs="Arial"/>
        </w:rPr>
      </w:pPr>
      <w:r w:rsidRPr="00072354">
        <w:rPr>
          <w:rFonts w:eastAsia="Calibri" w:cs="Arial"/>
        </w:rPr>
        <w:t xml:space="preserve"> </w:t>
      </w:r>
    </w:p>
    <w:p w14:paraId="5B699907" w14:textId="18C2F076" w:rsidR="005E27AA" w:rsidRPr="002A75BA" w:rsidRDefault="005E27AA" w:rsidP="00E80633">
      <w:pPr>
        <w:pStyle w:val="Heading1"/>
        <w:spacing w:before="0"/>
        <w:rPr>
          <w:rFonts w:ascii="Arial" w:hAnsi="Arial" w:cs="Arial"/>
          <w:b/>
          <w:bCs/>
          <w:color w:val="auto"/>
          <w:sz w:val="24"/>
          <w:szCs w:val="24"/>
        </w:rPr>
      </w:pPr>
      <w:bookmarkStart w:id="4" w:name="_Toc142483246"/>
      <w:r w:rsidRPr="002A75BA">
        <w:rPr>
          <w:rFonts w:ascii="Arial" w:hAnsi="Arial" w:cs="Arial"/>
          <w:b/>
          <w:bCs/>
          <w:color w:val="auto"/>
          <w:sz w:val="24"/>
          <w:szCs w:val="24"/>
        </w:rPr>
        <w:t xml:space="preserve">Key actions to meet the commitments set out in the </w:t>
      </w:r>
      <w:r w:rsidR="00B3421D">
        <w:rPr>
          <w:rFonts w:ascii="Arial" w:hAnsi="Arial" w:cs="Arial"/>
          <w:b/>
          <w:bCs/>
          <w:color w:val="auto"/>
          <w:sz w:val="24"/>
          <w:szCs w:val="24"/>
        </w:rPr>
        <w:t>P</w:t>
      </w:r>
      <w:r w:rsidRPr="002A75BA">
        <w:rPr>
          <w:rFonts w:ascii="Arial" w:hAnsi="Arial" w:cs="Arial"/>
          <w:b/>
          <w:bCs/>
          <w:color w:val="auto"/>
          <w:sz w:val="24"/>
          <w:szCs w:val="24"/>
        </w:rPr>
        <w:t>olicy</w:t>
      </w:r>
      <w:bookmarkEnd w:id="4"/>
    </w:p>
    <w:p w14:paraId="7D2075E9" w14:textId="77777777" w:rsidR="005E27AA" w:rsidRPr="002A75BA" w:rsidRDefault="005E27AA" w:rsidP="00E80633">
      <w:pPr>
        <w:rPr>
          <w:rFonts w:cs="Arial"/>
          <w:b/>
          <w:bCs/>
        </w:rPr>
      </w:pPr>
    </w:p>
    <w:p w14:paraId="615859B6" w14:textId="77777777" w:rsidR="005E27AA" w:rsidRPr="006E4FE3" w:rsidRDefault="005E27AA" w:rsidP="00E80633">
      <w:pPr>
        <w:rPr>
          <w:rFonts w:cs="Arial"/>
        </w:rPr>
      </w:pPr>
      <w:r w:rsidRPr="006E4FE3">
        <w:rPr>
          <w:rFonts w:cs="Arial"/>
        </w:rPr>
        <w:t xml:space="preserve">Staff guidance will be maintained to ensure that this policy is consistently applied across the County. </w:t>
      </w:r>
    </w:p>
    <w:p w14:paraId="157694E1" w14:textId="77777777" w:rsidR="005E27AA" w:rsidRPr="00072354" w:rsidRDefault="005E27AA" w:rsidP="00E80633">
      <w:pPr>
        <w:rPr>
          <w:rFonts w:cs="Arial"/>
        </w:rPr>
      </w:pPr>
    </w:p>
    <w:p w14:paraId="013A3596" w14:textId="77777777" w:rsidR="005E27AA" w:rsidRPr="006E4FE3" w:rsidRDefault="005E27AA" w:rsidP="00E80633">
      <w:pPr>
        <w:rPr>
          <w:rFonts w:cs="Arial"/>
        </w:rPr>
      </w:pPr>
      <w:r w:rsidRPr="006E4FE3">
        <w:rPr>
          <w:rFonts w:cs="Arial"/>
        </w:rPr>
        <w:t xml:space="preserve">The assessment pathway and associated documentation will be reviewed in consultation with the County Council’s occupational therapists. </w:t>
      </w:r>
    </w:p>
    <w:p w14:paraId="0E81B516" w14:textId="77777777" w:rsidR="009969ED" w:rsidRDefault="009969ED" w:rsidP="00E80633">
      <w:pPr>
        <w:rPr>
          <w:rFonts w:cs="Arial"/>
        </w:rPr>
      </w:pPr>
    </w:p>
    <w:p w14:paraId="2BC962C4" w14:textId="748ADE5E" w:rsidR="005E27AA" w:rsidRPr="006E4FE3" w:rsidRDefault="005E27AA" w:rsidP="00E80633">
      <w:pPr>
        <w:rPr>
          <w:rFonts w:cs="Arial"/>
        </w:rPr>
      </w:pPr>
      <w:r w:rsidRPr="006E4FE3">
        <w:rPr>
          <w:rFonts w:cs="Arial"/>
        </w:rPr>
        <w:t xml:space="preserve">Ways of working will be explored with the County Council’s occupational therapists to ensure that the Council’s processes are as efficient as possible. </w:t>
      </w:r>
    </w:p>
    <w:p w14:paraId="67DECC69" w14:textId="77777777" w:rsidR="005E27AA" w:rsidRPr="00072354" w:rsidRDefault="005E27AA" w:rsidP="00E80633">
      <w:pPr>
        <w:pStyle w:val="ListParagraph"/>
        <w:spacing w:after="0"/>
        <w:ind w:left="0"/>
        <w:rPr>
          <w:rFonts w:ascii="Arial" w:hAnsi="Arial" w:cs="Arial"/>
          <w:sz w:val="24"/>
          <w:szCs w:val="24"/>
        </w:rPr>
      </w:pPr>
    </w:p>
    <w:p w14:paraId="6954BA1C" w14:textId="77777777" w:rsidR="005E27AA" w:rsidRPr="006E4FE3" w:rsidRDefault="005E27AA" w:rsidP="00E80633">
      <w:pPr>
        <w:rPr>
          <w:rFonts w:cs="Arial"/>
        </w:rPr>
      </w:pPr>
      <w:r w:rsidRPr="006E4FE3">
        <w:rPr>
          <w:rFonts w:cs="Arial"/>
        </w:rPr>
        <w:t xml:space="preserve">The Integrated Community Equipment Loan Service will be reviewed to ensure that it works efficiently. </w:t>
      </w:r>
    </w:p>
    <w:p w14:paraId="7274C426" w14:textId="77777777" w:rsidR="005E27AA" w:rsidRPr="00072354" w:rsidRDefault="005E27AA" w:rsidP="00E80633">
      <w:pPr>
        <w:pStyle w:val="ListParagraph"/>
        <w:spacing w:after="0"/>
        <w:ind w:left="0"/>
        <w:rPr>
          <w:rFonts w:ascii="Arial" w:hAnsi="Arial" w:cs="Arial"/>
          <w:sz w:val="24"/>
          <w:szCs w:val="24"/>
        </w:rPr>
      </w:pPr>
    </w:p>
    <w:p w14:paraId="0495C8F0" w14:textId="77777777" w:rsidR="005E27AA" w:rsidRPr="006E4FE3" w:rsidRDefault="005E27AA" w:rsidP="00E80633">
      <w:pPr>
        <w:rPr>
          <w:rFonts w:cs="Arial"/>
        </w:rPr>
      </w:pPr>
      <w:r w:rsidRPr="006E4FE3">
        <w:rPr>
          <w:rFonts w:cs="Arial"/>
        </w:rPr>
        <w:lastRenderedPageBreak/>
        <w:t>Work will be undertaken with District and Borough councils and local housing associations to ensure that requests for adaptations, and other associated work, are dealt with as efficiently as possible and in line with the existing policy.</w:t>
      </w:r>
    </w:p>
    <w:p w14:paraId="014A5EA8" w14:textId="77777777" w:rsidR="005E27AA" w:rsidRPr="00072354" w:rsidRDefault="005E27AA" w:rsidP="00E80633">
      <w:pPr>
        <w:spacing w:after="37"/>
        <w:rPr>
          <w:rFonts w:cs="Arial"/>
        </w:rPr>
      </w:pPr>
    </w:p>
    <w:sectPr w:rsidR="005E27AA" w:rsidRPr="00072354" w:rsidSect="00237CF0">
      <w:headerReference w:type="default" r:id="rId43"/>
      <w:footerReference w:type="default" r:id="rId44"/>
      <w:type w:val="continuous"/>
      <w:pgSz w:w="11907" w:h="16840" w:code="9"/>
      <w:pgMar w:top="1304" w:right="1418" w:bottom="1304" w:left="1361" w:header="709" w:footer="33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13C4" w14:textId="77777777" w:rsidR="00AF3E52" w:rsidRDefault="00AF3E52">
      <w:r>
        <w:separator/>
      </w:r>
    </w:p>
  </w:endnote>
  <w:endnote w:type="continuationSeparator" w:id="0">
    <w:p w14:paraId="7E8E7E51" w14:textId="77777777" w:rsidR="00AF3E52" w:rsidRDefault="00AF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39C3" w14:textId="77777777" w:rsidR="00280784" w:rsidRDefault="00280784" w:rsidP="00C36403">
    <w:pPr>
      <w:pStyle w:val="Footer"/>
      <w:tabs>
        <w:tab w:val="clear" w:pos="4153"/>
        <w:tab w:val="clear" w:pos="8306"/>
        <w:tab w:val="left" w:pos="900"/>
        <w:tab w:val="left" w:pos="2520"/>
        <w:tab w:val="right" w:pos="8460"/>
      </w:tabs>
      <w:ind w:right="360"/>
      <w:rPr>
        <w:sz w:val="16"/>
        <w:szCs w:val="16"/>
      </w:rPr>
    </w:pPr>
    <w:r w:rsidRPr="00FC48F5">
      <w:rPr>
        <w:sz w:val="16"/>
        <w:szCs w:val="16"/>
      </w:rPr>
      <w:t>Page</w:t>
    </w:r>
    <w:r>
      <w:rPr>
        <w:sz w:val="16"/>
        <w:szCs w:val="16"/>
      </w:rPr>
      <w:t xml:space="preserve">: </w:t>
    </w:r>
    <w:r w:rsidRPr="00410489">
      <w:rPr>
        <w:rStyle w:val="PageNumber"/>
        <w:sz w:val="16"/>
        <w:szCs w:val="16"/>
      </w:rPr>
      <w:fldChar w:fldCharType="begin"/>
    </w:r>
    <w:r w:rsidRPr="00410489">
      <w:rPr>
        <w:rStyle w:val="PageNumber"/>
        <w:sz w:val="16"/>
        <w:szCs w:val="16"/>
      </w:rPr>
      <w:instrText xml:space="preserve"> PAGE </w:instrText>
    </w:r>
    <w:r w:rsidRPr="00410489">
      <w:rPr>
        <w:rStyle w:val="PageNumber"/>
        <w:sz w:val="16"/>
        <w:szCs w:val="16"/>
      </w:rPr>
      <w:fldChar w:fldCharType="separate"/>
    </w:r>
    <w:r w:rsidR="003D6F06">
      <w:rPr>
        <w:rStyle w:val="PageNumber"/>
        <w:noProof/>
        <w:sz w:val="16"/>
        <w:szCs w:val="16"/>
      </w:rPr>
      <w:t>2</w:t>
    </w:r>
    <w:r w:rsidRPr="00410489">
      <w:rPr>
        <w:rStyle w:val="PageNumber"/>
        <w:sz w:val="16"/>
        <w:szCs w:val="16"/>
      </w:rPr>
      <w:fldChar w:fldCharType="end"/>
    </w:r>
    <w:r w:rsidRPr="00FC48F5">
      <w:rPr>
        <w:sz w:val="16"/>
        <w:szCs w:val="16"/>
      </w:rPr>
      <w:t xml:space="preserve"> </w:t>
    </w:r>
    <w:r>
      <w:rPr>
        <w:sz w:val="16"/>
        <w:szCs w:val="16"/>
      </w:rPr>
      <w:tab/>
    </w:r>
    <w:r>
      <w:rPr>
        <w:sz w:val="16"/>
        <w:szCs w:val="16"/>
      </w:rPr>
      <w:tab/>
    </w:r>
    <w:r w:rsidR="002C1DE5">
      <w:rPr>
        <w:sz w:val="16"/>
        <w:szCs w:val="16"/>
      </w:rPr>
      <w:t>Policy</w:t>
    </w:r>
    <w:r>
      <w:rPr>
        <w:sz w:val="16"/>
        <w:szCs w:val="16"/>
      </w:rPr>
      <w:t xml:space="preserve"> Adopted: </w:t>
    </w:r>
    <w:r w:rsidR="003657A4">
      <w:rPr>
        <w:sz w:val="16"/>
        <w:szCs w:val="16"/>
      </w:rPr>
      <w:t>DD</w:t>
    </w:r>
    <w:r>
      <w:rPr>
        <w:sz w:val="16"/>
        <w:szCs w:val="16"/>
      </w:rPr>
      <w:t>.</w:t>
    </w:r>
    <w:r w:rsidR="003657A4">
      <w:rPr>
        <w:sz w:val="16"/>
        <w:szCs w:val="16"/>
      </w:rPr>
      <w:t>MM</w:t>
    </w:r>
    <w:r>
      <w:rPr>
        <w:sz w:val="16"/>
        <w:szCs w:val="16"/>
      </w:rPr>
      <w:t>.</w:t>
    </w:r>
    <w:r w:rsidR="003657A4">
      <w:rPr>
        <w:sz w:val="16"/>
        <w:szCs w:val="16"/>
      </w:rPr>
      <w:t>YYYY</w:t>
    </w:r>
    <w:r>
      <w:rPr>
        <w:sz w:val="16"/>
        <w:szCs w:val="16"/>
      </w:rPr>
      <w:tab/>
      <w:t xml:space="preserve">    Version: 1.0</w:t>
    </w:r>
  </w:p>
  <w:p w14:paraId="3024B10D" w14:textId="77777777" w:rsidR="00280784" w:rsidRDefault="00280784" w:rsidP="00C36403">
    <w:pPr>
      <w:pStyle w:val="Footer"/>
      <w:tabs>
        <w:tab w:val="clear" w:pos="4153"/>
        <w:tab w:val="clear" w:pos="8306"/>
        <w:tab w:val="left" w:pos="900"/>
        <w:tab w:val="left" w:pos="2520"/>
        <w:tab w:val="right" w:pos="7740"/>
      </w:tabs>
      <w:ind w:right="360"/>
      <w:rPr>
        <w:sz w:val="16"/>
        <w:szCs w:val="16"/>
      </w:rPr>
    </w:pPr>
    <w:r>
      <w:rPr>
        <w:sz w:val="16"/>
        <w:szCs w:val="16"/>
      </w:rPr>
      <w:t xml:space="preserve"> </w:t>
    </w:r>
  </w:p>
  <w:p w14:paraId="0AA916F1" w14:textId="77777777" w:rsidR="00280784" w:rsidRPr="00C36403" w:rsidRDefault="00280784" w:rsidP="00D23F0A">
    <w:pPr>
      <w:shd w:val="clear" w:color="auto" w:fill="FFFFFF"/>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88F84" w14:textId="77777777" w:rsidR="00AF3E52" w:rsidRDefault="00AF3E52">
      <w:r>
        <w:separator/>
      </w:r>
    </w:p>
  </w:footnote>
  <w:footnote w:type="continuationSeparator" w:id="0">
    <w:p w14:paraId="077A596B" w14:textId="77777777" w:rsidR="00AF3E52" w:rsidRDefault="00AF3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B4604" w14:textId="5D3E660B" w:rsidR="00280784" w:rsidRDefault="00B55AA2" w:rsidP="00C36403">
    <w:pPr>
      <w:pStyle w:val="Header"/>
      <w:jc w:val="right"/>
    </w:pPr>
    <w:r>
      <w:t xml:space="preserve">Occupational Therapy Service </w:t>
    </w:r>
    <w:r w:rsidR="00280784">
      <w:t>Policy</w:t>
    </w:r>
  </w:p>
  <w:p w14:paraId="6A99C065" w14:textId="77777777" w:rsidR="00280784" w:rsidRDefault="00280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17F"/>
    <w:multiLevelType w:val="hybridMultilevel"/>
    <w:tmpl w:val="685886FE"/>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 w15:restartNumberingAfterBreak="0">
    <w:nsid w:val="0B8C2920"/>
    <w:multiLevelType w:val="hybridMultilevel"/>
    <w:tmpl w:val="F0A0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47659"/>
    <w:multiLevelType w:val="hybridMultilevel"/>
    <w:tmpl w:val="036C8E5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 w15:restartNumberingAfterBreak="0">
    <w:nsid w:val="104A1747"/>
    <w:multiLevelType w:val="hybridMultilevel"/>
    <w:tmpl w:val="A6B61A0E"/>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 w15:restartNumberingAfterBreak="0">
    <w:nsid w:val="154D55C2"/>
    <w:multiLevelType w:val="hybridMultilevel"/>
    <w:tmpl w:val="60343104"/>
    <w:lvl w:ilvl="0" w:tplc="08090001">
      <w:start w:val="1"/>
      <w:numFmt w:val="bullet"/>
      <w:lvlText w:val=""/>
      <w:lvlJc w:val="left"/>
      <w:pPr>
        <w:ind w:left="581" w:hanging="360"/>
      </w:pPr>
      <w:rPr>
        <w:rFonts w:ascii="Symbol" w:hAnsi="Symbol" w:hint="default"/>
      </w:rPr>
    </w:lvl>
    <w:lvl w:ilvl="1" w:tplc="08090003" w:tentative="1">
      <w:start w:val="1"/>
      <w:numFmt w:val="bullet"/>
      <w:lvlText w:val="o"/>
      <w:lvlJc w:val="left"/>
      <w:pPr>
        <w:ind w:left="1301" w:hanging="360"/>
      </w:pPr>
      <w:rPr>
        <w:rFonts w:ascii="Courier New" w:hAnsi="Courier New" w:cs="Courier New" w:hint="default"/>
      </w:rPr>
    </w:lvl>
    <w:lvl w:ilvl="2" w:tplc="08090005" w:tentative="1">
      <w:start w:val="1"/>
      <w:numFmt w:val="bullet"/>
      <w:lvlText w:val=""/>
      <w:lvlJc w:val="left"/>
      <w:pPr>
        <w:ind w:left="2021" w:hanging="360"/>
      </w:pPr>
      <w:rPr>
        <w:rFonts w:ascii="Wingdings" w:hAnsi="Wingdings" w:hint="default"/>
      </w:rPr>
    </w:lvl>
    <w:lvl w:ilvl="3" w:tplc="08090001" w:tentative="1">
      <w:start w:val="1"/>
      <w:numFmt w:val="bullet"/>
      <w:lvlText w:val=""/>
      <w:lvlJc w:val="left"/>
      <w:pPr>
        <w:ind w:left="2741" w:hanging="360"/>
      </w:pPr>
      <w:rPr>
        <w:rFonts w:ascii="Symbol" w:hAnsi="Symbol" w:hint="default"/>
      </w:rPr>
    </w:lvl>
    <w:lvl w:ilvl="4" w:tplc="08090003" w:tentative="1">
      <w:start w:val="1"/>
      <w:numFmt w:val="bullet"/>
      <w:lvlText w:val="o"/>
      <w:lvlJc w:val="left"/>
      <w:pPr>
        <w:ind w:left="3461" w:hanging="360"/>
      </w:pPr>
      <w:rPr>
        <w:rFonts w:ascii="Courier New" w:hAnsi="Courier New" w:cs="Courier New" w:hint="default"/>
      </w:rPr>
    </w:lvl>
    <w:lvl w:ilvl="5" w:tplc="08090005" w:tentative="1">
      <w:start w:val="1"/>
      <w:numFmt w:val="bullet"/>
      <w:lvlText w:val=""/>
      <w:lvlJc w:val="left"/>
      <w:pPr>
        <w:ind w:left="4181" w:hanging="360"/>
      </w:pPr>
      <w:rPr>
        <w:rFonts w:ascii="Wingdings" w:hAnsi="Wingdings" w:hint="default"/>
      </w:rPr>
    </w:lvl>
    <w:lvl w:ilvl="6" w:tplc="08090001" w:tentative="1">
      <w:start w:val="1"/>
      <w:numFmt w:val="bullet"/>
      <w:lvlText w:val=""/>
      <w:lvlJc w:val="left"/>
      <w:pPr>
        <w:ind w:left="4901" w:hanging="360"/>
      </w:pPr>
      <w:rPr>
        <w:rFonts w:ascii="Symbol" w:hAnsi="Symbol" w:hint="default"/>
      </w:rPr>
    </w:lvl>
    <w:lvl w:ilvl="7" w:tplc="08090003" w:tentative="1">
      <w:start w:val="1"/>
      <w:numFmt w:val="bullet"/>
      <w:lvlText w:val="o"/>
      <w:lvlJc w:val="left"/>
      <w:pPr>
        <w:ind w:left="5621" w:hanging="360"/>
      </w:pPr>
      <w:rPr>
        <w:rFonts w:ascii="Courier New" w:hAnsi="Courier New" w:cs="Courier New" w:hint="default"/>
      </w:rPr>
    </w:lvl>
    <w:lvl w:ilvl="8" w:tplc="08090005" w:tentative="1">
      <w:start w:val="1"/>
      <w:numFmt w:val="bullet"/>
      <w:lvlText w:val=""/>
      <w:lvlJc w:val="left"/>
      <w:pPr>
        <w:ind w:left="6341" w:hanging="360"/>
      </w:pPr>
      <w:rPr>
        <w:rFonts w:ascii="Wingdings" w:hAnsi="Wingdings" w:hint="default"/>
      </w:rPr>
    </w:lvl>
  </w:abstractNum>
  <w:abstractNum w:abstractNumId="5" w15:restartNumberingAfterBreak="0">
    <w:nsid w:val="18CD34F3"/>
    <w:multiLevelType w:val="hybridMultilevel"/>
    <w:tmpl w:val="3BD242F2"/>
    <w:lvl w:ilvl="0" w:tplc="B0065634">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978C1"/>
    <w:multiLevelType w:val="hybridMultilevel"/>
    <w:tmpl w:val="41748008"/>
    <w:lvl w:ilvl="0" w:tplc="2BF0F8C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F50CEB"/>
    <w:multiLevelType w:val="hybridMultilevel"/>
    <w:tmpl w:val="9AD4377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57FC329B"/>
    <w:multiLevelType w:val="hybridMultilevel"/>
    <w:tmpl w:val="509E34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5425249"/>
    <w:multiLevelType w:val="hybridMultilevel"/>
    <w:tmpl w:val="0BAC1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7C40AC"/>
    <w:multiLevelType w:val="hybridMultilevel"/>
    <w:tmpl w:val="ADA0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C18A5"/>
    <w:multiLevelType w:val="hybridMultilevel"/>
    <w:tmpl w:val="656434D6"/>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1134174655">
    <w:abstractNumId w:val="10"/>
  </w:num>
  <w:num w:numId="2" w16cid:durableId="1130590827">
    <w:abstractNumId w:val="6"/>
  </w:num>
  <w:num w:numId="3" w16cid:durableId="1965774509">
    <w:abstractNumId w:val="2"/>
  </w:num>
  <w:num w:numId="4" w16cid:durableId="1953786308">
    <w:abstractNumId w:val="8"/>
  </w:num>
  <w:num w:numId="5" w16cid:durableId="1126317686">
    <w:abstractNumId w:val="3"/>
  </w:num>
  <w:num w:numId="6" w16cid:durableId="1664895616">
    <w:abstractNumId w:val="11"/>
  </w:num>
  <w:num w:numId="7" w16cid:durableId="1488135389">
    <w:abstractNumId w:val="7"/>
  </w:num>
  <w:num w:numId="8" w16cid:durableId="1769959523">
    <w:abstractNumId w:val="0"/>
  </w:num>
  <w:num w:numId="9" w16cid:durableId="1746954988">
    <w:abstractNumId w:val="1"/>
  </w:num>
  <w:num w:numId="10" w16cid:durableId="803043923">
    <w:abstractNumId w:val="4"/>
  </w:num>
  <w:num w:numId="11" w16cid:durableId="1104614808">
    <w:abstractNumId w:val="5"/>
  </w:num>
  <w:num w:numId="12" w16cid:durableId="1774016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0"/>
    <w:rsid w:val="0004571B"/>
    <w:rsid w:val="0007007E"/>
    <w:rsid w:val="00072354"/>
    <w:rsid w:val="000D000C"/>
    <w:rsid w:val="000E5D25"/>
    <w:rsid w:val="000F6CE7"/>
    <w:rsid w:val="00133D64"/>
    <w:rsid w:val="00150FAD"/>
    <w:rsid w:val="0015511B"/>
    <w:rsid w:val="001815D4"/>
    <w:rsid w:val="00186844"/>
    <w:rsid w:val="00187608"/>
    <w:rsid w:val="001A112F"/>
    <w:rsid w:val="001A157C"/>
    <w:rsid w:val="001A2E4A"/>
    <w:rsid w:val="001A6CA6"/>
    <w:rsid w:val="001B6EF3"/>
    <w:rsid w:val="001C0813"/>
    <w:rsid w:val="001E2F7E"/>
    <w:rsid w:val="001E6EC6"/>
    <w:rsid w:val="001F3C0B"/>
    <w:rsid w:val="001F6AAD"/>
    <w:rsid w:val="00214190"/>
    <w:rsid w:val="00237CF0"/>
    <w:rsid w:val="00262C4D"/>
    <w:rsid w:val="002632E6"/>
    <w:rsid w:val="0026604F"/>
    <w:rsid w:val="0027407F"/>
    <w:rsid w:val="00280784"/>
    <w:rsid w:val="0028576E"/>
    <w:rsid w:val="002A75BA"/>
    <w:rsid w:val="002C1DE5"/>
    <w:rsid w:val="002D6736"/>
    <w:rsid w:val="002E51EB"/>
    <w:rsid w:val="002F701D"/>
    <w:rsid w:val="0030118E"/>
    <w:rsid w:val="0031040B"/>
    <w:rsid w:val="003104C2"/>
    <w:rsid w:val="003337FA"/>
    <w:rsid w:val="00361260"/>
    <w:rsid w:val="003657A4"/>
    <w:rsid w:val="00370443"/>
    <w:rsid w:val="00386017"/>
    <w:rsid w:val="00393A30"/>
    <w:rsid w:val="003D4AE6"/>
    <w:rsid w:val="003D6F06"/>
    <w:rsid w:val="003E5895"/>
    <w:rsid w:val="00401697"/>
    <w:rsid w:val="00410453"/>
    <w:rsid w:val="00444317"/>
    <w:rsid w:val="004518BC"/>
    <w:rsid w:val="00453E47"/>
    <w:rsid w:val="004621DA"/>
    <w:rsid w:val="004947EF"/>
    <w:rsid w:val="004C0586"/>
    <w:rsid w:val="004D210B"/>
    <w:rsid w:val="004E2A93"/>
    <w:rsid w:val="005148BF"/>
    <w:rsid w:val="0056247A"/>
    <w:rsid w:val="005630CB"/>
    <w:rsid w:val="0057097A"/>
    <w:rsid w:val="005A45A5"/>
    <w:rsid w:val="005B0301"/>
    <w:rsid w:val="005B1044"/>
    <w:rsid w:val="005E27AA"/>
    <w:rsid w:val="005F29D2"/>
    <w:rsid w:val="005F2BDC"/>
    <w:rsid w:val="00635076"/>
    <w:rsid w:val="00644C32"/>
    <w:rsid w:val="006475E4"/>
    <w:rsid w:val="00664C04"/>
    <w:rsid w:val="00690DA9"/>
    <w:rsid w:val="006A55D1"/>
    <w:rsid w:val="006D2DE7"/>
    <w:rsid w:val="006E4707"/>
    <w:rsid w:val="006E4FE3"/>
    <w:rsid w:val="00700E89"/>
    <w:rsid w:val="00701FF8"/>
    <w:rsid w:val="0071162F"/>
    <w:rsid w:val="00712DFE"/>
    <w:rsid w:val="00721DFA"/>
    <w:rsid w:val="007248EB"/>
    <w:rsid w:val="00737CA8"/>
    <w:rsid w:val="00777909"/>
    <w:rsid w:val="00794470"/>
    <w:rsid w:val="007A542F"/>
    <w:rsid w:val="007B00B2"/>
    <w:rsid w:val="007B4E4F"/>
    <w:rsid w:val="007E4631"/>
    <w:rsid w:val="00823CE6"/>
    <w:rsid w:val="00847EFF"/>
    <w:rsid w:val="0085495F"/>
    <w:rsid w:val="00881E4D"/>
    <w:rsid w:val="008B5FD0"/>
    <w:rsid w:val="008C2A8C"/>
    <w:rsid w:val="008F64B9"/>
    <w:rsid w:val="00931B38"/>
    <w:rsid w:val="00943069"/>
    <w:rsid w:val="00945646"/>
    <w:rsid w:val="009568B1"/>
    <w:rsid w:val="009638EF"/>
    <w:rsid w:val="00974CEA"/>
    <w:rsid w:val="00987D1F"/>
    <w:rsid w:val="00991AEE"/>
    <w:rsid w:val="009969ED"/>
    <w:rsid w:val="009A44B8"/>
    <w:rsid w:val="009C4321"/>
    <w:rsid w:val="009C546C"/>
    <w:rsid w:val="009E5EC2"/>
    <w:rsid w:val="00A02786"/>
    <w:rsid w:val="00A058EA"/>
    <w:rsid w:val="00A22EC8"/>
    <w:rsid w:val="00A45AF9"/>
    <w:rsid w:val="00A45CF4"/>
    <w:rsid w:val="00A475AE"/>
    <w:rsid w:val="00A51E1A"/>
    <w:rsid w:val="00A55D5F"/>
    <w:rsid w:val="00A61A19"/>
    <w:rsid w:val="00AA708B"/>
    <w:rsid w:val="00AB5BDC"/>
    <w:rsid w:val="00AB7FC9"/>
    <w:rsid w:val="00AC419E"/>
    <w:rsid w:val="00AC5DA1"/>
    <w:rsid w:val="00AF3E52"/>
    <w:rsid w:val="00B2399B"/>
    <w:rsid w:val="00B32A36"/>
    <w:rsid w:val="00B32C6B"/>
    <w:rsid w:val="00B3421D"/>
    <w:rsid w:val="00B55AA2"/>
    <w:rsid w:val="00B56EDA"/>
    <w:rsid w:val="00B601FE"/>
    <w:rsid w:val="00B61BE3"/>
    <w:rsid w:val="00B77401"/>
    <w:rsid w:val="00B94742"/>
    <w:rsid w:val="00BE1131"/>
    <w:rsid w:val="00BE57AC"/>
    <w:rsid w:val="00BF1A9D"/>
    <w:rsid w:val="00C25399"/>
    <w:rsid w:val="00C36403"/>
    <w:rsid w:val="00C9288B"/>
    <w:rsid w:val="00C9351E"/>
    <w:rsid w:val="00C95F97"/>
    <w:rsid w:val="00CA1981"/>
    <w:rsid w:val="00D01B3A"/>
    <w:rsid w:val="00D05697"/>
    <w:rsid w:val="00D23586"/>
    <w:rsid w:val="00D239C5"/>
    <w:rsid w:val="00D23F0A"/>
    <w:rsid w:val="00D32CE7"/>
    <w:rsid w:val="00D42292"/>
    <w:rsid w:val="00D559A7"/>
    <w:rsid w:val="00D67E1A"/>
    <w:rsid w:val="00D7242F"/>
    <w:rsid w:val="00D81A13"/>
    <w:rsid w:val="00DB0BA3"/>
    <w:rsid w:val="00E11A45"/>
    <w:rsid w:val="00E1526C"/>
    <w:rsid w:val="00E311C3"/>
    <w:rsid w:val="00E325BF"/>
    <w:rsid w:val="00E362F9"/>
    <w:rsid w:val="00E516C2"/>
    <w:rsid w:val="00E63417"/>
    <w:rsid w:val="00E7269E"/>
    <w:rsid w:val="00E73C35"/>
    <w:rsid w:val="00E80633"/>
    <w:rsid w:val="00E924AF"/>
    <w:rsid w:val="00EE3B4D"/>
    <w:rsid w:val="00F067C0"/>
    <w:rsid w:val="00F23EBD"/>
    <w:rsid w:val="00F27B6A"/>
    <w:rsid w:val="00F30D93"/>
    <w:rsid w:val="00F33C86"/>
    <w:rsid w:val="00F44610"/>
    <w:rsid w:val="00F45CE7"/>
    <w:rsid w:val="00F544D1"/>
    <w:rsid w:val="00F760D7"/>
    <w:rsid w:val="00F961BF"/>
    <w:rsid w:val="00FA2C74"/>
    <w:rsid w:val="56580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ADAB58"/>
  <w15:chartTrackingRefBased/>
  <w15:docId w15:val="{3A79ABD7-6CEC-4438-A595-148E39E6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uiPriority w:val="9"/>
    <w:qFormat/>
    <w:rsid w:val="005E27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paragraph" w:customStyle="1" w:styleId="Char1CharChar">
    <w:name w:val="Char1 Char Char"/>
    <w:basedOn w:val="Normal"/>
    <w:rsid w:val="00D01B3A"/>
    <w:pPr>
      <w:keepLines/>
      <w:autoSpaceDE w:val="0"/>
      <w:autoSpaceDN w:val="0"/>
      <w:adjustRightInd w:val="0"/>
    </w:pPr>
    <w:rPr>
      <w:rFonts w:ascii="Times New Roman" w:hAnsi="Times New Roman" w:cs="Arial"/>
      <w:lang w:eastAsia="en-US"/>
    </w:rPr>
  </w:style>
  <w:style w:type="character" w:styleId="Hyperlink">
    <w:name w:val="Hyperlink"/>
    <w:uiPriority w:val="99"/>
    <w:rsid w:val="00D23F0A"/>
    <w:rPr>
      <w:color w:val="0000FF"/>
      <w:u w:val="single"/>
    </w:rPr>
  </w:style>
  <w:style w:type="character" w:styleId="PageNumber">
    <w:name w:val="page number"/>
    <w:basedOn w:val="DefaultParagraphFont"/>
    <w:rsid w:val="00C36403"/>
  </w:style>
  <w:style w:type="paragraph" w:styleId="BalloonText">
    <w:name w:val="Balloon Text"/>
    <w:basedOn w:val="Normal"/>
    <w:link w:val="BalloonTextChar"/>
    <w:uiPriority w:val="99"/>
    <w:semiHidden/>
    <w:unhideWhenUsed/>
    <w:rsid w:val="00214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190"/>
    <w:rPr>
      <w:rFonts w:ascii="Segoe UI" w:hAnsi="Segoe UI" w:cs="Segoe UI"/>
      <w:sz w:val="18"/>
      <w:szCs w:val="18"/>
    </w:rPr>
  </w:style>
  <w:style w:type="character" w:styleId="PlaceholderText">
    <w:name w:val="Placeholder Text"/>
    <w:uiPriority w:val="99"/>
    <w:semiHidden/>
    <w:rsid w:val="00D42292"/>
    <w:rPr>
      <w:color w:val="808080"/>
    </w:rPr>
  </w:style>
  <w:style w:type="paragraph" w:styleId="ListParagraph">
    <w:name w:val="List Paragraph"/>
    <w:basedOn w:val="Normal"/>
    <w:uiPriority w:val="34"/>
    <w:qFormat/>
    <w:rsid w:val="00D42292"/>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uiPriority w:val="9"/>
    <w:rsid w:val="005E27AA"/>
    <w:rPr>
      <w:rFonts w:asciiTheme="majorHAnsi" w:eastAsiaTheme="majorEastAsia" w:hAnsiTheme="majorHAnsi" w:cstheme="majorBidi"/>
      <w:color w:val="2E74B5" w:themeColor="accent1" w:themeShade="BF"/>
      <w:sz w:val="32"/>
      <w:szCs w:val="32"/>
    </w:rPr>
  </w:style>
  <w:style w:type="character" w:customStyle="1" w:styleId="legds2">
    <w:name w:val="legds2"/>
    <w:basedOn w:val="DefaultParagraphFont"/>
    <w:rsid w:val="005E27AA"/>
    <w:rPr>
      <w:vanish w:val="0"/>
      <w:webHidden w:val="0"/>
      <w:specVanish w:val="0"/>
    </w:rPr>
  </w:style>
  <w:style w:type="paragraph" w:customStyle="1" w:styleId="utilclearfloats">
    <w:name w:val="utilclearfloats"/>
    <w:basedOn w:val="Normal"/>
    <w:rsid w:val="005E27AA"/>
    <w:pPr>
      <w:spacing w:after="240"/>
    </w:pPr>
    <w:rPr>
      <w:rFonts w:ascii="Times New Roman" w:hAnsi="Times New Roman"/>
      <w:color w:val="111111"/>
    </w:rPr>
  </w:style>
  <w:style w:type="paragraph" w:styleId="NoSpacing">
    <w:name w:val="No Spacing"/>
    <w:uiPriority w:val="1"/>
    <w:qFormat/>
    <w:rsid w:val="005E27AA"/>
    <w:pPr>
      <w:ind w:left="591" w:right="80" w:hanging="370"/>
    </w:pPr>
    <w:rPr>
      <w:rFonts w:ascii="Arial" w:eastAsia="Arial" w:hAnsi="Arial" w:cs="Arial"/>
      <w:color w:val="000000"/>
      <w:sz w:val="24"/>
      <w:szCs w:val="22"/>
    </w:rPr>
  </w:style>
  <w:style w:type="character" w:styleId="FollowedHyperlink">
    <w:name w:val="FollowedHyperlink"/>
    <w:basedOn w:val="DefaultParagraphFont"/>
    <w:uiPriority w:val="99"/>
    <w:semiHidden/>
    <w:unhideWhenUsed/>
    <w:rsid w:val="001C0813"/>
    <w:rPr>
      <w:color w:val="954F72" w:themeColor="followedHyperlink"/>
      <w:u w:val="single"/>
    </w:rPr>
  </w:style>
  <w:style w:type="character" w:styleId="UnresolvedMention">
    <w:name w:val="Unresolved Mention"/>
    <w:basedOn w:val="DefaultParagraphFont"/>
    <w:uiPriority w:val="99"/>
    <w:semiHidden/>
    <w:unhideWhenUsed/>
    <w:rsid w:val="007B00B2"/>
    <w:rPr>
      <w:color w:val="605E5C"/>
      <w:shd w:val="clear" w:color="auto" w:fill="E1DFDD"/>
    </w:rPr>
  </w:style>
  <w:style w:type="table" w:customStyle="1" w:styleId="TableGrid0">
    <w:name w:val="TableGrid"/>
    <w:rsid w:val="00A058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3D4AE6"/>
    <w:pPr>
      <w:spacing w:line="259" w:lineRule="auto"/>
      <w:outlineLvl w:val="9"/>
    </w:pPr>
    <w:rPr>
      <w:lang w:val="en-US" w:eastAsia="en-US"/>
    </w:rPr>
  </w:style>
  <w:style w:type="paragraph" w:styleId="TOC1">
    <w:name w:val="toc 1"/>
    <w:basedOn w:val="Normal"/>
    <w:next w:val="Normal"/>
    <w:autoRedefine/>
    <w:uiPriority w:val="39"/>
    <w:unhideWhenUsed/>
    <w:rsid w:val="003D4AE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ome.nottscc.gov.uk/working/policies-performance/policy/policy-library/occupational-therapy-recommending-major-adaptations" TargetMode="External"/><Relationship Id="rId18" Type="http://schemas.openxmlformats.org/officeDocument/2006/relationships/hyperlink" Target="http://home.nottscc.gov.uk/working/policies-performance/policy/policy-library/transition-planning-for-young-people-with-disabilities" TargetMode="External"/><Relationship Id="rId26" Type="http://schemas.openxmlformats.org/officeDocument/2006/relationships/hyperlink" Target="http://www.legislation.gov.uk/ukpga/1996/53/section/24" TargetMode="External"/><Relationship Id="rId39" Type="http://schemas.openxmlformats.org/officeDocument/2006/relationships/hyperlink" Target="http://home.nottscc.gov.uk/working/policies-performance/policy/policy-library/occupational-therapy-recommending-major-adaptations" TargetMode="External"/><Relationship Id="rId21" Type="http://schemas.openxmlformats.org/officeDocument/2006/relationships/hyperlink" Target="http://www.legislation.gov.uk/ukpga/1995/50/contents" TargetMode="External"/><Relationship Id="rId34" Type="http://schemas.openxmlformats.org/officeDocument/2006/relationships/hyperlink" Target="http://www.legislation.gov.uk/ukpga/2014/23/part/1/crossheading/transition-for-children-to-adult-care-and-support-etc/enacted" TargetMode="External"/><Relationship Id="rId42" Type="http://schemas.openxmlformats.org/officeDocument/2006/relationships/hyperlink" Target="http://home.nottscc.gov.uk/working/policies-performance/policy/policy-library/disabled-facilities-grant-ncc-contribution-fund"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home.nottscc.gov.uk/working/policies-performance/policy/policy-library/integrated-community-equipment-service-personal-budgets-for-community-equipment-guidance" TargetMode="External"/><Relationship Id="rId29" Type="http://schemas.openxmlformats.org/officeDocument/2006/relationships/hyperlink" Target="http://home.nottscc.gov.uk/working/policies-performance/policy/policy-library/integrated-community-equipment-loan-service-policy-for-the-loan-of-equipment-into-registered-care-homes-for-adults-and-older-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home.nottscc.gov.uk/working/policies-performance/policy/policy-library/occupational-therapy-loan-of-equipment-and-provision-of-minor-adaptations" TargetMode="External"/><Relationship Id="rId32" Type="http://schemas.openxmlformats.org/officeDocument/2006/relationships/hyperlink" Target="https://www.nottshelpyourself.org.uk/kb5/nottinghamshire/directory/home.page" TargetMode="External"/><Relationship Id="rId37" Type="http://schemas.openxmlformats.org/officeDocument/2006/relationships/hyperlink" Target="http://home.nottscc.gov.uk/working/policies-performance/policy/policy-library/integrated-community-equipment-service-personal-budgets-for-community-equipment-guidance" TargetMode="External"/><Relationship Id="rId40" Type="http://schemas.openxmlformats.org/officeDocument/2006/relationships/hyperlink" Target="http://www.legislation.gov.uk/ukpga/1996/53/section/21"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home.nottscc.gov.uk/working/policies-performance/policy/policy-library/disabled-facilities-grant-ncc-contribution-fund" TargetMode="External"/><Relationship Id="rId23" Type="http://schemas.openxmlformats.org/officeDocument/2006/relationships/hyperlink" Target="http://www.legislation.gov.uk/uksi/1992/2793/made" TargetMode="External"/><Relationship Id="rId28" Type="http://schemas.openxmlformats.org/officeDocument/2006/relationships/hyperlink" Target="http://www.legislation.gov.uk/ukpga/2000/14/contents" TargetMode="External"/><Relationship Id="rId36" Type="http://schemas.openxmlformats.org/officeDocument/2006/relationships/hyperlink" Target="http://home.nottscc.gov.uk/working/policies-performance/policy/policy-library/occupational-therapy-loan-of-equipment-and-provision-of-minor-adaptations" TargetMode="External"/><Relationship Id="rId10" Type="http://schemas.openxmlformats.org/officeDocument/2006/relationships/endnotes" Target="endnotes.xml"/><Relationship Id="rId19" Type="http://schemas.openxmlformats.org/officeDocument/2006/relationships/hyperlink" Target="https://www.gov.uk/government/publications/disabled-facilities-grant-dfg-delivery-guidance-for-local-authorities-in-england/disabled-facilities-grant-dfg-delivery-guidance-for-local-authorities-in-england" TargetMode="External"/><Relationship Id="rId31" Type="http://schemas.openxmlformats.org/officeDocument/2006/relationships/hyperlink" Target="http://home.nottscc.gov.uk/working/policies-performance/policy/policy-library/single-handed-car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nottscc.gov.uk/working/policies-performance/policy/policy-library/single-handed-care" TargetMode="External"/><Relationship Id="rId22" Type="http://schemas.openxmlformats.org/officeDocument/2006/relationships/hyperlink" Target="http://www.legislation.gov.uk/ukpga/1996/53/contents" TargetMode="External"/><Relationship Id="rId27" Type="http://schemas.openxmlformats.org/officeDocument/2006/relationships/hyperlink" Target="http://home.nottscc.gov.uk/working/policies-performance/policy/policy-library/occupational-therapy-recommending-major-adaptations" TargetMode="External"/><Relationship Id="rId30" Type="http://schemas.openxmlformats.org/officeDocument/2006/relationships/hyperlink" Target="http://www.legislation.gov.uk/uksi/1992/2793/contents/made" TargetMode="External"/><Relationship Id="rId35" Type="http://schemas.openxmlformats.org/officeDocument/2006/relationships/hyperlink" Target="http://home.nottscc.gov.uk/working/policies-performance/policy/policy-library/transition-planning-for-young-people-with-disabilities"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home.nottscc.gov.uk/working/policies-performance/policy/policy-library/occupational-therapy-loan-of-equipment-and-provision-of-minor-adaptations" TargetMode="External"/><Relationship Id="rId17" Type="http://schemas.openxmlformats.org/officeDocument/2006/relationships/hyperlink" Target="http://home.nottscc.gov.uk/working/policies-performance/policy/policy-library/integrated-community-equipment-loan-service-policy-for-the-loan-of-equipment-into-registered-care-homes-for-adults-and-older-people" TargetMode="External"/><Relationship Id="rId25" Type="http://schemas.openxmlformats.org/officeDocument/2006/relationships/hyperlink" Target="http://www.legislation.gov.uk/ukpga/1996/53/part/I/chapter/I/crossheading/disabled-facilities-grants" TargetMode="External"/><Relationship Id="rId33" Type="http://schemas.openxmlformats.org/officeDocument/2006/relationships/hyperlink" Target="http://www.legislation.gov.uk/ukpga/2014/23/section/13/enacted" TargetMode="External"/><Relationship Id="rId38" Type="http://schemas.openxmlformats.org/officeDocument/2006/relationships/hyperlink" Target="http://home.nottscc.gov.uk/working/policies-performance/policy/policy-library/integrated-community-equipment-loan-service-policy-for-the-loan-of-equipment-into-registered-care-homes-for-adults-and-older-people" TargetMode="External"/><Relationship Id="rId46" Type="http://schemas.openxmlformats.org/officeDocument/2006/relationships/glossaryDocument" Target="glossary/document.xml"/><Relationship Id="rId20" Type="http://schemas.openxmlformats.org/officeDocument/2006/relationships/hyperlink" Target="http://www.legislation.gov.uk/ukpga/2014/23/contents/enacted" TargetMode="External"/><Relationship Id="rId41" Type="http://schemas.openxmlformats.org/officeDocument/2006/relationships/hyperlink" Target="http://www.legislation.gov.uk/ukpga/1996/53/section/22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6B6DA8AC324FB7B1E43F8A85D93952"/>
        <w:category>
          <w:name w:val="General"/>
          <w:gallery w:val="placeholder"/>
        </w:category>
        <w:types>
          <w:type w:val="bbPlcHdr"/>
        </w:types>
        <w:behaviors>
          <w:behavior w:val="content"/>
        </w:behaviors>
        <w:guid w:val="{2535AFA8-E5A6-4E65-9585-0A393D0A6D01}"/>
      </w:docPartPr>
      <w:docPartBody>
        <w:p w:rsidR="00C127A6" w:rsidRDefault="00B444D4" w:rsidP="00B444D4">
          <w:pPr>
            <w:pStyle w:val="536B6DA8AC324FB7B1E43F8A85D93952"/>
          </w:pPr>
          <w:r w:rsidRPr="00F91E2F">
            <w:rPr>
              <w:rStyle w:val="PlaceholderText"/>
            </w:rPr>
            <w:t>Click here to enter a date.</w:t>
          </w:r>
        </w:p>
      </w:docPartBody>
    </w:docPart>
    <w:docPart>
      <w:docPartPr>
        <w:name w:val="A310161FC3A84E5DA236B5FE05C12F35"/>
        <w:category>
          <w:name w:val="General"/>
          <w:gallery w:val="placeholder"/>
        </w:category>
        <w:types>
          <w:type w:val="bbPlcHdr"/>
        </w:types>
        <w:behaviors>
          <w:behavior w:val="content"/>
        </w:behaviors>
        <w:guid w:val="{D3780DEA-E133-48AD-89D8-B29C0FC868B2}"/>
      </w:docPartPr>
      <w:docPartBody>
        <w:p w:rsidR="00C127A6" w:rsidRDefault="00B444D4" w:rsidP="00B444D4">
          <w:pPr>
            <w:pStyle w:val="A310161FC3A84E5DA236B5FE05C12F35"/>
          </w:pPr>
          <w:r w:rsidRPr="00F91E2F">
            <w:rPr>
              <w:rStyle w:val="PlaceholderText"/>
            </w:rPr>
            <w:t>Click here to enter a date.</w:t>
          </w:r>
        </w:p>
      </w:docPartBody>
    </w:docPart>
    <w:docPart>
      <w:docPartPr>
        <w:name w:val="F481D7DEF0794872B0A794DC40A0C05F"/>
        <w:category>
          <w:name w:val="General"/>
          <w:gallery w:val="placeholder"/>
        </w:category>
        <w:types>
          <w:type w:val="bbPlcHdr"/>
        </w:types>
        <w:behaviors>
          <w:behavior w:val="content"/>
        </w:behaviors>
        <w:guid w:val="{559FA855-69C8-465D-A41B-394B6163E289}"/>
      </w:docPartPr>
      <w:docPartBody>
        <w:p w:rsidR="00C127A6" w:rsidRDefault="00B444D4" w:rsidP="00B444D4">
          <w:pPr>
            <w:pStyle w:val="F481D7DEF0794872B0A794DC40A0C05F"/>
          </w:pPr>
          <w:r w:rsidRPr="005818ED">
            <w:rPr>
              <w:rStyle w:val="PlaceholderText"/>
            </w:rPr>
            <w:t>Choose an item.</w:t>
          </w:r>
        </w:p>
      </w:docPartBody>
    </w:docPart>
    <w:docPart>
      <w:docPartPr>
        <w:name w:val="A73E2E68590544C6AFC4C2DBDD77F5B2"/>
        <w:category>
          <w:name w:val="General"/>
          <w:gallery w:val="placeholder"/>
        </w:category>
        <w:types>
          <w:type w:val="bbPlcHdr"/>
        </w:types>
        <w:behaviors>
          <w:behavior w:val="content"/>
        </w:behaviors>
        <w:guid w:val="{96A46D62-AB96-4D85-B891-81A12A2AE6E1}"/>
      </w:docPartPr>
      <w:docPartBody>
        <w:p w:rsidR="00C127A6" w:rsidRDefault="00B444D4" w:rsidP="00B444D4">
          <w:pPr>
            <w:pStyle w:val="A73E2E68590544C6AFC4C2DBDD77F5B2"/>
          </w:pPr>
          <w:r w:rsidRPr="00E44EB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E6"/>
    <w:rsid w:val="006D2DE7"/>
    <w:rsid w:val="00823CE6"/>
    <w:rsid w:val="00B444D4"/>
    <w:rsid w:val="00C127A6"/>
    <w:rsid w:val="00E311C3"/>
    <w:rsid w:val="00F56845"/>
    <w:rsid w:val="00FD6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444D4"/>
    <w:rPr>
      <w:color w:val="808080"/>
    </w:rPr>
  </w:style>
  <w:style w:type="paragraph" w:customStyle="1" w:styleId="536B6DA8AC324FB7B1E43F8A85D93952">
    <w:name w:val="536B6DA8AC324FB7B1E43F8A85D93952"/>
    <w:rsid w:val="00B444D4"/>
  </w:style>
  <w:style w:type="paragraph" w:customStyle="1" w:styleId="A310161FC3A84E5DA236B5FE05C12F35">
    <w:name w:val="A310161FC3A84E5DA236B5FE05C12F35"/>
    <w:rsid w:val="00B444D4"/>
  </w:style>
  <w:style w:type="paragraph" w:customStyle="1" w:styleId="F481D7DEF0794872B0A794DC40A0C05F">
    <w:name w:val="F481D7DEF0794872B0A794DC40A0C05F"/>
    <w:rsid w:val="00B444D4"/>
  </w:style>
  <w:style w:type="paragraph" w:customStyle="1" w:styleId="A73E2E68590544C6AFC4C2DBDD77F5B2">
    <w:name w:val="A73E2E68590544C6AFC4C2DBDD77F5B2"/>
    <w:rsid w:val="00B444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0882D285008B449534F1CC8720F8A5" ma:contentTypeVersion="16" ma:contentTypeDescription="Create a new document." ma:contentTypeScope="" ma:versionID="5fdd741b01552fd0721d6bc2079f798f">
  <xsd:schema xmlns:xsd="http://www.w3.org/2001/XMLSchema" xmlns:xs="http://www.w3.org/2001/XMLSchema" xmlns:p="http://schemas.microsoft.com/office/2006/metadata/properties" xmlns:ns2="7f7c714c-a929-4ba2-820d-d24d9401169e" xmlns:ns3="9e8feb4a-2e94-44b3-a528-01d62593f1ac" xmlns:ns4="88cc1ac3-d661-4513-9676-173c55b04fe2" targetNamespace="http://schemas.microsoft.com/office/2006/metadata/properties" ma:root="true" ma:fieldsID="5be7c86a8fb0235ae5a3c2820c549d34" ns2:_="" ns3:_="" ns4:_="">
    <xsd:import namespace="7f7c714c-a929-4ba2-820d-d24d9401169e"/>
    <xsd:import namespace="9e8feb4a-2e94-44b3-a528-01d62593f1ac"/>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Typ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c714c-a929-4ba2-820d-d24d94011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Type" ma:index="18" nillable="true" ma:displayName="Document Type" ma:format="Dropdown" ma:internalName="DocumentType">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8feb4a-2e94-44b3-a528-01d62593f1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82c74ed-626c-4d89-8498-f621f8e93123}" ma:internalName="TaxCatchAll" ma:showField="CatchAllData" ma:web="9e8feb4a-2e94-44b3-a528-01d62593f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7f7c714c-a929-4ba2-820d-d24d9401169e" xsi:nil="true"/>
    <TaxCatchAll xmlns="88cc1ac3-d661-4513-9676-173c55b04fe2" xsi:nil="true"/>
    <lcf76f155ced4ddcb4097134ff3c332f xmlns="7f7c714c-a929-4ba2-820d-d24d940116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93DC7-5177-43FA-8190-810365A50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c714c-a929-4ba2-820d-d24d9401169e"/>
    <ds:schemaRef ds:uri="9e8feb4a-2e94-44b3-a528-01d62593f1ac"/>
    <ds:schemaRef ds:uri="88cc1ac3-d661-4513-9676-173c55b0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9B08A-77EB-47D4-9B8E-958D4DA98411}">
  <ds:schemaRefs>
    <ds:schemaRef ds:uri="http://schemas.microsoft.com/sharepoint/v3/contenttype/forms"/>
  </ds:schemaRefs>
</ds:datastoreItem>
</file>

<file path=customXml/itemProps3.xml><?xml version="1.0" encoding="utf-8"?>
<ds:datastoreItem xmlns:ds="http://schemas.openxmlformats.org/officeDocument/2006/customXml" ds:itemID="{38A61812-993F-4CA0-94DD-F7DD00030F5C}">
  <ds:schemaRefs>
    <ds:schemaRef ds:uri="http://schemas.microsoft.com/office/2006/metadata/properties"/>
    <ds:schemaRef ds:uri="http://schemas.microsoft.com/office/infopath/2007/PartnerControls"/>
    <ds:schemaRef ds:uri="7f7c714c-a929-4ba2-820d-d24d9401169e"/>
    <ds:schemaRef ds:uri="88cc1ac3-d661-4513-9676-173c55b04fe2"/>
  </ds:schemaRefs>
</ds:datastoreItem>
</file>

<file path=customXml/itemProps4.xml><?xml version="1.0" encoding="utf-8"?>
<ds:datastoreItem xmlns:ds="http://schemas.openxmlformats.org/officeDocument/2006/customXml" ds:itemID="{92830080-1685-4E8F-9FE6-394C40A2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ap285</dc:creator>
  <cp:keywords/>
  <dc:description/>
  <cp:lastModifiedBy>Helen Manser</cp:lastModifiedBy>
  <cp:revision>83</cp:revision>
  <cp:lastPrinted>2012-10-31T12:31:00Z</cp:lastPrinted>
  <dcterms:created xsi:type="dcterms:W3CDTF">2023-08-09T12:24:00Z</dcterms:created>
  <dcterms:modified xsi:type="dcterms:W3CDTF">2023-08-09T13:39:00Z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0x010100260882D285008B449534F1CC8720F8A5</vt:lpwstr>
  </property>
</Properties>
</file>