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051CD" w14:textId="5DA8E415" w:rsidR="009C6A63" w:rsidRPr="009C6A63" w:rsidRDefault="009C6A63" w:rsidP="009C6A63">
      <w:pPr>
        <w:spacing w:after="0" w:line="240" w:lineRule="auto"/>
        <w:rPr>
          <w:rFonts w:ascii="Calibri" w:eastAsia="Calibri" w:hAnsi="Calibri" w:cs="Calibri"/>
          <w:b/>
          <w:bCs/>
        </w:rPr>
      </w:pPr>
      <w:r w:rsidRPr="009C6A63">
        <w:rPr>
          <w:rFonts w:ascii="Calibri" w:eastAsia="Calibri" w:hAnsi="Calibri" w:cs="Calibri"/>
          <w:b/>
          <w:bCs/>
        </w:rPr>
        <w:t>FOI Request – COVID-19 Response:</w:t>
      </w:r>
    </w:p>
    <w:p w14:paraId="3342E77A" w14:textId="77777777" w:rsidR="009C6A63" w:rsidRDefault="009C6A63" w:rsidP="009C6A63">
      <w:pPr>
        <w:spacing w:after="0" w:line="240" w:lineRule="auto"/>
        <w:rPr>
          <w:rFonts w:ascii="Calibri" w:eastAsia="Calibri" w:hAnsi="Calibri" w:cs="Calibri"/>
        </w:rPr>
      </w:pPr>
    </w:p>
    <w:p w14:paraId="6D2FD13B" w14:textId="5AFFDD5C" w:rsidR="0054239A" w:rsidRPr="003D2D4B" w:rsidRDefault="009C6A63" w:rsidP="00095920">
      <w:pPr>
        <w:spacing w:after="120" w:line="240" w:lineRule="auto"/>
        <w:rPr>
          <w:rFonts w:ascii="Calibri" w:eastAsia="Calibri" w:hAnsi="Calibri" w:cs="Calibri"/>
          <w:b/>
          <w:bCs/>
          <w:color w:val="FF0000"/>
        </w:rPr>
      </w:pPr>
      <w:r w:rsidRPr="003D2D4B">
        <w:rPr>
          <w:rFonts w:ascii="Calibri" w:eastAsia="Calibri" w:hAnsi="Calibri" w:cs="Calibri"/>
          <w:b/>
          <w:bCs/>
        </w:rPr>
        <w:t>The date on which the NCC launched its COVID-19 response.</w:t>
      </w:r>
    </w:p>
    <w:p w14:paraId="54EC8C74" w14:textId="26E9AA1D" w:rsidR="00626D8E" w:rsidRPr="003D2D4B" w:rsidRDefault="00626D8E" w:rsidP="009C6A63">
      <w:pPr>
        <w:spacing w:after="0" w:line="240" w:lineRule="auto"/>
        <w:rPr>
          <w:rFonts w:ascii="Calibri" w:eastAsia="Calibri" w:hAnsi="Calibri" w:cs="Calibri"/>
        </w:rPr>
      </w:pPr>
      <w:r w:rsidRPr="003D2D4B">
        <w:rPr>
          <w:rFonts w:ascii="Calibri" w:eastAsia="Calibri" w:hAnsi="Calibri" w:cs="Calibri"/>
        </w:rPr>
        <w:t xml:space="preserve">Nottinghamshire County Council closely monitored national and international developments as they emerged regarding the COVID-19 pandemic (including key dates, such as the World Health Organisation declaring COVID-19 a Public Health Emergency of International Concern (PHEIC) on 30 January 2020 and declaring the outbreak of COVID-19 as a pandemic on 11 March 2020). A comprehensive multi-agency local structure was established through the Nottingham and Nottinghamshire Local Resilience Forum (LRF) to respond to the COVID-19 pandemic, with Nottinghamshire County Council playing a key role in outbreak control, humanitarian assistance, logistics, health and social care, testing, transport and infrastructure, finance, economy, excess death, coordination of local authority services and recovery. </w:t>
      </w:r>
    </w:p>
    <w:p w14:paraId="3AD71DE3" w14:textId="77777777" w:rsidR="00626D8E" w:rsidRPr="003D2D4B" w:rsidRDefault="00626D8E" w:rsidP="009C6A63">
      <w:pPr>
        <w:spacing w:after="0" w:line="240" w:lineRule="auto"/>
        <w:rPr>
          <w:rFonts w:ascii="Calibri" w:eastAsia="Calibri" w:hAnsi="Calibri" w:cs="Calibri"/>
        </w:rPr>
      </w:pPr>
    </w:p>
    <w:p w14:paraId="1E4D05B9" w14:textId="0F8367A6" w:rsidR="008C1331" w:rsidRPr="003D2D4B" w:rsidRDefault="00626D8E" w:rsidP="009C6A63">
      <w:pPr>
        <w:spacing w:after="0" w:line="240" w:lineRule="auto"/>
        <w:rPr>
          <w:rFonts w:ascii="Calibri" w:eastAsia="Calibri" w:hAnsi="Calibri" w:cs="Calibri"/>
        </w:rPr>
      </w:pPr>
      <w:r w:rsidRPr="003D2D4B">
        <w:rPr>
          <w:rFonts w:ascii="Calibri" w:eastAsia="Calibri" w:hAnsi="Calibri" w:cs="Calibri"/>
        </w:rPr>
        <w:t>The Strategic Coordinating Group (SCG) is chaired by Nottinghamshire Police, sits at the apex of the COVID-19 response structure and  is responsible for establishing and maintaining effective multi-agency arrangements to respond to the COVID-19 pandemic. The first meeting of the SCG took place on 13 February 2020.</w:t>
      </w:r>
      <w:r w:rsidR="00137422" w:rsidRPr="003D2D4B">
        <w:rPr>
          <w:rFonts w:ascii="Calibri" w:eastAsia="Calibri" w:hAnsi="Calibri" w:cs="Calibri"/>
        </w:rPr>
        <w:t xml:space="preserve"> </w:t>
      </w:r>
      <w:r w:rsidRPr="003D2D4B">
        <w:rPr>
          <w:rFonts w:ascii="Calibri" w:eastAsia="Calibri" w:hAnsi="Calibri" w:cs="Calibri"/>
        </w:rPr>
        <w:t xml:space="preserve">The first meeting of the Tactical Coordinating Group (TCG), which reports in to the SCG and is responsible for enacting the strategic objectives of the SCG and overseeing multiple response sub-groups and cells, took place on 12 March 2020, the day after the WHO declaration of the pandemic. Nottinghamshire County Council published its Local Outbreak Management Plan in June 2020. This has subsequently been refreshed in March 2021 and is available </w:t>
      </w:r>
      <w:hyperlink r:id="rId8" w:history="1">
        <w:r w:rsidRPr="00891A0F">
          <w:rPr>
            <w:rStyle w:val="Hyperlink"/>
            <w:rFonts w:ascii="Calibri" w:eastAsia="Calibri" w:hAnsi="Calibri" w:cs="Calibri"/>
          </w:rPr>
          <w:t>o</w:t>
        </w:r>
        <w:r w:rsidRPr="00891A0F">
          <w:rPr>
            <w:rStyle w:val="Hyperlink"/>
            <w:rFonts w:ascii="Calibri" w:eastAsia="Calibri" w:hAnsi="Calibri" w:cs="Calibri"/>
          </w:rPr>
          <w:t>n</w:t>
        </w:r>
        <w:r w:rsidRPr="00891A0F">
          <w:rPr>
            <w:rStyle w:val="Hyperlink"/>
            <w:rFonts w:ascii="Calibri" w:eastAsia="Calibri" w:hAnsi="Calibri" w:cs="Calibri"/>
          </w:rPr>
          <w:t>line</w:t>
        </w:r>
      </w:hyperlink>
      <w:r w:rsidRPr="003D2D4B">
        <w:rPr>
          <w:rFonts w:ascii="Calibri" w:eastAsia="Calibri" w:hAnsi="Calibri" w:cs="Calibri"/>
        </w:rPr>
        <w:t>.</w:t>
      </w:r>
    </w:p>
    <w:p w14:paraId="134E5072" w14:textId="77777777" w:rsidR="00626D8E" w:rsidRPr="009C6A63" w:rsidRDefault="00626D8E" w:rsidP="009C6A63">
      <w:pPr>
        <w:spacing w:after="0" w:line="240" w:lineRule="auto"/>
        <w:rPr>
          <w:rFonts w:ascii="Calibri" w:eastAsia="Calibri" w:hAnsi="Calibri" w:cs="Calibri"/>
        </w:rPr>
      </w:pPr>
    </w:p>
    <w:p w14:paraId="46AAF0EE" w14:textId="076D6D2D" w:rsidR="0054239A" w:rsidRPr="003D2D4B" w:rsidRDefault="009C6A63" w:rsidP="00095920">
      <w:pPr>
        <w:spacing w:after="120" w:line="240" w:lineRule="auto"/>
        <w:rPr>
          <w:rFonts w:ascii="Calibri" w:eastAsia="Calibri" w:hAnsi="Calibri" w:cs="Calibri"/>
          <w:b/>
          <w:bCs/>
          <w:color w:val="FF0000"/>
        </w:rPr>
      </w:pPr>
      <w:r w:rsidRPr="003D2D4B">
        <w:rPr>
          <w:rFonts w:ascii="Calibri" w:eastAsia="Calibri" w:hAnsi="Calibri" w:cs="Calibri"/>
          <w:b/>
          <w:bCs/>
        </w:rPr>
        <w:t>The person or persons with overall direct control of co-ordinating the response.</w:t>
      </w:r>
      <w:r w:rsidR="00050606" w:rsidRPr="003D2D4B">
        <w:rPr>
          <w:rFonts w:ascii="Calibri" w:eastAsia="Calibri" w:hAnsi="Calibri" w:cs="Calibri"/>
          <w:b/>
          <w:bCs/>
        </w:rPr>
        <w:t xml:space="preserve"> </w:t>
      </w:r>
    </w:p>
    <w:p w14:paraId="6626D9F3" w14:textId="7CB1A8F0" w:rsidR="009C6A63" w:rsidRPr="00582299" w:rsidRDefault="00582299" w:rsidP="009C6A63">
      <w:pPr>
        <w:spacing w:after="0" w:line="240" w:lineRule="auto"/>
        <w:rPr>
          <w:rFonts w:ascii="Calibri" w:eastAsia="Calibri" w:hAnsi="Calibri" w:cs="Calibri"/>
        </w:rPr>
      </w:pPr>
      <w:r w:rsidRPr="003D2D4B">
        <w:rPr>
          <w:rFonts w:ascii="Calibri" w:eastAsia="Calibri" w:hAnsi="Calibri" w:cs="Calibri"/>
        </w:rPr>
        <w:t>The Director of Public Health has overall responsibility for the local outbreak response. Please</w:t>
      </w:r>
      <w:r w:rsidR="00050606" w:rsidRPr="003D2D4B">
        <w:rPr>
          <w:rFonts w:ascii="Calibri" w:eastAsia="Calibri" w:hAnsi="Calibri" w:cs="Calibri"/>
        </w:rPr>
        <w:t xml:space="preserve"> see the </w:t>
      </w:r>
      <w:hyperlink r:id="rId9" w:history="1">
        <w:r w:rsidR="00EC2E9E" w:rsidRPr="00582299">
          <w:rPr>
            <w:rStyle w:val="Hyperlink"/>
            <w:rFonts w:ascii="Calibri" w:eastAsia="Calibri" w:hAnsi="Calibri" w:cs="Calibri"/>
          </w:rPr>
          <w:t>COVID-19 contain framework: a guide for local</w:t>
        </w:r>
        <w:r w:rsidR="00EC2E9E" w:rsidRPr="00582299">
          <w:rPr>
            <w:rStyle w:val="Hyperlink"/>
            <w:rFonts w:ascii="Calibri" w:eastAsia="Calibri" w:hAnsi="Calibri" w:cs="Calibri"/>
          </w:rPr>
          <w:t xml:space="preserve"> </w:t>
        </w:r>
        <w:r w:rsidR="00EC2E9E" w:rsidRPr="00582299">
          <w:rPr>
            <w:rStyle w:val="Hyperlink"/>
            <w:rFonts w:ascii="Calibri" w:eastAsia="Calibri" w:hAnsi="Calibri" w:cs="Calibri"/>
          </w:rPr>
          <w:t>decision-makers</w:t>
        </w:r>
      </w:hyperlink>
      <w:r w:rsidR="00EC2E9E" w:rsidRPr="00582299">
        <w:rPr>
          <w:rFonts w:ascii="Calibri" w:eastAsia="Calibri" w:hAnsi="Calibri" w:cs="Calibri"/>
          <w:color w:val="FF0000"/>
        </w:rPr>
        <w:t xml:space="preserve"> </w:t>
      </w:r>
      <w:r w:rsidRPr="003D2D4B">
        <w:rPr>
          <w:rFonts w:ascii="Calibri" w:eastAsia="Calibri" w:hAnsi="Calibri" w:cs="Calibri"/>
        </w:rPr>
        <w:t xml:space="preserve">for further detail regarding local roles </w:t>
      </w:r>
      <w:r w:rsidR="00EC2E9E" w:rsidRPr="003D2D4B">
        <w:rPr>
          <w:rFonts w:ascii="Calibri" w:eastAsia="Calibri" w:hAnsi="Calibri" w:cs="Calibri"/>
        </w:rPr>
        <w:t>and responsibilities</w:t>
      </w:r>
      <w:r w:rsidR="002546B5" w:rsidRPr="003D2D4B">
        <w:rPr>
          <w:rFonts w:ascii="Calibri" w:eastAsia="Calibri" w:hAnsi="Calibri" w:cs="Calibri"/>
        </w:rPr>
        <w:t xml:space="preserve"> in </w:t>
      </w:r>
      <w:r w:rsidR="009501C7" w:rsidRPr="003D2D4B">
        <w:rPr>
          <w:rFonts w:ascii="Calibri" w:eastAsia="Calibri" w:hAnsi="Calibri" w:cs="Calibri"/>
        </w:rPr>
        <w:t xml:space="preserve">relation to </w:t>
      </w:r>
      <w:r w:rsidR="002546B5" w:rsidRPr="003D2D4B">
        <w:rPr>
          <w:rFonts w:ascii="Calibri" w:eastAsia="Calibri" w:hAnsi="Calibri" w:cs="Calibri"/>
        </w:rPr>
        <w:t xml:space="preserve">the prevention, </w:t>
      </w:r>
      <w:r w:rsidR="00050606" w:rsidRPr="003D2D4B">
        <w:rPr>
          <w:rFonts w:ascii="Calibri" w:eastAsia="Calibri" w:hAnsi="Calibri" w:cs="Calibri"/>
        </w:rPr>
        <w:t>management,</w:t>
      </w:r>
      <w:r w:rsidR="002546B5" w:rsidRPr="003D2D4B">
        <w:rPr>
          <w:rFonts w:ascii="Calibri" w:eastAsia="Calibri" w:hAnsi="Calibri" w:cs="Calibri"/>
        </w:rPr>
        <w:t xml:space="preserve"> and containment of COVID-19 outbreaks. </w:t>
      </w:r>
    </w:p>
    <w:p w14:paraId="7CBADE50" w14:textId="77777777" w:rsidR="008C1331" w:rsidRPr="009C6A63" w:rsidRDefault="008C1331" w:rsidP="009C6A63">
      <w:pPr>
        <w:spacing w:after="0" w:line="240" w:lineRule="auto"/>
        <w:rPr>
          <w:rFonts w:ascii="Calibri" w:eastAsia="Calibri" w:hAnsi="Calibri" w:cs="Calibri"/>
          <w:i/>
          <w:iCs/>
        </w:rPr>
      </w:pPr>
    </w:p>
    <w:p w14:paraId="7B841E0F" w14:textId="473F53FB" w:rsidR="009C6A63" w:rsidRPr="003D2D4B" w:rsidRDefault="009C6A63" w:rsidP="009C6A63">
      <w:pPr>
        <w:spacing w:after="0" w:line="240" w:lineRule="auto"/>
        <w:rPr>
          <w:rFonts w:ascii="Calibri" w:eastAsia="Calibri" w:hAnsi="Calibri" w:cs="Calibri"/>
          <w:b/>
          <w:bCs/>
          <w:i/>
          <w:iCs/>
          <w:color w:val="FF0000"/>
        </w:rPr>
      </w:pPr>
      <w:r w:rsidRPr="003D2D4B">
        <w:rPr>
          <w:rFonts w:ascii="Calibri" w:eastAsia="Calibri" w:hAnsi="Calibri" w:cs="Calibri"/>
          <w:b/>
          <w:bCs/>
        </w:rPr>
        <w:t>The amount of money a)</w:t>
      </w:r>
      <w:r w:rsidR="00B336A6" w:rsidRPr="003D2D4B">
        <w:rPr>
          <w:rFonts w:ascii="Calibri" w:eastAsia="Calibri" w:hAnsi="Calibri" w:cs="Calibri"/>
          <w:b/>
          <w:bCs/>
        </w:rPr>
        <w:t xml:space="preserve"> </w:t>
      </w:r>
      <w:r w:rsidRPr="003D2D4B">
        <w:rPr>
          <w:rFonts w:ascii="Calibri" w:eastAsia="Calibri" w:hAnsi="Calibri" w:cs="Calibri"/>
          <w:b/>
          <w:bCs/>
        </w:rPr>
        <w:t xml:space="preserve">spent b) budgeted c) allocated or earmarked on the COVID-19 response in the following years:- </w:t>
      </w:r>
    </w:p>
    <w:p w14:paraId="16821D0A" w14:textId="77777777" w:rsidR="009C6A63" w:rsidRPr="003D2D4B" w:rsidRDefault="009C6A63" w:rsidP="009C6A63">
      <w:pPr>
        <w:spacing w:after="0" w:line="240" w:lineRule="auto"/>
        <w:rPr>
          <w:rFonts w:ascii="Calibri" w:eastAsia="Calibri" w:hAnsi="Calibri" w:cs="Calibri"/>
          <w:b/>
          <w:bCs/>
        </w:rPr>
      </w:pPr>
    </w:p>
    <w:p w14:paraId="38DF73F1" w14:textId="77777777" w:rsidR="002E12F8" w:rsidRPr="003D2D4B" w:rsidRDefault="009C6A63" w:rsidP="00095920">
      <w:pPr>
        <w:pStyle w:val="ListParagraph"/>
        <w:numPr>
          <w:ilvl w:val="0"/>
          <w:numId w:val="1"/>
        </w:numPr>
        <w:spacing w:after="120" w:line="240" w:lineRule="auto"/>
        <w:ind w:left="714" w:hanging="357"/>
        <w:rPr>
          <w:rFonts w:ascii="Calibri" w:eastAsia="Calibri" w:hAnsi="Calibri" w:cs="Calibri"/>
          <w:b/>
          <w:bCs/>
        </w:rPr>
      </w:pPr>
      <w:r w:rsidRPr="003D2D4B">
        <w:rPr>
          <w:rFonts w:ascii="Calibri" w:eastAsia="Calibri" w:hAnsi="Calibri" w:cs="Calibri"/>
          <w:b/>
          <w:bCs/>
        </w:rPr>
        <w:t>2018/2019</w:t>
      </w:r>
    </w:p>
    <w:p w14:paraId="18A0B837" w14:textId="45C4EE0E" w:rsidR="009C6A63" w:rsidRPr="003D2D4B" w:rsidRDefault="007032D7" w:rsidP="002E12F8">
      <w:pPr>
        <w:spacing w:after="0" w:line="240" w:lineRule="auto"/>
        <w:ind w:left="360"/>
        <w:rPr>
          <w:rFonts w:ascii="Calibri" w:eastAsia="Calibri" w:hAnsi="Calibri" w:cs="Calibri"/>
        </w:rPr>
      </w:pPr>
      <w:r w:rsidRPr="003D2D4B">
        <w:rPr>
          <w:rFonts w:ascii="Calibri" w:eastAsia="Calibri" w:hAnsi="Calibri" w:cs="Calibri"/>
        </w:rPr>
        <w:t>None</w:t>
      </w:r>
      <w:r w:rsidR="000D3B25" w:rsidRPr="003D2D4B">
        <w:rPr>
          <w:rFonts w:ascii="Calibri" w:eastAsia="Calibri" w:hAnsi="Calibri" w:cs="Calibri"/>
        </w:rPr>
        <w:t>.</w:t>
      </w:r>
    </w:p>
    <w:p w14:paraId="6637E7A1" w14:textId="77777777" w:rsidR="00E84D63" w:rsidRPr="00095920" w:rsidRDefault="00E84D63" w:rsidP="00095920">
      <w:pPr>
        <w:spacing w:after="0" w:line="240" w:lineRule="auto"/>
        <w:rPr>
          <w:rFonts w:ascii="Calibri" w:eastAsia="Calibri" w:hAnsi="Calibri" w:cs="Calibri"/>
        </w:rPr>
      </w:pPr>
    </w:p>
    <w:p w14:paraId="729E9867" w14:textId="77777777" w:rsidR="002E12F8" w:rsidRPr="003D2D4B" w:rsidRDefault="009C6A63" w:rsidP="00095920">
      <w:pPr>
        <w:pStyle w:val="ListParagraph"/>
        <w:numPr>
          <w:ilvl w:val="0"/>
          <w:numId w:val="1"/>
        </w:numPr>
        <w:spacing w:after="120" w:line="240" w:lineRule="auto"/>
        <w:ind w:left="714" w:hanging="357"/>
        <w:rPr>
          <w:rFonts w:ascii="Calibri" w:eastAsia="Calibri" w:hAnsi="Calibri" w:cs="Calibri"/>
          <w:b/>
          <w:bCs/>
        </w:rPr>
      </w:pPr>
      <w:r w:rsidRPr="003D2D4B">
        <w:rPr>
          <w:rFonts w:ascii="Calibri" w:eastAsia="Calibri" w:hAnsi="Calibri" w:cs="Calibri"/>
          <w:b/>
          <w:bCs/>
        </w:rPr>
        <w:t>2019/2020</w:t>
      </w:r>
    </w:p>
    <w:p w14:paraId="68C7D691" w14:textId="26F5CD23" w:rsidR="009C6A63" w:rsidRPr="003D2D4B" w:rsidRDefault="00DC6BEC" w:rsidP="002E12F8">
      <w:pPr>
        <w:spacing w:after="0" w:line="240" w:lineRule="auto"/>
        <w:ind w:left="360"/>
        <w:rPr>
          <w:rFonts w:ascii="Calibri" w:eastAsia="Calibri" w:hAnsi="Calibri" w:cs="Calibri"/>
        </w:rPr>
      </w:pPr>
      <w:r w:rsidRPr="003D2D4B">
        <w:rPr>
          <w:rFonts w:ascii="Calibri" w:eastAsia="Calibri" w:hAnsi="Calibri" w:cs="Calibri"/>
        </w:rPr>
        <w:t>Minimal spend (not separately identifiable)</w:t>
      </w:r>
      <w:r w:rsidR="000D3B25" w:rsidRPr="003D2D4B">
        <w:rPr>
          <w:rFonts w:ascii="Calibri" w:eastAsia="Calibri" w:hAnsi="Calibri" w:cs="Calibri"/>
        </w:rPr>
        <w:t>, none budgeted or allocated.</w:t>
      </w:r>
    </w:p>
    <w:p w14:paraId="553057E5" w14:textId="77777777" w:rsidR="00E84D63" w:rsidRPr="00095920" w:rsidRDefault="00E84D63" w:rsidP="00095920">
      <w:pPr>
        <w:spacing w:after="0" w:line="240" w:lineRule="auto"/>
        <w:ind w:left="360"/>
        <w:rPr>
          <w:rFonts w:ascii="Calibri" w:eastAsia="Calibri" w:hAnsi="Calibri" w:cs="Calibri"/>
        </w:rPr>
      </w:pPr>
    </w:p>
    <w:p w14:paraId="6D444FA1" w14:textId="77777777" w:rsidR="002E12F8" w:rsidRPr="003D2D4B" w:rsidRDefault="009C6A63" w:rsidP="00095920">
      <w:pPr>
        <w:pStyle w:val="ListParagraph"/>
        <w:numPr>
          <w:ilvl w:val="0"/>
          <w:numId w:val="1"/>
        </w:numPr>
        <w:spacing w:after="120" w:line="240" w:lineRule="auto"/>
        <w:ind w:left="714" w:hanging="357"/>
        <w:rPr>
          <w:rFonts w:ascii="Calibri" w:eastAsia="Calibri" w:hAnsi="Calibri" w:cs="Calibri"/>
          <w:b/>
          <w:bCs/>
        </w:rPr>
      </w:pPr>
      <w:r w:rsidRPr="003D2D4B">
        <w:rPr>
          <w:rFonts w:ascii="Calibri" w:eastAsia="Calibri" w:hAnsi="Calibri" w:cs="Calibri"/>
          <w:b/>
          <w:bCs/>
        </w:rPr>
        <w:t>2020/2021</w:t>
      </w:r>
    </w:p>
    <w:p w14:paraId="3C2E5B48" w14:textId="34C3F69B" w:rsidR="00D25963" w:rsidRPr="003D2D4B" w:rsidRDefault="000D3B25" w:rsidP="00095920">
      <w:pPr>
        <w:spacing w:after="0" w:line="240" w:lineRule="auto"/>
        <w:ind w:left="360"/>
        <w:rPr>
          <w:rFonts w:ascii="Calibri" w:eastAsia="Calibri" w:hAnsi="Calibri" w:cs="Calibri"/>
        </w:rPr>
      </w:pPr>
      <w:r w:rsidRPr="003D2D4B">
        <w:rPr>
          <w:rFonts w:ascii="Calibri" w:eastAsia="Calibri" w:hAnsi="Calibri" w:cs="Calibri"/>
        </w:rPr>
        <w:t xml:space="preserve">None </w:t>
      </w:r>
      <w:r w:rsidR="00C35472" w:rsidRPr="003D2D4B">
        <w:rPr>
          <w:rFonts w:ascii="Calibri" w:eastAsia="Calibri" w:hAnsi="Calibri" w:cs="Calibri"/>
        </w:rPr>
        <w:t>budgeted, allocations became apparent during the year as grants were allocated. Actual spend summarised below</w:t>
      </w:r>
      <w:r w:rsidR="00E6183F" w:rsidRPr="003D2D4B">
        <w:rPr>
          <w:rFonts w:ascii="Calibri" w:eastAsia="Calibri" w:hAnsi="Calibri" w:cs="Calibri"/>
        </w:rPr>
        <w:t>, correct as per Delta return for the 2020/21</w:t>
      </w:r>
      <w:r w:rsidR="00E3122F" w:rsidRPr="003D2D4B">
        <w:rPr>
          <w:rFonts w:ascii="Calibri" w:eastAsia="Calibri" w:hAnsi="Calibri" w:cs="Calibri"/>
        </w:rPr>
        <w:t xml:space="preserve"> </w:t>
      </w:r>
      <w:r w:rsidR="00E6183F" w:rsidRPr="003D2D4B">
        <w:rPr>
          <w:rFonts w:ascii="Calibri" w:eastAsia="Calibri" w:hAnsi="Calibri" w:cs="Calibri"/>
        </w:rPr>
        <w:t>year</w:t>
      </w:r>
      <w:r w:rsidR="0032411E" w:rsidRPr="003D2D4B">
        <w:rPr>
          <w:rFonts w:ascii="Calibri" w:eastAsia="Calibri" w:hAnsi="Calibri" w:cs="Calibri"/>
        </w:rPr>
        <w:t>-</w:t>
      </w:r>
      <w:r w:rsidR="00E6183F" w:rsidRPr="003D2D4B">
        <w:rPr>
          <w:rFonts w:ascii="Calibri" w:eastAsia="Calibri" w:hAnsi="Calibri" w:cs="Calibri"/>
        </w:rPr>
        <w:t>end:</w:t>
      </w:r>
    </w:p>
    <w:p w14:paraId="4F230A6F" w14:textId="77777777" w:rsidR="009254EC" w:rsidRPr="003D2D4B" w:rsidRDefault="009254EC" w:rsidP="00D25963">
      <w:pPr>
        <w:spacing w:after="0" w:line="240" w:lineRule="auto"/>
        <w:rPr>
          <w:rFonts w:ascii="Calibri" w:eastAsia="Calibri" w:hAnsi="Calibri" w:cs="Calibri"/>
        </w:rPr>
      </w:pPr>
    </w:p>
    <w:tbl>
      <w:tblPr>
        <w:tblW w:w="9260" w:type="dxa"/>
        <w:tblInd w:w="2" w:type="dxa"/>
        <w:tblCellMar>
          <w:left w:w="0" w:type="dxa"/>
          <w:right w:w="0" w:type="dxa"/>
        </w:tblCellMar>
        <w:tblLook w:val="04A0" w:firstRow="1" w:lastRow="0" w:firstColumn="1" w:lastColumn="0" w:noHBand="0" w:noVBand="1"/>
      </w:tblPr>
      <w:tblGrid>
        <w:gridCol w:w="8300"/>
        <w:gridCol w:w="960"/>
      </w:tblGrid>
      <w:tr w:rsidR="003D2D4B" w:rsidRPr="003D2D4B" w14:paraId="76697203" w14:textId="77777777" w:rsidTr="009C39DB">
        <w:trPr>
          <w:trHeight w:val="300"/>
        </w:trPr>
        <w:tc>
          <w:tcPr>
            <w:tcW w:w="8300" w:type="dxa"/>
            <w:tcBorders>
              <w:top w:val="single" w:sz="8" w:space="0" w:color="auto"/>
              <w:left w:val="single" w:sz="8" w:space="0" w:color="auto"/>
              <w:bottom w:val="single" w:sz="8" w:space="0" w:color="auto"/>
              <w:right w:val="single" w:sz="8" w:space="0" w:color="auto"/>
            </w:tcBorders>
            <w:shd w:val="clear" w:color="auto" w:fill="F1F7ED"/>
            <w:tcMar>
              <w:top w:w="0" w:type="dxa"/>
              <w:left w:w="108" w:type="dxa"/>
              <w:bottom w:w="0" w:type="dxa"/>
              <w:right w:w="108" w:type="dxa"/>
            </w:tcMar>
            <w:vAlign w:val="center"/>
            <w:hideMark/>
          </w:tcPr>
          <w:p w14:paraId="28291252" w14:textId="77777777" w:rsidR="009C39DB" w:rsidRPr="003D2D4B" w:rsidRDefault="009C39DB">
            <w:pPr>
              <w:rPr>
                <w:b/>
                <w:bCs/>
                <w:lang w:eastAsia="en-GB"/>
              </w:rPr>
            </w:pPr>
            <w:r w:rsidRPr="003D2D4B">
              <w:rPr>
                <w:b/>
                <w:bCs/>
                <w:lang w:eastAsia="en-GB"/>
              </w:rPr>
              <w:t>Service area</w:t>
            </w:r>
          </w:p>
        </w:tc>
        <w:tc>
          <w:tcPr>
            <w:tcW w:w="960" w:type="dxa"/>
            <w:tcBorders>
              <w:top w:val="single" w:sz="8" w:space="0" w:color="auto"/>
              <w:left w:val="nil"/>
              <w:bottom w:val="single" w:sz="8" w:space="0" w:color="auto"/>
              <w:right w:val="single" w:sz="8" w:space="0" w:color="auto"/>
            </w:tcBorders>
            <w:shd w:val="clear" w:color="auto" w:fill="F1F7ED"/>
            <w:tcMar>
              <w:top w:w="0" w:type="dxa"/>
              <w:left w:w="108" w:type="dxa"/>
              <w:bottom w:w="0" w:type="dxa"/>
              <w:right w:w="108" w:type="dxa"/>
            </w:tcMar>
            <w:vAlign w:val="bottom"/>
            <w:hideMark/>
          </w:tcPr>
          <w:p w14:paraId="4AB0A9A8" w14:textId="77777777" w:rsidR="009C39DB" w:rsidRPr="003D2D4B" w:rsidRDefault="009C39DB">
            <w:pPr>
              <w:jc w:val="center"/>
              <w:rPr>
                <w:b/>
                <w:bCs/>
                <w:lang w:eastAsia="en-GB"/>
              </w:rPr>
            </w:pPr>
            <w:r w:rsidRPr="003D2D4B">
              <w:rPr>
                <w:b/>
                <w:bCs/>
                <w:lang w:eastAsia="en-GB"/>
              </w:rPr>
              <w:t>£m</w:t>
            </w:r>
          </w:p>
        </w:tc>
      </w:tr>
      <w:tr w:rsidR="003D2D4B" w:rsidRPr="003D2D4B" w14:paraId="6DC13F94" w14:textId="77777777" w:rsidTr="003D2D4B">
        <w:trPr>
          <w:trHeight w:val="300"/>
        </w:trPr>
        <w:tc>
          <w:tcPr>
            <w:tcW w:w="83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647D114" w14:textId="77777777" w:rsidR="009C39DB" w:rsidRPr="003D2D4B" w:rsidRDefault="009C39DB">
            <w:pPr>
              <w:rPr>
                <w:i/>
                <w:iCs/>
                <w:lang w:eastAsia="en-GB"/>
              </w:rPr>
            </w:pPr>
            <w:r w:rsidRPr="003D2D4B">
              <w:rPr>
                <w:i/>
                <w:iCs/>
                <w:lang w:eastAsia="en-GB"/>
              </w:rPr>
              <w:t>Adult social care sub total</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C2CCCFF" w14:textId="77777777" w:rsidR="009C39DB" w:rsidRPr="003D2D4B" w:rsidRDefault="009C39DB">
            <w:pPr>
              <w:jc w:val="right"/>
              <w:rPr>
                <w:i/>
                <w:iCs/>
                <w:sz w:val="20"/>
                <w:szCs w:val="20"/>
                <w:lang w:eastAsia="en-GB"/>
              </w:rPr>
            </w:pPr>
            <w:r w:rsidRPr="003D2D4B">
              <w:rPr>
                <w:i/>
                <w:iCs/>
                <w:sz w:val="20"/>
                <w:szCs w:val="20"/>
                <w:lang w:eastAsia="en-GB"/>
              </w:rPr>
              <w:t>48.576</w:t>
            </w:r>
          </w:p>
        </w:tc>
      </w:tr>
      <w:tr w:rsidR="003D2D4B" w:rsidRPr="003D2D4B" w14:paraId="0F472D90" w14:textId="77777777" w:rsidTr="003D2D4B">
        <w:trPr>
          <w:trHeight w:val="300"/>
        </w:trPr>
        <w:tc>
          <w:tcPr>
            <w:tcW w:w="83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9B11504" w14:textId="77777777" w:rsidR="009C39DB" w:rsidRPr="003D2D4B" w:rsidRDefault="009C39DB">
            <w:pPr>
              <w:rPr>
                <w:i/>
                <w:iCs/>
                <w:lang w:eastAsia="en-GB"/>
              </w:rPr>
            </w:pPr>
            <w:r w:rsidRPr="003D2D4B">
              <w:rPr>
                <w:i/>
                <w:iCs/>
                <w:lang w:eastAsia="en-GB"/>
              </w:rPr>
              <w:t>Children's Social Care  sub total</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98004DC" w14:textId="77777777" w:rsidR="009C39DB" w:rsidRPr="003D2D4B" w:rsidRDefault="009C39DB">
            <w:pPr>
              <w:jc w:val="right"/>
              <w:rPr>
                <w:i/>
                <w:iCs/>
                <w:sz w:val="20"/>
                <w:szCs w:val="20"/>
                <w:lang w:eastAsia="en-GB"/>
              </w:rPr>
            </w:pPr>
            <w:r w:rsidRPr="003D2D4B">
              <w:rPr>
                <w:i/>
                <w:iCs/>
                <w:sz w:val="20"/>
                <w:szCs w:val="20"/>
                <w:lang w:eastAsia="en-GB"/>
              </w:rPr>
              <w:t>12.635</w:t>
            </w:r>
          </w:p>
        </w:tc>
      </w:tr>
      <w:tr w:rsidR="003D2D4B" w:rsidRPr="003D2D4B" w14:paraId="4B81BEEA" w14:textId="77777777" w:rsidTr="003D2D4B">
        <w:trPr>
          <w:trHeight w:val="300"/>
        </w:trPr>
        <w:tc>
          <w:tcPr>
            <w:tcW w:w="83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8ABA549" w14:textId="77777777" w:rsidR="009C39DB" w:rsidRPr="003D2D4B" w:rsidRDefault="009C39DB">
            <w:pPr>
              <w:rPr>
                <w:i/>
                <w:iCs/>
                <w:lang w:eastAsia="en-GB"/>
              </w:rPr>
            </w:pPr>
            <w:r w:rsidRPr="003D2D4B">
              <w:rPr>
                <w:i/>
                <w:iCs/>
                <w:lang w:eastAsia="en-GB"/>
              </w:rPr>
              <w:t>Education sub total</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BF0AF4C" w14:textId="77777777" w:rsidR="009C39DB" w:rsidRPr="003D2D4B" w:rsidRDefault="009C39DB">
            <w:pPr>
              <w:jc w:val="right"/>
              <w:rPr>
                <w:i/>
                <w:iCs/>
                <w:sz w:val="20"/>
                <w:szCs w:val="20"/>
                <w:lang w:eastAsia="en-GB"/>
              </w:rPr>
            </w:pPr>
            <w:r w:rsidRPr="003D2D4B">
              <w:rPr>
                <w:i/>
                <w:iCs/>
                <w:sz w:val="20"/>
                <w:szCs w:val="20"/>
                <w:lang w:eastAsia="en-GB"/>
              </w:rPr>
              <w:t>1.777</w:t>
            </w:r>
          </w:p>
        </w:tc>
      </w:tr>
      <w:tr w:rsidR="003D2D4B" w:rsidRPr="003D2D4B" w14:paraId="6997D666" w14:textId="77777777" w:rsidTr="003D2D4B">
        <w:trPr>
          <w:trHeight w:val="300"/>
        </w:trPr>
        <w:tc>
          <w:tcPr>
            <w:tcW w:w="83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B85FBB6" w14:textId="77777777" w:rsidR="009C39DB" w:rsidRPr="003D2D4B" w:rsidRDefault="009C39DB">
            <w:pPr>
              <w:rPr>
                <w:i/>
                <w:iCs/>
                <w:lang w:eastAsia="en-GB"/>
              </w:rPr>
            </w:pPr>
            <w:r w:rsidRPr="003D2D4B">
              <w:rPr>
                <w:i/>
                <w:iCs/>
                <w:lang w:eastAsia="en-GB"/>
              </w:rPr>
              <w:lastRenderedPageBreak/>
              <w:t xml:space="preserve">Public Health sub total </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E1653C0" w14:textId="77777777" w:rsidR="009C39DB" w:rsidRPr="003D2D4B" w:rsidRDefault="009C39DB">
            <w:pPr>
              <w:jc w:val="right"/>
              <w:rPr>
                <w:i/>
                <w:iCs/>
                <w:sz w:val="20"/>
                <w:szCs w:val="20"/>
                <w:lang w:eastAsia="en-GB"/>
              </w:rPr>
            </w:pPr>
            <w:r w:rsidRPr="003D2D4B">
              <w:rPr>
                <w:i/>
                <w:iCs/>
                <w:sz w:val="20"/>
                <w:szCs w:val="20"/>
                <w:lang w:eastAsia="en-GB"/>
              </w:rPr>
              <w:t>3.702</w:t>
            </w:r>
          </w:p>
        </w:tc>
      </w:tr>
      <w:tr w:rsidR="003D2D4B" w:rsidRPr="003D2D4B" w14:paraId="5032031D" w14:textId="77777777" w:rsidTr="003D2D4B">
        <w:trPr>
          <w:trHeight w:val="300"/>
        </w:trPr>
        <w:tc>
          <w:tcPr>
            <w:tcW w:w="83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08E565" w14:textId="77777777" w:rsidR="009C39DB" w:rsidRPr="003D2D4B" w:rsidRDefault="009C39DB">
            <w:pPr>
              <w:rPr>
                <w:i/>
                <w:iCs/>
                <w:lang w:eastAsia="en-GB"/>
              </w:rPr>
            </w:pPr>
            <w:r w:rsidRPr="003D2D4B">
              <w:rPr>
                <w:i/>
                <w:iCs/>
                <w:lang w:eastAsia="en-GB"/>
              </w:rPr>
              <w:t>Highways and Transport</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D54FB1A" w14:textId="77777777" w:rsidR="009C39DB" w:rsidRPr="003D2D4B" w:rsidRDefault="009C39DB">
            <w:pPr>
              <w:jc w:val="right"/>
              <w:rPr>
                <w:i/>
                <w:iCs/>
                <w:sz w:val="20"/>
                <w:szCs w:val="20"/>
                <w:lang w:eastAsia="en-GB"/>
              </w:rPr>
            </w:pPr>
            <w:r w:rsidRPr="003D2D4B">
              <w:rPr>
                <w:i/>
                <w:iCs/>
                <w:sz w:val="20"/>
                <w:szCs w:val="20"/>
                <w:lang w:eastAsia="en-GB"/>
              </w:rPr>
              <w:t>1.611</w:t>
            </w:r>
          </w:p>
        </w:tc>
      </w:tr>
      <w:tr w:rsidR="003D2D4B" w:rsidRPr="003D2D4B" w14:paraId="386F4CAB" w14:textId="77777777" w:rsidTr="003D2D4B">
        <w:trPr>
          <w:trHeight w:val="300"/>
        </w:trPr>
        <w:tc>
          <w:tcPr>
            <w:tcW w:w="83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AE5FB4" w14:textId="77777777" w:rsidR="009C39DB" w:rsidRPr="003D2D4B" w:rsidRDefault="009C39DB">
            <w:pPr>
              <w:rPr>
                <w:i/>
                <w:iCs/>
                <w:lang w:eastAsia="en-GB"/>
              </w:rPr>
            </w:pPr>
            <w:r w:rsidRPr="003D2D4B">
              <w:rPr>
                <w:i/>
                <w:iCs/>
                <w:lang w:eastAsia="en-GB"/>
              </w:rPr>
              <w:t>Cultural &amp; related sub total</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19A5303" w14:textId="77777777" w:rsidR="009C39DB" w:rsidRPr="003D2D4B" w:rsidRDefault="009C39DB">
            <w:pPr>
              <w:jc w:val="right"/>
              <w:rPr>
                <w:i/>
                <w:iCs/>
                <w:sz w:val="20"/>
                <w:szCs w:val="20"/>
                <w:lang w:eastAsia="en-GB"/>
              </w:rPr>
            </w:pPr>
            <w:r w:rsidRPr="003D2D4B">
              <w:rPr>
                <w:i/>
                <w:iCs/>
                <w:sz w:val="20"/>
                <w:szCs w:val="20"/>
                <w:lang w:eastAsia="en-GB"/>
              </w:rPr>
              <w:t>1.603</w:t>
            </w:r>
          </w:p>
        </w:tc>
      </w:tr>
      <w:tr w:rsidR="003D2D4B" w:rsidRPr="003D2D4B" w14:paraId="77E244FF" w14:textId="77777777" w:rsidTr="003D2D4B">
        <w:trPr>
          <w:trHeight w:val="300"/>
        </w:trPr>
        <w:tc>
          <w:tcPr>
            <w:tcW w:w="83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DD06E7" w14:textId="77777777" w:rsidR="009C39DB" w:rsidRPr="003D2D4B" w:rsidRDefault="009C39DB">
            <w:pPr>
              <w:rPr>
                <w:i/>
                <w:iCs/>
                <w:lang w:eastAsia="en-GB"/>
              </w:rPr>
            </w:pPr>
            <w:r w:rsidRPr="003D2D4B">
              <w:rPr>
                <w:i/>
                <w:iCs/>
                <w:lang w:eastAsia="en-GB"/>
              </w:rPr>
              <w:t>Environment &amp; regulatory - sub total</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A5E8A08" w14:textId="77777777" w:rsidR="009C39DB" w:rsidRPr="003D2D4B" w:rsidRDefault="009C39DB">
            <w:pPr>
              <w:jc w:val="right"/>
              <w:rPr>
                <w:i/>
                <w:iCs/>
                <w:sz w:val="20"/>
                <w:szCs w:val="20"/>
                <w:lang w:eastAsia="en-GB"/>
              </w:rPr>
            </w:pPr>
            <w:r w:rsidRPr="003D2D4B">
              <w:rPr>
                <w:i/>
                <w:iCs/>
                <w:sz w:val="20"/>
                <w:szCs w:val="20"/>
                <w:lang w:eastAsia="en-GB"/>
              </w:rPr>
              <w:t>4.064</w:t>
            </w:r>
          </w:p>
        </w:tc>
      </w:tr>
      <w:tr w:rsidR="003D2D4B" w:rsidRPr="003D2D4B" w14:paraId="3116496D" w14:textId="77777777" w:rsidTr="003D2D4B">
        <w:trPr>
          <w:trHeight w:val="300"/>
        </w:trPr>
        <w:tc>
          <w:tcPr>
            <w:tcW w:w="83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7DE0A6" w14:textId="4A5D0A8D" w:rsidR="009C39DB" w:rsidRPr="003D2D4B" w:rsidRDefault="009C39DB">
            <w:pPr>
              <w:rPr>
                <w:i/>
                <w:iCs/>
                <w:lang w:eastAsia="en-GB"/>
              </w:rPr>
            </w:pPr>
            <w:r w:rsidRPr="003D2D4B">
              <w:rPr>
                <w:i/>
                <w:iCs/>
                <w:lang w:eastAsia="en-GB"/>
              </w:rPr>
              <w:t xml:space="preserve">Finance &amp; corporate - </w:t>
            </w:r>
            <w:r w:rsidR="003D2D4B" w:rsidRPr="003D2D4B">
              <w:rPr>
                <w:i/>
                <w:iCs/>
                <w:lang w:eastAsia="en-GB"/>
              </w:rPr>
              <w:t>subtotal</w:t>
            </w:r>
            <w:r w:rsidR="00437430" w:rsidRPr="003D2D4B">
              <w:rPr>
                <w:i/>
                <w:iCs/>
                <w:lang w:eastAsia="en-GB"/>
              </w:rPr>
              <w:t>`</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E201D70" w14:textId="77777777" w:rsidR="009C39DB" w:rsidRPr="003D2D4B" w:rsidRDefault="009C39DB">
            <w:pPr>
              <w:jc w:val="right"/>
              <w:rPr>
                <w:i/>
                <w:iCs/>
                <w:sz w:val="20"/>
                <w:szCs w:val="20"/>
                <w:lang w:eastAsia="en-GB"/>
              </w:rPr>
            </w:pPr>
            <w:r w:rsidRPr="003D2D4B">
              <w:rPr>
                <w:i/>
                <w:iCs/>
                <w:sz w:val="20"/>
                <w:szCs w:val="20"/>
                <w:lang w:eastAsia="en-GB"/>
              </w:rPr>
              <w:t>4.254</w:t>
            </w:r>
          </w:p>
        </w:tc>
      </w:tr>
      <w:tr w:rsidR="003D2D4B" w:rsidRPr="003D2D4B" w14:paraId="526061EC" w14:textId="77777777" w:rsidTr="003D2D4B">
        <w:trPr>
          <w:trHeight w:val="300"/>
        </w:trPr>
        <w:tc>
          <w:tcPr>
            <w:tcW w:w="83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0B9844" w14:textId="3BAE081A" w:rsidR="009C39DB" w:rsidRPr="003D2D4B" w:rsidRDefault="009C39DB">
            <w:pPr>
              <w:rPr>
                <w:i/>
                <w:iCs/>
                <w:lang w:eastAsia="en-GB"/>
              </w:rPr>
            </w:pPr>
            <w:r w:rsidRPr="003D2D4B">
              <w:rPr>
                <w:i/>
                <w:iCs/>
                <w:lang w:eastAsia="en-GB"/>
              </w:rPr>
              <w:t>Other sub</w:t>
            </w:r>
            <w:r w:rsidR="00B63CC7" w:rsidRPr="003D2D4B">
              <w:rPr>
                <w:i/>
                <w:iCs/>
                <w:lang w:eastAsia="en-GB"/>
              </w:rPr>
              <w:t>-</w:t>
            </w:r>
            <w:r w:rsidRPr="003D2D4B">
              <w:rPr>
                <w:i/>
                <w:iCs/>
                <w:lang w:eastAsia="en-GB"/>
              </w:rPr>
              <w:t>total (includes Shielding)</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ADD2EFD" w14:textId="77777777" w:rsidR="009C39DB" w:rsidRPr="003D2D4B" w:rsidRDefault="009C39DB">
            <w:pPr>
              <w:jc w:val="right"/>
              <w:rPr>
                <w:i/>
                <w:iCs/>
                <w:sz w:val="20"/>
                <w:szCs w:val="20"/>
                <w:lang w:eastAsia="en-GB"/>
              </w:rPr>
            </w:pPr>
            <w:r w:rsidRPr="003D2D4B">
              <w:rPr>
                <w:i/>
                <w:iCs/>
                <w:sz w:val="20"/>
                <w:szCs w:val="20"/>
                <w:lang w:eastAsia="en-GB"/>
              </w:rPr>
              <w:t>0.874</w:t>
            </w:r>
          </w:p>
        </w:tc>
      </w:tr>
      <w:tr w:rsidR="003D2D4B" w:rsidRPr="003D2D4B" w14:paraId="11A1FBE0" w14:textId="77777777" w:rsidTr="003D2D4B">
        <w:trPr>
          <w:trHeight w:val="289"/>
        </w:trPr>
        <w:tc>
          <w:tcPr>
            <w:tcW w:w="83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99758C" w14:textId="77777777" w:rsidR="009C39DB" w:rsidRPr="003D2D4B" w:rsidRDefault="009C39DB">
            <w:pPr>
              <w:rPr>
                <w:i/>
                <w:iCs/>
                <w:lang w:eastAsia="en-GB"/>
              </w:rPr>
            </w:pPr>
            <w:r w:rsidRPr="003D2D4B">
              <w:rPr>
                <w:i/>
                <w:iCs/>
                <w:lang w:eastAsia="en-GB"/>
              </w:rPr>
              <w:t>Internal Trading</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83F5B64" w14:textId="77777777" w:rsidR="009C39DB" w:rsidRPr="003D2D4B" w:rsidRDefault="009C39DB">
            <w:pPr>
              <w:jc w:val="right"/>
              <w:rPr>
                <w:i/>
                <w:iCs/>
                <w:sz w:val="20"/>
                <w:szCs w:val="20"/>
                <w:lang w:eastAsia="en-GB"/>
              </w:rPr>
            </w:pPr>
            <w:r w:rsidRPr="003D2D4B">
              <w:rPr>
                <w:i/>
                <w:iCs/>
                <w:sz w:val="20"/>
                <w:szCs w:val="20"/>
                <w:lang w:eastAsia="en-GB"/>
              </w:rPr>
              <w:t>3.844</w:t>
            </w:r>
          </w:p>
        </w:tc>
      </w:tr>
      <w:tr w:rsidR="003D2D4B" w:rsidRPr="003D2D4B" w14:paraId="77243AE0" w14:textId="77777777" w:rsidTr="003D2D4B">
        <w:trPr>
          <w:trHeight w:val="315"/>
        </w:trPr>
        <w:tc>
          <w:tcPr>
            <w:tcW w:w="83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E486D1C" w14:textId="77777777" w:rsidR="009C39DB" w:rsidRPr="003D2D4B" w:rsidRDefault="009C39DB">
            <w:pPr>
              <w:rPr>
                <w:b/>
                <w:bCs/>
                <w:lang w:eastAsia="en-GB"/>
              </w:rPr>
            </w:pPr>
            <w:r w:rsidRPr="003D2D4B">
              <w:rPr>
                <w:b/>
                <w:bCs/>
                <w:lang w:eastAsia="en-GB"/>
              </w:rPr>
              <w:t>TOTAL SPENDING PRESSURE (General fund)</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B8E8F83" w14:textId="77777777" w:rsidR="009C39DB" w:rsidRPr="003D2D4B" w:rsidRDefault="009C39DB">
            <w:pPr>
              <w:jc w:val="right"/>
              <w:rPr>
                <w:b/>
                <w:bCs/>
                <w:sz w:val="20"/>
                <w:szCs w:val="20"/>
                <w:lang w:eastAsia="en-GB"/>
              </w:rPr>
            </w:pPr>
            <w:r w:rsidRPr="003D2D4B">
              <w:rPr>
                <w:b/>
                <w:bCs/>
                <w:sz w:val="20"/>
                <w:szCs w:val="20"/>
                <w:lang w:eastAsia="en-GB"/>
              </w:rPr>
              <w:t>82.940</w:t>
            </w:r>
          </w:p>
        </w:tc>
      </w:tr>
    </w:tbl>
    <w:p w14:paraId="114E2930" w14:textId="77777777" w:rsidR="00C06E89" w:rsidRPr="00C06E89" w:rsidRDefault="00C06E89" w:rsidP="00C06E89">
      <w:pPr>
        <w:spacing w:after="0" w:line="240" w:lineRule="auto"/>
        <w:rPr>
          <w:rFonts w:ascii="Calibri" w:eastAsia="Calibri" w:hAnsi="Calibri" w:cs="Calibri"/>
        </w:rPr>
      </w:pPr>
    </w:p>
    <w:p w14:paraId="6331B89C" w14:textId="5BBD896E" w:rsidR="00D25963" w:rsidRPr="003D2D4B" w:rsidRDefault="009C6A63" w:rsidP="00095920">
      <w:pPr>
        <w:pStyle w:val="ListParagraph"/>
        <w:numPr>
          <w:ilvl w:val="0"/>
          <w:numId w:val="1"/>
        </w:numPr>
        <w:spacing w:after="120" w:line="240" w:lineRule="auto"/>
        <w:ind w:left="714" w:hanging="357"/>
        <w:rPr>
          <w:rFonts w:ascii="Calibri" w:eastAsia="Calibri" w:hAnsi="Calibri" w:cs="Calibri"/>
          <w:b/>
          <w:bCs/>
        </w:rPr>
      </w:pPr>
      <w:r w:rsidRPr="003D2D4B">
        <w:rPr>
          <w:rFonts w:ascii="Calibri" w:eastAsia="Calibri" w:hAnsi="Calibri" w:cs="Calibri"/>
          <w:b/>
          <w:bCs/>
        </w:rPr>
        <w:t>2021/2022</w:t>
      </w:r>
    </w:p>
    <w:p w14:paraId="595592C2" w14:textId="1831409D" w:rsidR="00D25963" w:rsidRPr="003D2D4B" w:rsidRDefault="00700F3A" w:rsidP="00D25963">
      <w:r w:rsidRPr="003D2D4B">
        <w:t>At the time of writing, in</w:t>
      </w:r>
      <w:r w:rsidR="003E1039" w:rsidRPr="003D2D4B">
        <w:t xml:space="preserve"> terms of allocations for</w:t>
      </w:r>
      <w:r w:rsidR="00D25963" w:rsidRPr="003D2D4B">
        <w:t xml:space="preserve"> 2021/22, £21.6m </w:t>
      </w:r>
      <w:r w:rsidR="003E1039" w:rsidRPr="003D2D4B">
        <w:t>has been</w:t>
      </w:r>
      <w:r w:rsidR="00D25963" w:rsidRPr="003D2D4B">
        <w:t xml:space="preserve"> earmarked</w:t>
      </w:r>
      <w:r w:rsidR="003E1039" w:rsidRPr="003D2D4B">
        <w:t xml:space="preserve"> in</w:t>
      </w:r>
      <w:r w:rsidR="00D25963" w:rsidRPr="003D2D4B">
        <w:t xml:space="preserve"> reserves</w:t>
      </w:r>
      <w:r w:rsidRPr="003D2D4B">
        <w:t xml:space="preserve"> and there is a</w:t>
      </w:r>
      <w:r w:rsidR="00D25963" w:rsidRPr="003D2D4B">
        <w:t xml:space="preserve"> main 2021/22</w:t>
      </w:r>
      <w:r w:rsidR="00C53A0B" w:rsidRPr="003D2D4B">
        <w:t xml:space="preserve"> </w:t>
      </w:r>
      <w:r w:rsidR="00D25963" w:rsidRPr="003D2D4B">
        <w:t>COVID</w:t>
      </w:r>
      <w:r w:rsidR="00EA6EE5" w:rsidRPr="003D2D4B">
        <w:t>-</w:t>
      </w:r>
      <w:r w:rsidR="00D25963" w:rsidRPr="003D2D4B">
        <w:t>19 grant of £16.1m</w:t>
      </w:r>
      <w:r w:rsidRPr="003D2D4B">
        <w:t>,</w:t>
      </w:r>
      <w:r w:rsidR="00D25963" w:rsidRPr="003D2D4B">
        <w:t xml:space="preserve"> plus </w:t>
      </w:r>
      <w:r w:rsidR="00C311FF" w:rsidRPr="003D2D4B">
        <w:t>the following specific COVID-19 grants</w:t>
      </w:r>
      <w:r w:rsidRPr="003D2D4B">
        <w:t>:</w:t>
      </w:r>
    </w:p>
    <w:p w14:paraId="42EBF8CA" w14:textId="196EE7B9" w:rsidR="00D25963" w:rsidRPr="003D2D4B" w:rsidRDefault="00D25963" w:rsidP="00D25963">
      <w:pPr>
        <w:pStyle w:val="ListParagraph"/>
        <w:numPr>
          <w:ilvl w:val="0"/>
          <w:numId w:val="3"/>
        </w:numPr>
        <w:spacing w:after="0" w:line="240" w:lineRule="auto"/>
        <w:contextualSpacing w:val="0"/>
        <w:rPr>
          <w:rFonts w:eastAsia="Times New Roman"/>
        </w:rPr>
      </w:pPr>
      <w:r w:rsidRPr="003D2D4B">
        <w:rPr>
          <w:rFonts w:eastAsia="Times New Roman"/>
        </w:rPr>
        <w:t>£4.1m – C</w:t>
      </w:r>
      <w:r w:rsidR="00D1602C" w:rsidRPr="003D2D4B">
        <w:rPr>
          <w:rFonts w:eastAsia="Times New Roman"/>
        </w:rPr>
        <w:t>ontain Outbreak Management Fund</w:t>
      </w:r>
    </w:p>
    <w:p w14:paraId="71B42ED4" w14:textId="77777777" w:rsidR="00D25963" w:rsidRPr="003D2D4B" w:rsidRDefault="00D25963" w:rsidP="00D25963">
      <w:pPr>
        <w:pStyle w:val="ListParagraph"/>
        <w:numPr>
          <w:ilvl w:val="0"/>
          <w:numId w:val="3"/>
        </w:numPr>
        <w:spacing w:after="0" w:line="240" w:lineRule="auto"/>
        <w:contextualSpacing w:val="0"/>
        <w:rPr>
          <w:rFonts w:eastAsia="Times New Roman"/>
        </w:rPr>
      </w:pPr>
      <w:r w:rsidRPr="003D2D4B">
        <w:rPr>
          <w:rFonts w:eastAsia="Times New Roman"/>
        </w:rPr>
        <w:t>£5.8m – Infection Control</w:t>
      </w:r>
    </w:p>
    <w:p w14:paraId="287565DD" w14:textId="77777777" w:rsidR="00D25963" w:rsidRPr="003D2D4B" w:rsidRDefault="00D25963" w:rsidP="00D25963">
      <w:pPr>
        <w:pStyle w:val="ListParagraph"/>
        <w:numPr>
          <w:ilvl w:val="0"/>
          <w:numId w:val="3"/>
        </w:numPr>
        <w:spacing w:after="0" w:line="240" w:lineRule="auto"/>
        <w:contextualSpacing w:val="0"/>
        <w:rPr>
          <w:rFonts w:eastAsia="Times New Roman"/>
        </w:rPr>
      </w:pPr>
      <w:r w:rsidRPr="003D2D4B">
        <w:rPr>
          <w:rFonts w:eastAsia="Times New Roman"/>
        </w:rPr>
        <w:t>£0.1m – Bus Service Support Grant</w:t>
      </w:r>
    </w:p>
    <w:p w14:paraId="4973829D" w14:textId="5E0598C5" w:rsidR="00216069" w:rsidRPr="003D2D4B" w:rsidRDefault="00D25963" w:rsidP="00D25963">
      <w:pPr>
        <w:pStyle w:val="ListParagraph"/>
        <w:numPr>
          <w:ilvl w:val="0"/>
          <w:numId w:val="3"/>
        </w:numPr>
        <w:spacing w:after="0" w:line="240" w:lineRule="auto"/>
        <w:contextualSpacing w:val="0"/>
        <w:rPr>
          <w:rFonts w:eastAsia="Times New Roman"/>
        </w:rPr>
      </w:pPr>
      <w:r w:rsidRPr="003D2D4B">
        <w:rPr>
          <w:rFonts w:eastAsia="Times New Roman"/>
        </w:rPr>
        <w:t>£0.6m – Home to School Transport</w:t>
      </w:r>
    </w:p>
    <w:p w14:paraId="56654490" w14:textId="1395E590" w:rsidR="00D25963" w:rsidRPr="003D2D4B" w:rsidRDefault="00D25963" w:rsidP="00095920">
      <w:pPr>
        <w:pStyle w:val="ListParagraph"/>
        <w:numPr>
          <w:ilvl w:val="0"/>
          <w:numId w:val="3"/>
        </w:numPr>
        <w:spacing w:after="0" w:line="240" w:lineRule="auto"/>
        <w:contextualSpacing w:val="0"/>
        <w:rPr>
          <w:rFonts w:eastAsia="Times New Roman"/>
        </w:rPr>
      </w:pPr>
      <w:r w:rsidRPr="003D2D4B">
        <w:rPr>
          <w:rFonts w:eastAsia="Times New Roman"/>
        </w:rPr>
        <w:t>£0.4m – Clinically Extremely Vulnerable</w:t>
      </w:r>
    </w:p>
    <w:p w14:paraId="78948E97" w14:textId="77777777" w:rsidR="00C53A0B" w:rsidRPr="00C53A0B" w:rsidRDefault="00C53A0B" w:rsidP="00C53A0B">
      <w:pPr>
        <w:spacing w:after="0" w:line="240" w:lineRule="auto"/>
        <w:rPr>
          <w:rFonts w:eastAsia="Times New Roman"/>
          <w:color w:val="FF0000"/>
        </w:rPr>
      </w:pPr>
    </w:p>
    <w:p w14:paraId="2E4F5613" w14:textId="3F8BF639" w:rsidR="005E2E1F" w:rsidRPr="003D2D4B" w:rsidRDefault="009C6A63" w:rsidP="00095920">
      <w:pPr>
        <w:pStyle w:val="ListParagraph"/>
        <w:numPr>
          <w:ilvl w:val="0"/>
          <w:numId w:val="1"/>
        </w:numPr>
        <w:spacing w:after="120" w:line="240" w:lineRule="auto"/>
        <w:ind w:left="714" w:hanging="357"/>
        <w:rPr>
          <w:rFonts w:ascii="Calibri" w:eastAsia="Calibri" w:hAnsi="Calibri" w:cs="Calibri"/>
          <w:b/>
          <w:bCs/>
        </w:rPr>
      </w:pPr>
      <w:r w:rsidRPr="003D2D4B">
        <w:rPr>
          <w:rFonts w:ascii="Calibri" w:eastAsia="Calibri" w:hAnsi="Calibri" w:cs="Calibri"/>
          <w:b/>
          <w:bCs/>
        </w:rPr>
        <w:t>2022/2023</w:t>
      </w:r>
    </w:p>
    <w:p w14:paraId="7201604D" w14:textId="7B51453C" w:rsidR="005E0A26" w:rsidRPr="003D2D4B" w:rsidRDefault="005E2E1F" w:rsidP="00095920">
      <w:r w:rsidRPr="003D2D4B">
        <w:rPr>
          <w:rFonts w:ascii="Calibri" w:eastAsia="Calibri" w:hAnsi="Calibri" w:cs="Calibri"/>
        </w:rPr>
        <w:t xml:space="preserve">At the time of writing, no funding allocated. </w:t>
      </w:r>
    </w:p>
    <w:p w14:paraId="769113CA" w14:textId="6309C40F" w:rsidR="009C6A63" w:rsidRPr="003D2D4B" w:rsidRDefault="009C6A63" w:rsidP="00095920">
      <w:pPr>
        <w:pStyle w:val="ListParagraph"/>
        <w:numPr>
          <w:ilvl w:val="0"/>
          <w:numId w:val="1"/>
        </w:numPr>
        <w:spacing w:after="120" w:line="240" w:lineRule="auto"/>
        <w:ind w:left="714" w:hanging="357"/>
        <w:rPr>
          <w:rFonts w:ascii="Calibri" w:eastAsia="Calibri" w:hAnsi="Calibri" w:cs="Calibri"/>
          <w:b/>
          <w:bCs/>
        </w:rPr>
      </w:pPr>
      <w:r w:rsidRPr="003D2D4B">
        <w:rPr>
          <w:rFonts w:ascii="Calibri" w:eastAsia="Calibri" w:hAnsi="Calibri" w:cs="Calibri"/>
          <w:b/>
          <w:bCs/>
        </w:rPr>
        <w:t>2023/2024</w:t>
      </w:r>
    </w:p>
    <w:p w14:paraId="004CC2E4" w14:textId="77777777" w:rsidR="005E2E1F" w:rsidRPr="003D2D4B" w:rsidRDefault="005E2E1F" w:rsidP="00095920">
      <w:pPr>
        <w:spacing w:after="0" w:line="240" w:lineRule="auto"/>
        <w:rPr>
          <w:rFonts w:ascii="Calibri" w:eastAsia="Calibri" w:hAnsi="Calibri" w:cs="Calibri"/>
        </w:rPr>
      </w:pPr>
      <w:r w:rsidRPr="003D2D4B">
        <w:rPr>
          <w:rFonts w:ascii="Calibri" w:eastAsia="Calibri" w:hAnsi="Calibri" w:cs="Calibri"/>
        </w:rPr>
        <w:t xml:space="preserve">At the time of writing, no funding allocated. </w:t>
      </w:r>
    </w:p>
    <w:p w14:paraId="08B35469" w14:textId="77777777" w:rsidR="005E2E1F" w:rsidRPr="00095920" w:rsidRDefault="005E2E1F" w:rsidP="00095920">
      <w:pPr>
        <w:spacing w:after="0" w:line="240" w:lineRule="auto"/>
        <w:rPr>
          <w:rFonts w:ascii="Calibri" w:eastAsia="Calibri" w:hAnsi="Calibri" w:cs="Calibri"/>
        </w:rPr>
      </w:pPr>
    </w:p>
    <w:p w14:paraId="36B11EF3" w14:textId="28FB3D32" w:rsidR="009C6A63" w:rsidRPr="003D2D4B" w:rsidRDefault="009C6A63" w:rsidP="00095920">
      <w:pPr>
        <w:pStyle w:val="ListParagraph"/>
        <w:numPr>
          <w:ilvl w:val="0"/>
          <w:numId w:val="1"/>
        </w:numPr>
        <w:spacing w:after="120" w:line="240" w:lineRule="auto"/>
        <w:ind w:left="714" w:hanging="357"/>
        <w:rPr>
          <w:rFonts w:ascii="Calibri" w:eastAsia="Calibri" w:hAnsi="Calibri" w:cs="Calibri"/>
          <w:b/>
          <w:bCs/>
        </w:rPr>
      </w:pPr>
      <w:r w:rsidRPr="003D2D4B">
        <w:rPr>
          <w:rFonts w:ascii="Calibri" w:eastAsia="Calibri" w:hAnsi="Calibri" w:cs="Calibri"/>
          <w:b/>
          <w:bCs/>
        </w:rPr>
        <w:t>2024/2025</w:t>
      </w:r>
    </w:p>
    <w:p w14:paraId="49677191" w14:textId="0B553F54" w:rsidR="006A063F" w:rsidRPr="003D2D4B" w:rsidRDefault="005E2E1F" w:rsidP="006A063F">
      <w:pPr>
        <w:spacing w:after="0" w:line="240" w:lineRule="auto"/>
        <w:rPr>
          <w:rFonts w:ascii="Calibri" w:eastAsia="Calibri" w:hAnsi="Calibri" w:cs="Calibri"/>
        </w:rPr>
      </w:pPr>
      <w:r w:rsidRPr="003D2D4B">
        <w:rPr>
          <w:rFonts w:ascii="Calibri" w:eastAsia="Calibri" w:hAnsi="Calibri" w:cs="Calibri"/>
        </w:rPr>
        <w:t xml:space="preserve">At the time of writing, no funding allocated. </w:t>
      </w:r>
    </w:p>
    <w:p w14:paraId="0A22EB8B" w14:textId="77777777" w:rsidR="00A466C8" w:rsidRPr="009C6A63" w:rsidRDefault="00A466C8" w:rsidP="009C6A63">
      <w:pPr>
        <w:spacing w:after="0" w:line="240" w:lineRule="auto"/>
        <w:rPr>
          <w:rFonts w:ascii="Calibri" w:eastAsia="Calibri" w:hAnsi="Calibri" w:cs="Calibri"/>
        </w:rPr>
      </w:pPr>
    </w:p>
    <w:p w14:paraId="090630D5" w14:textId="77777777" w:rsidR="005E2E1F" w:rsidRPr="003D2D4B" w:rsidRDefault="009C6A63" w:rsidP="00095920">
      <w:pPr>
        <w:spacing w:after="120" w:line="240" w:lineRule="auto"/>
        <w:rPr>
          <w:rFonts w:ascii="Calibri" w:eastAsia="Calibri" w:hAnsi="Calibri" w:cs="Calibri"/>
          <w:b/>
          <w:bCs/>
        </w:rPr>
      </w:pPr>
      <w:r w:rsidRPr="003D2D4B">
        <w:rPr>
          <w:rFonts w:ascii="Calibri" w:eastAsia="Calibri" w:hAnsi="Calibri" w:cs="Calibri"/>
          <w:b/>
          <w:bCs/>
        </w:rPr>
        <w:t>Also, in each year, the category of spend e.g. a) leaflets, street signage etc. b)</w:t>
      </w:r>
      <w:r w:rsidR="00D17AB8" w:rsidRPr="003D2D4B">
        <w:rPr>
          <w:rFonts w:ascii="Calibri" w:eastAsia="Calibri" w:hAnsi="Calibri" w:cs="Calibri"/>
          <w:b/>
          <w:bCs/>
        </w:rPr>
        <w:t xml:space="preserve"> </w:t>
      </w:r>
      <w:r w:rsidRPr="003D2D4B">
        <w:rPr>
          <w:rFonts w:ascii="Calibri" w:eastAsia="Calibri" w:hAnsi="Calibri" w:cs="Calibri"/>
          <w:b/>
          <w:bCs/>
        </w:rPr>
        <w:t xml:space="preserve">direct media advertising c) dedicated staff e.g. COVID marshals,  or vehicles d) education and courses </w:t>
      </w:r>
      <w:proofErr w:type="spellStart"/>
      <w:r w:rsidRPr="003D2D4B">
        <w:rPr>
          <w:rFonts w:ascii="Calibri" w:eastAsia="Calibri" w:hAnsi="Calibri" w:cs="Calibri"/>
          <w:b/>
          <w:bCs/>
        </w:rPr>
        <w:t>i</w:t>
      </w:r>
      <w:proofErr w:type="spellEnd"/>
      <w:r w:rsidRPr="003D2D4B">
        <w:rPr>
          <w:rFonts w:ascii="Calibri" w:eastAsia="Calibri" w:hAnsi="Calibri" w:cs="Calibri"/>
          <w:b/>
          <w:bCs/>
        </w:rPr>
        <w:t>) public ii) staff e) other categories (state what).</w:t>
      </w:r>
      <w:r w:rsidR="00E55104" w:rsidRPr="003D2D4B">
        <w:rPr>
          <w:rFonts w:ascii="Calibri" w:eastAsia="Calibri" w:hAnsi="Calibri" w:cs="Calibri"/>
          <w:b/>
          <w:bCs/>
        </w:rPr>
        <w:t xml:space="preserve"> </w:t>
      </w:r>
    </w:p>
    <w:p w14:paraId="45C0328A" w14:textId="398A1262" w:rsidR="00A26EC0" w:rsidRPr="003D2D4B" w:rsidRDefault="00E55104" w:rsidP="009C6A63">
      <w:pPr>
        <w:spacing w:after="0" w:line="240" w:lineRule="auto"/>
        <w:rPr>
          <w:rFonts w:ascii="Calibri" w:eastAsia="Calibri" w:hAnsi="Calibri" w:cs="Calibri"/>
        </w:rPr>
      </w:pPr>
      <w:r w:rsidRPr="003D2D4B">
        <w:rPr>
          <w:rFonts w:ascii="Calibri" w:eastAsia="Calibri" w:hAnsi="Calibri" w:cs="Calibri"/>
        </w:rPr>
        <w:t xml:space="preserve">Breakdown </w:t>
      </w:r>
      <w:r w:rsidR="005E2E1F" w:rsidRPr="003D2D4B">
        <w:rPr>
          <w:rFonts w:ascii="Calibri" w:eastAsia="Calibri" w:hAnsi="Calibri" w:cs="Calibri"/>
        </w:rPr>
        <w:t xml:space="preserve">has been provided </w:t>
      </w:r>
      <w:r w:rsidRPr="003D2D4B">
        <w:rPr>
          <w:rFonts w:ascii="Calibri" w:eastAsia="Calibri" w:hAnsi="Calibri" w:cs="Calibri"/>
        </w:rPr>
        <w:t xml:space="preserve">as available (see </w:t>
      </w:r>
      <w:r w:rsidR="005E2E1F" w:rsidRPr="003D2D4B">
        <w:rPr>
          <w:rFonts w:ascii="Calibri" w:eastAsia="Calibri" w:hAnsi="Calibri" w:cs="Calibri"/>
        </w:rPr>
        <w:t>response above</w:t>
      </w:r>
      <w:r w:rsidRPr="003D2D4B">
        <w:rPr>
          <w:rFonts w:ascii="Calibri" w:eastAsia="Calibri" w:hAnsi="Calibri" w:cs="Calibri"/>
        </w:rPr>
        <w:t>).</w:t>
      </w:r>
    </w:p>
    <w:p w14:paraId="215DC64F" w14:textId="77777777" w:rsidR="008C1331" w:rsidRPr="009C6A63" w:rsidRDefault="008C1331" w:rsidP="009C6A63">
      <w:pPr>
        <w:spacing w:after="0" w:line="240" w:lineRule="auto"/>
        <w:rPr>
          <w:rFonts w:ascii="Calibri" w:eastAsia="Calibri" w:hAnsi="Calibri" w:cs="Calibri"/>
        </w:rPr>
      </w:pPr>
    </w:p>
    <w:p w14:paraId="24864D9B" w14:textId="488C412A" w:rsidR="0054239A" w:rsidRPr="003D2D4B" w:rsidRDefault="009C6A63" w:rsidP="00095920">
      <w:pPr>
        <w:spacing w:after="120" w:line="240" w:lineRule="auto"/>
        <w:rPr>
          <w:b/>
          <w:bCs/>
          <w:color w:val="FF0000"/>
        </w:rPr>
      </w:pPr>
      <w:r w:rsidRPr="003D2D4B">
        <w:rPr>
          <w:rFonts w:ascii="Calibri" w:eastAsia="Calibri" w:hAnsi="Calibri" w:cs="Calibri"/>
          <w:b/>
          <w:bCs/>
        </w:rPr>
        <w:t>Please state the number of COVID-19 testing centres/stations established and the cost of setting up and maintaining each.  State how these costs are met.</w:t>
      </w:r>
    </w:p>
    <w:p w14:paraId="4726ECD5" w14:textId="08F50441" w:rsidR="00344D6F" w:rsidRPr="003D2D4B" w:rsidRDefault="00344D6F" w:rsidP="00344D6F">
      <w:r w:rsidRPr="003D2D4B">
        <w:t xml:space="preserve">At the time of writing, there are </w:t>
      </w:r>
      <w:r w:rsidR="00D47AD5" w:rsidRPr="003D2D4B">
        <w:t xml:space="preserve">3 </w:t>
      </w:r>
      <w:r w:rsidRPr="003D2D4B">
        <w:t xml:space="preserve">static asymptomatic community testing sites in Nottinghamshire County and 4 mobile testing units travel between a number of </w:t>
      </w:r>
      <w:r w:rsidR="00EF0A19" w:rsidRPr="003D2D4B">
        <w:t xml:space="preserve">mobile </w:t>
      </w:r>
      <w:r w:rsidRPr="003D2D4B">
        <w:t>testing sites, of which 11 are in Nottinghamshire County. All operational costs for asymptomatic testing sites are currently recharged to the Department of Health and Social Care. Costs are contained in overall COVID-19 spend for 2020/21 (see response above).</w:t>
      </w:r>
    </w:p>
    <w:p w14:paraId="3B5875AE" w14:textId="77777777" w:rsidR="00344D6F" w:rsidRDefault="00344D6F" w:rsidP="00344D6F">
      <w:pPr>
        <w:rPr>
          <w:color w:val="FF0000"/>
        </w:rPr>
      </w:pPr>
    </w:p>
    <w:p w14:paraId="4BA766EE" w14:textId="77777777" w:rsidR="00344D6F" w:rsidRPr="003D2D4B" w:rsidRDefault="00344D6F" w:rsidP="00344D6F">
      <w:r w:rsidRPr="003D2D4B">
        <w:lastRenderedPageBreak/>
        <w:t>Symptomatic testing sites are coordinated and directly funded by the Department of Health and Social Care (DHSC).</w:t>
      </w:r>
    </w:p>
    <w:p w14:paraId="722AEFDC" w14:textId="77777777" w:rsidR="009C6A63" w:rsidRPr="003D2D4B" w:rsidRDefault="009C6A63" w:rsidP="00FD2374">
      <w:pPr>
        <w:spacing w:after="120" w:line="240" w:lineRule="auto"/>
        <w:rPr>
          <w:rFonts w:ascii="Calibri" w:eastAsia="Calibri" w:hAnsi="Calibri" w:cs="Calibri"/>
          <w:b/>
          <w:bCs/>
        </w:rPr>
      </w:pPr>
      <w:r w:rsidRPr="003D2D4B">
        <w:rPr>
          <w:rFonts w:ascii="Calibri" w:eastAsia="Calibri" w:hAnsi="Calibri" w:cs="Calibri"/>
          <w:b/>
          <w:bCs/>
        </w:rPr>
        <w:t>Please state the number of COVID-19 vaccination centres/stations established and the cost of setting up and maintaining each. State how these costs are met.</w:t>
      </w:r>
    </w:p>
    <w:p w14:paraId="3A7B7318" w14:textId="28E24B57" w:rsidR="00EB37AE" w:rsidRPr="003D2D4B" w:rsidRDefault="00EB37AE" w:rsidP="00EB37AE">
      <w:pPr>
        <w:spacing w:after="0" w:line="240" w:lineRule="auto"/>
        <w:rPr>
          <w:rFonts w:ascii="Calibri" w:eastAsia="Calibri" w:hAnsi="Calibri" w:cs="Calibri"/>
        </w:rPr>
      </w:pPr>
      <w:r w:rsidRPr="003D2D4B">
        <w:rPr>
          <w:rFonts w:ascii="Calibri" w:eastAsia="Calibri" w:hAnsi="Calibri" w:cs="Calibri"/>
        </w:rPr>
        <w:t>Nottingha</w:t>
      </w:r>
      <w:r w:rsidR="00541320" w:rsidRPr="003D2D4B">
        <w:rPr>
          <w:rFonts w:ascii="Calibri" w:eastAsia="Calibri" w:hAnsi="Calibri" w:cs="Calibri"/>
        </w:rPr>
        <w:t>m</w:t>
      </w:r>
      <w:r w:rsidRPr="003D2D4B">
        <w:rPr>
          <w:rFonts w:ascii="Calibri" w:eastAsia="Calibri" w:hAnsi="Calibri" w:cs="Calibri"/>
        </w:rPr>
        <w:t xml:space="preserve"> &amp; Nottinghamshire Clinical Commissioning Group and Bassetlaw Clinical</w:t>
      </w:r>
      <w:r w:rsidR="00371268" w:rsidRPr="003D2D4B">
        <w:rPr>
          <w:rFonts w:ascii="Calibri" w:eastAsia="Calibri" w:hAnsi="Calibri" w:cs="Calibri"/>
        </w:rPr>
        <w:t xml:space="preserve"> </w:t>
      </w:r>
      <w:r w:rsidRPr="003D2D4B">
        <w:rPr>
          <w:rFonts w:ascii="Calibri" w:eastAsia="Calibri" w:hAnsi="Calibri" w:cs="Calibri"/>
        </w:rPr>
        <w:t>Commissioning Group</w:t>
      </w:r>
      <w:r w:rsidR="00371268" w:rsidRPr="003D2D4B">
        <w:rPr>
          <w:rFonts w:ascii="Calibri" w:eastAsia="Calibri" w:hAnsi="Calibri" w:cs="Calibri"/>
        </w:rPr>
        <w:t xml:space="preserve"> </w:t>
      </w:r>
      <w:r w:rsidRPr="003D2D4B">
        <w:rPr>
          <w:rFonts w:ascii="Calibri" w:eastAsia="Calibri" w:hAnsi="Calibri" w:cs="Calibri"/>
        </w:rPr>
        <w:t>are responsible for the delivery of the vaccination programme,</w:t>
      </w:r>
      <w:r w:rsidR="00371268" w:rsidRPr="003D2D4B">
        <w:rPr>
          <w:rFonts w:ascii="Calibri" w:eastAsia="Calibri" w:hAnsi="Calibri" w:cs="Calibri"/>
        </w:rPr>
        <w:t xml:space="preserve"> </w:t>
      </w:r>
      <w:r w:rsidRPr="003D2D4B">
        <w:rPr>
          <w:rFonts w:ascii="Calibri" w:eastAsia="Calibri" w:hAnsi="Calibri" w:cs="Calibri"/>
        </w:rPr>
        <w:t>working in partnership with their respective Integrated Care Systems</w:t>
      </w:r>
      <w:r w:rsidR="00A65E8D" w:rsidRPr="003D2D4B">
        <w:rPr>
          <w:rFonts w:ascii="Calibri" w:eastAsia="Calibri" w:hAnsi="Calibri" w:cs="Calibri"/>
        </w:rPr>
        <w:t>.</w:t>
      </w:r>
      <w:r w:rsidR="00684F75" w:rsidRPr="003D2D4B">
        <w:rPr>
          <w:rFonts w:ascii="Calibri" w:eastAsia="Calibri" w:hAnsi="Calibri" w:cs="Calibri"/>
        </w:rPr>
        <w:t xml:space="preserve"> </w:t>
      </w:r>
    </w:p>
    <w:p w14:paraId="676187AB" w14:textId="77777777" w:rsidR="0011538C" w:rsidRPr="009C6A63" w:rsidRDefault="0011538C" w:rsidP="009C6A63">
      <w:pPr>
        <w:spacing w:after="0" w:line="240" w:lineRule="auto"/>
        <w:rPr>
          <w:rFonts w:ascii="Calibri" w:eastAsia="Calibri" w:hAnsi="Calibri" w:cs="Calibri"/>
        </w:rPr>
      </w:pPr>
    </w:p>
    <w:p w14:paraId="1F083401" w14:textId="77777777" w:rsidR="0027506D" w:rsidRPr="003D2D4B" w:rsidRDefault="009C6A63" w:rsidP="0027506D">
      <w:pPr>
        <w:spacing w:after="120" w:line="240" w:lineRule="auto"/>
        <w:rPr>
          <w:rFonts w:ascii="Calibri" w:eastAsia="Calibri" w:hAnsi="Calibri" w:cs="Calibri"/>
          <w:b/>
          <w:bCs/>
        </w:rPr>
      </w:pPr>
      <w:r w:rsidRPr="003D2D4B">
        <w:rPr>
          <w:rFonts w:ascii="Calibri" w:eastAsia="Calibri" w:hAnsi="Calibri" w:cs="Calibri"/>
          <w:b/>
          <w:bCs/>
        </w:rPr>
        <w:t>In each instance, state the source of the money. e.g. a)</w:t>
      </w:r>
      <w:r w:rsidR="002F31B8" w:rsidRPr="003D2D4B">
        <w:rPr>
          <w:rFonts w:ascii="Calibri" w:eastAsia="Calibri" w:hAnsi="Calibri" w:cs="Calibri"/>
          <w:b/>
          <w:bCs/>
        </w:rPr>
        <w:t xml:space="preserve"> </w:t>
      </w:r>
      <w:r w:rsidRPr="003D2D4B">
        <w:rPr>
          <w:rFonts w:ascii="Calibri" w:eastAsia="Calibri" w:hAnsi="Calibri" w:cs="Calibri"/>
          <w:b/>
          <w:bCs/>
        </w:rPr>
        <w:t>council reserves b)</w:t>
      </w:r>
      <w:r w:rsidR="002F31B8" w:rsidRPr="003D2D4B">
        <w:rPr>
          <w:rFonts w:ascii="Calibri" w:eastAsia="Calibri" w:hAnsi="Calibri" w:cs="Calibri"/>
          <w:b/>
          <w:bCs/>
        </w:rPr>
        <w:t xml:space="preserve"> </w:t>
      </w:r>
      <w:r w:rsidRPr="003D2D4B">
        <w:rPr>
          <w:rFonts w:ascii="Calibri" w:eastAsia="Calibri" w:hAnsi="Calibri" w:cs="Calibri"/>
          <w:b/>
          <w:bCs/>
        </w:rPr>
        <w:t>central government (state if grant, loan or other (state what)) c) from general taxation (e.g. Council Tax) d) other (state where).</w:t>
      </w:r>
    </w:p>
    <w:p w14:paraId="5F54C58D" w14:textId="3FE71472" w:rsidR="009C6A63" w:rsidRPr="003D2D4B" w:rsidRDefault="006B0BB1" w:rsidP="009C6A63">
      <w:pPr>
        <w:spacing w:after="0" w:line="240" w:lineRule="auto"/>
        <w:rPr>
          <w:rFonts w:ascii="Calibri" w:eastAsia="Calibri" w:hAnsi="Calibri" w:cs="Calibri"/>
        </w:rPr>
      </w:pPr>
      <w:r w:rsidRPr="003D2D4B">
        <w:rPr>
          <w:rFonts w:ascii="Calibri" w:eastAsia="Calibri" w:hAnsi="Calibri" w:cs="Calibri"/>
        </w:rPr>
        <w:t>All spend covered by specific or general COVID-19 grants.</w:t>
      </w:r>
    </w:p>
    <w:p w14:paraId="522BAA55" w14:textId="77777777" w:rsidR="009C6A63" w:rsidRPr="009C6A63" w:rsidRDefault="009C6A63" w:rsidP="009C6A63">
      <w:pPr>
        <w:spacing w:after="0" w:line="240" w:lineRule="auto"/>
        <w:rPr>
          <w:rFonts w:ascii="Calibri" w:eastAsia="Calibri" w:hAnsi="Calibri" w:cs="Calibri"/>
        </w:rPr>
      </w:pPr>
    </w:p>
    <w:p w14:paraId="02091D57" w14:textId="65F923C2" w:rsidR="00215A15" w:rsidRPr="003D2D4B" w:rsidRDefault="009C6A63" w:rsidP="0027506D">
      <w:pPr>
        <w:spacing w:after="120" w:line="240" w:lineRule="auto"/>
        <w:rPr>
          <w:rFonts w:ascii="Calibri" w:eastAsia="Calibri" w:hAnsi="Calibri" w:cs="Calibri"/>
          <w:b/>
          <w:bCs/>
        </w:rPr>
      </w:pPr>
      <w:r w:rsidRPr="003D2D4B">
        <w:rPr>
          <w:rFonts w:ascii="Calibri" w:eastAsia="Calibri" w:hAnsi="Calibri" w:cs="Calibri"/>
          <w:b/>
          <w:bCs/>
        </w:rPr>
        <w:t>Where money was drawn or diverted from other budgets or services, please state specifically which, and amount(s).</w:t>
      </w:r>
    </w:p>
    <w:p w14:paraId="3AA9B515" w14:textId="4F5BF23F" w:rsidR="00215A15" w:rsidRPr="003D2D4B" w:rsidRDefault="00753231">
      <w:r w:rsidRPr="003D2D4B">
        <w:t xml:space="preserve">None. </w:t>
      </w:r>
    </w:p>
    <w:p w14:paraId="3956335E" w14:textId="17D1E347" w:rsidR="00D90DDA" w:rsidRDefault="00D90DDA">
      <w:pPr>
        <w:rPr>
          <w:color w:val="FF0000"/>
        </w:rPr>
      </w:pPr>
    </w:p>
    <w:p w14:paraId="6A08E784" w14:textId="77777777" w:rsidR="0058178D" w:rsidRDefault="0058178D"/>
    <w:p w14:paraId="277A48B7" w14:textId="77777777" w:rsidR="00D90DDA" w:rsidRDefault="00D90DDA"/>
    <w:p w14:paraId="3E46F521" w14:textId="4336CE07" w:rsidR="00C45065" w:rsidRDefault="00C45065">
      <w:pPr>
        <w:rPr>
          <w:i/>
          <w:iCs/>
        </w:rPr>
      </w:pPr>
    </w:p>
    <w:sectPr w:rsidR="00C45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A68C2"/>
    <w:multiLevelType w:val="multilevel"/>
    <w:tmpl w:val="70D4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A094B"/>
    <w:multiLevelType w:val="hybridMultilevel"/>
    <w:tmpl w:val="855E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1459C7"/>
    <w:multiLevelType w:val="hybridMultilevel"/>
    <w:tmpl w:val="911C6C06"/>
    <w:lvl w:ilvl="0" w:tplc="2A52FCB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63"/>
    <w:rsid w:val="00050606"/>
    <w:rsid w:val="00056026"/>
    <w:rsid w:val="0008570F"/>
    <w:rsid w:val="00095920"/>
    <w:rsid w:val="000D035A"/>
    <w:rsid w:val="000D3B25"/>
    <w:rsid w:val="001004DF"/>
    <w:rsid w:val="0011538C"/>
    <w:rsid w:val="00122B01"/>
    <w:rsid w:val="00137422"/>
    <w:rsid w:val="00143C3E"/>
    <w:rsid w:val="00144BF9"/>
    <w:rsid w:val="00150F5F"/>
    <w:rsid w:val="002115F2"/>
    <w:rsid w:val="00215A15"/>
    <w:rsid w:val="00216069"/>
    <w:rsid w:val="00220978"/>
    <w:rsid w:val="002546B5"/>
    <w:rsid w:val="002706C5"/>
    <w:rsid w:val="0027506D"/>
    <w:rsid w:val="002B7D4F"/>
    <w:rsid w:val="002C3A70"/>
    <w:rsid w:val="002E12F8"/>
    <w:rsid w:val="002E167B"/>
    <w:rsid w:val="002F31B8"/>
    <w:rsid w:val="00304621"/>
    <w:rsid w:val="0032411E"/>
    <w:rsid w:val="00344D6F"/>
    <w:rsid w:val="00367D5A"/>
    <w:rsid w:val="00371268"/>
    <w:rsid w:val="003779F4"/>
    <w:rsid w:val="0038545B"/>
    <w:rsid w:val="003952BF"/>
    <w:rsid w:val="003B6A65"/>
    <w:rsid w:val="003C0792"/>
    <w:rsid w:val="003D2D4B"/>
    <w:rsid w:val="003E1039"/>
    <w:rsid w:val="003F1CFB"/>
    <w:rsid w:val="00437430"/>
    <w:rsid w:val="00460DA5"/>
    <w:rsid w:val="00496F59"/>
    <w:rsid w:val="004E7EC8"/>
    <w:rsid w:val="004F6C2C"/>
    <w:rsid w:val="004F73F4"/>
    <w:rsid w:val="00504CDB"/>
    <w:rsid w:val="005368D3"/>
    <w:rsid w:val="00541320"/>
    <w:rsid w:val="0054239A"/>
    <w:rsid w:val="00556D42"/>
    <w:rsid w:val="0058178D"/>
    <w:rsid w:val="00582299"/>
    <w:rsid w:val="00584A1F"/>
    <w:rsid w:val="00584C70"/>
    <w:rsid w:val="005B688B"/>
    <w:rsid w:val="005C5014"/>
    <w:rsid w:val="005E0A26"/>
    <w:rsid w:val="005E2E1F"/>
    <w:rsid w:val="005F0A9E"/>
    <w:rsid w:val="00604A66"/>
    <w:rsid w:val="00626B49"/>
    <w:rsid w:val="00626D8E"/>
    <w:rsid w:val="00633AED"/>
    <w:rsid w:val="00635760"/>
    <w:rsid w:val="00684F75"/>
    <w:rsid w:val="006A063F"/>
    <w:rsid w:val="006B0BB1"/>
    <w:rsid w:val="006B64C7"/>
    <w:rsid w:val="006F3E75"/>
    <w:rsid w:val="00700F3A"/>
    <w:rsid w:val="007032D7"/>
    <w:rsid w:val="00746AAE"/>
    <w:rsid w:val="00753231"/>
    <w:rsid w:val="0076152A"/>
    <w:rsid w:val="00766EB1"/>
    <w:rsid w:val="007D698F"/>
    <w:rsid w:val="007E6227"/>
    <w:rsid w:val="008051F3"/>
    <w:rsid w:val="00836A71"/>
    <w:rsid w:val="00891A0F"/>
    <w:rsid w:val="008A5EED"/>
    <w:rsid w:val="008B3AF0"/>
    <w:rsid w:val="008B7C69"/>
    <w:rsid w:val="008C1331"/>
    <w:rsid w:val="0090499F"/>
    <w:rsid w:val="00921644"/>
    <w:rsid w:val="009254EC"/>
    <w:rsid w:val="0093723F"/>
    <w:rsid w:val="009501C7"/>
    <w:rsid w:val="009832B7"/>
    <w:rsid w:val="009B2599"/>
    <w:rsid w:val="009C39DB"/>
    <w:rsid w:val="009C6A63"/>
    <w:rsid w:val="009D128C"/>
    <w:rsid w:val="009F1A3F"/>
    <w:rsid w:val="00A241D3"/>
    <w:rsid w:val="00A26EC0"/>
    <w:rsid w:val="00A371BC"/>
    <w:rsid w:val="00A40B47"/>
    <w:rsid w:val="00A466C8"/>
    <w:rsid w:val="00A47E4A"/>
    <w:rsid w:val="00A53329"/>
    <w:rsid w:val="00A65E8D"/>
    <w:rsid w:val="00A761FD"/>
    <w:rsid w:val="00A82A3E"/>
    <w:rsid w:val="00AB768B"/>
    <w:rsid w:val="00AD29A0"/>
    <w:rsid w:val="00B244A7"/>
    <w:rsid w:val="00B30CCE"/>
    <w:rsid w:val="00B336A6"/>
    <w:rsid w:val="00B63CC7"/>
    <w:rsid w:val="00BB24F5"/>
    <w:rsid w:val="00BE6575"/>
    <w:rsid w:val="00BF239E"/>
    <w:rsid w:val="00C06E89"/>
    <w:rsid w:val="00C311FF"/>
    <w:rsid w:val="00C35472"/>
    <w:rsid w:val="00C37E5D"/>
    <w:rsid w:val="00C45065"/>
    <w:rsid w:val="00C53A0B"/>
    <w:rsid w:val="00C5720B"/>
    <w:rsid w:val="00CF356C"/>
    <w:rsid w:val="00D03A4F"/>
    <w:rsid w:val="00D1602C"/>
    <w:rsid w:val="00D17AB8"/>
    <w:rsid w:val="00D25963"/>
    <w:rsid w:val="00D266AA"/>
    <w:rsid w:val="00D31C10"/>
    <w:rsid w:val="00D47AD5"/>
    <w:rsid w:val="00D90DDA"/>
    <w:rsid w:val="00DC2A13"/>
    <w:rsid w:val="00DC6BEC"/>
    <w:rsid w:val="00DF4D98"/>
    <w:rsid w:val="00E21D72"/>
    <w:rsid w:val="00E3122F"/>
    <w:rsid w:val="00E55104"/>
    <w:rsid w:val="00E6183F"/>
    <w:rsid w:val="00E84D63"/>
    <w:rsid w:val="00EA6812"/>
    <w:rsid w:val="00EA6EE5"/>
    <w:rsid w:val="00EB37AE"/>
    <w:rsid w:val="00EC2E9E"/>
    <w:rsid w:val="00EC6CF9"/>
    <w:rsid w:val="00EF0A19"/>
    <w:rsid w:val="00EF29F3"/>
    <w:rsid w:val="00F07947"/>
    <w:rsid w:val="00F23700"/>
    <w:rsid w:val="00F274AC"/>
    <w:rsid w:val="00FA046C"/>
    <w:rsid w:val="00FD0CA0"/>
    <w:rsid w:val="00FD2374"/>
    <w:rsid w:val="00FD3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39E3"/>
  <w15:chartTrackingRefBased/>
  <w15:docId w15:val="{25FD3EA7-25C4-4081-B848-C739BF9A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63"/>
    <w:pPr>
      <w:ind w:left="720"/>
      <w:contextualSpacing/>
    </w:pPr>
  </w:style>
  <w:style w:type="character" w:styleId="Hyperlink">
    <w:name w:val="Hyperlink"/>
    <w:basedOn w:val="DefaultParagraphFont"/>
    <w:uiPriority w:val="99"/>
    <w:unhideWhenUsed/>
    <w:rsid w:val="00EC2E9E"/>
    <w:rPr>
      <w:color w:val="0563C1" w:themeColor="hyperlink"/>
      <w:u w:val="single"/>
    </w:rPr>
  </w:style>
  <w:style w:type="character" w:styleId="UnresolvedMention">
    <w:name w:val="Unresolved Mention"/>
    <w:basedOn w:val="DefaultParagraphFont"/>
    <w:uiPriority w:val="99"/>
    <w:semiHidden/>
    <w:unhideWhenUsed/>
    <w:rsid w:val="00EC2E9E"/>
    <w:rPr>
      <w:color w:val="605E5C"/>
      <w:shd w:val="clear" w:color="auto" w:fill="E1DFDD"/>
    </w:rPr>
  </w:style>
  <w:style w:type="paragraph" w:styleId="BalloonText">
    <w:name w:val="Balloon Text"/>
    <w:basedOn w:val="Normal"/>
    <w:link w:val="BalloonTextChar"/>
    <w:uiPriority w:val="99"/>
    <w:semiHidden/>
    <w:unhideWhenUsed/>
    <w:rsid w:val="002B7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D4F"/>
    <w:rPr>
      <w:rFonts w:ascii="Segoe UI" w:hAnsi="Segoe UI" w:cs="Segoe UI"/>
      <w:sz w:val="18"/>
      <w:szCs w:val="18"/>
    </w:rPr>
  </w:style>
  <w:style w:type="character" w:styleId="FollowedHyperlink">
    <w:name w:val="FollowedHyperlink"/>
    <w:basedOn w:val="DefaultParagraphFont"/>
    <w:uiPriority w:val="99"/>
    <w:semiHidden/>
    <w:unhideWhenUsed/>
    <w:rsid w:val="002546B5"/>
    <w:rPr>
      <w:color w:val="954F72" w:themeColor="followedHyperlink"/>
      <w:u w:val="single"/>
    </w:rPr>
  </w:style>
  <w:style w:type="character" w:styleId="CommentReference">
    <w:name w:val="annotation reference"/>
    <w:basedOn w:val="DefaultParagraphFont"/>
    <w:uiPriority w:val="99"/>
    <w:semiHidden/>
    <w:unhideWhenUsed/>
    <w:rsid w:val="00144BF9"/>
    <w:rPr>
      <w:sz w:val="16"/>
      <w:szCs w:val="16"/>
    </w:rPr>
  </w:style>
  <w:style w:type="paragraph" w:styleId="CommentText">
    <w:name w:val="annotation text"/>
    <w:basedOn w:val="Normal"/>
    <w:link w:val="CommentTextChar"/>
    <w:uiPriority w:val="99"/>
    <w:semiHidden/>
    <w:unhideWhenUsed/>
    <w:rsid w:val="00144BF9"/>
    <w:pPr>
      <w:spacing w:line="240" w:lineRule="auto"/>
    </w:pPr>
    <w:rPr>
      <w:sz w:val="20"/>
      <w:szCs w:val="20"/>
    </w:rPr>
  </w:style>
  <w:style w:type="character" w:customStyle="1" w:styleId="CommentTextChar">
    <w:name w:val="Comment Text Char"/>
    <w:basedOn w:val="DefaultParagraphFont"/>
    <w:link w:val="CommentText"/>
    <w:uiPriority w:val="99"/>
    <w:semiHidden/>
    <w:rsid w:val="00144BF9"/>
    <w:rPr>
      <w:sz w:val="20"/>
      <w:szCs w:val="20"/>
    </w:rPr>
  </w:style>
  <w:style w:type="paragraph" w:styleId="CommentSubject">
    <w:name w:val="annotation subject"/>
    <w:basedOn w:val="CommentText"/>
    <w:next w:val="CommentText"/>
    <w:link w:val="CommentSubjectChar"/>
    <w:uiPriority w:val="99"/>
    <w:semiHidden/>
    <w:unhideWhenUsed/>
    <w:rsid w:val="00144BF9"/>
    <w:rPr>
      <w:b/>
      <w:bCs/>
    </w:rPr>
  </w:style>
  <w:style w:type="character" w:customStyle="1" w:styleId="CommentSubjectChar">
    <w:name w:val="Comment Subject Char"/>
    <w:basedOn w:val="CommentTextChar"/>
    <w:link w:val="CommentSubject"/>
    <w:uiPriority w:val="99"/>
    <w:semiHidden/>
    <w:rsid w:val="00144B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3131">
      <w:bodyDiv w:val="1"/>
      <w:marLeft w:val="0"/>
      <w:marRight w:val="0"/>
      <w:marTop w:val="0"/>
      <w:marBottom w:val="0"/>
      <w:divBdr>
        <w:top w:val="none" w:sz="0" w:space="0" w:color="auto"/>
        <w:left w:val="none" w:sz="0" w:space="0" w:color="auto"/>
        <w:bottom w:val="none" w:sz="0" w:space="0" w:color="auto"/>
        <w:right w:val="none" w:sz="0" w:space="0" w:color="auto"/>
      </w:divBdr>
    </w:div>
    <w:div w:id="209003847">
      <w:bodyDiv w:val="1"/>
      <w:marLeft w:val="0"/>
      <w:marRight w:val="0"/>
      <w:marTop w:val="0"/>
      <w:marBottom w:val="0"/>
      <w:divBdr>
        <w:top w:val="none" w:sz="0" w:space="0" w:color="auto"/>
        <w:left w:val="none" w:sz="0" w:space="0" w:color="auto"/>
        <w:bottom w:val="none" w:sz="0" w:space="0" w:color="auto"/>
        <w:right w:val="none" w:sz="0" w:space="0" w:color="auto"/>
      </w:divBdr>
    </w:div>
    <w:div w:id="465507900">
      <w:bodyDiv w:val="1"/>
      <w:marLeft w:val="0"/>
      <w:marRight w:val="0"/>
      <w:marTop w:val="0"/>
      <w:marBottom w:val="0"/>
      <w:divBdr>
        <w:top w:val="none" w:sz="0" w:space="0" w:color="auto"/>
        <w:left w:val="none" w:sz="0" w:space="0" w:color="auto"/>
        <w:bottom w:val="none" w:sz="0" w:space="0" w:color="auto"/>
        <w:right w:val="none" w:sz="0" w:space="0" w:color="auto"/>
      </w:divBdr>
    </w:div>
    <w:div w:id="792484527">
      <w:bodyDiv w:val="1"/>
      <w:marLeft w:val="0"/>
      <w:marRight w:val="0"/>
      <w:marTop w:val="0"/>
      <w:marBottom w:val="0"/>
      <w:divBdr>
        <w:top w:val="none" w:sz="0" w:space="0" w:color="auto"/>
        <w:left w:val="none" w:sz="0" w:space="0" w:color="auto"/>
        <w:bottom w:val="none" w:sz="0" w:space="0" w:color="auto"/>
        <w:right w:val="none" w:sz="0" w:space="0" w:color="auto"/>
      </w:divBdr>
    </w:div>
    <w:div w:id="1642883839">
      <w:bodyDiv w:val="1"/>
      <w:marLeft w:val="0"/>
      <w:marRight w:val="0"/>
      <w:marTop w:val="0"/>
      <w:marBottom w:val="0"/>
      <w:divBdr>
        <w:top w:val="none" w:sz="0" w:space="0" w:color="auto"/>
        <w:left w:val="none" w:sz="0" w:space="0" w:color="auto"/>
        <w:bottom w:val="none" w:sz="0" w:space="0" w:color="auto"/>
        <w:right w:val="none" w:sz="0" w:space="0" w:color="auto"/>
      </w:divBdr>
    </w:div>
    <w:div w:id="205942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shire.gov.uk/media/3658091/nottinghamshirelocaloutbreakplan.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containing-and-managing-local-coronavirus-covid-19-outbreaks/covid-19-contain-framework-a-guide-for-local-decision-ma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12BF13AF2E74EBB8C602D258661BA" ma:contentTypeVersion="12" ma:contentTypeDescription="Create a new document." ma:contentTypeScope="" ma:versionID="c06e5246a54197dd14380a91faf3a26c">
  <xsd:schema xmlns:xsd="http://www.w3.org/2001/XMLSchema" xmlns:xs="http://www.w3.org/2001/XMLSchema" xmlns:p="http://schemas.microsoft.com/office/2006/metadata/properties" xmlns:ns3="b25eefaf-b5df-42d0-8335-d69155481d01" xmlns:ns4="4652d981-a4df-4001-9557-765fee767975" targetNamespace="http://schemas.microsoft.com/office/2006/metadata/properties" ma:root="true" ma:fieldsID="915dd88161b0c35048c4b936050a056c" ns3:_="" ns4:_="">
    <xsd:import namespace="b25eefaf-b5df-42d0-8335-d69155481d01"/>
    <xsd:import namespace="4652d981-a4df-4001-9557-765fee7679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eefaf-b5df-42d0-8335-d69155481d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d981-a4df-4001-9557-765fee76797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E4E-2577-4415-938E-D439F9DACE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EF4501-DB18-450C-91E2-FB420E018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eefaf-b5df-42d0-8335-d69155481d01"/>
    <ds:schemaRef ds:uri="4652d981-a4df-4001-9557-765fee767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39BDB-DE9D-4379-8455-4D4AEF19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Winter</dc:creator>
  <cp:keywords/>
  <dc:description/>
  <cp:lastModifiedBy>Elizabeth Winter</cp:lastModifiedBy>
  <cp:revision>21</cp:revision>
  <dcterms:created xsi:type="dcterms:W3CDTF">2021-06-08T12:56:00Z</dcterms:created>
  <dcterms:modified xsi:type="dcterms:W3CDTF">2021-06-09T13:47:00Z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0x0101007A012BF13AF2E74EBB8C602D258661BA</vt:lpwstr>
  </property>
</Properties>
</file>