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95A76" w14:textId="77777777" w:rsidR="004900F7" w:rsidRDefault="004900F7" w:rsidP="008B572B">
      <w:pPr>
        <w:spacing w:after="120" w:line="300" w:lineRule="exact"/>
        <w:rPr>
          <w:rFonts w:ascii="Arial" w:hAnsi="Arial" w:cs="Arial"/>
          <w:b/>
          <w:sz w:val="24"/>
          <w:szCs w:val="24"/>
        </w:rPr>
      </w:pPr>
      <w:r>
        <w:rPr>
          <w:rFonts w:ascii="Arial" w:hAnsi="Arial" w:cs="Arial"/>
          <w:b/>
          <w:sz w:val="24"/>
          <w:szCs w:val="24"/>
        </w:rPr>
        <w:t>Data Sharing with Local Authority Public Health Teams</w:t>
      </w:r>
    </w:p>
    <w:p w14:paraId="7E902F63" w14:textId="6F23EBA8" w:rsidR="004900F7" w:rsidRDefault="00C44105" w:rsidP="008B572B">
      <w:pPr>
        <w:spacing w:after="120" w:line="300" w:lineRule="exact"/>
        <w:rPr>
          <w:rFonts w:ascii="Arial" w:hAnsi="Arial" w:cs="Arial"/>
          <w:b/>
          <w:sz w:val="24"/>
          <w:szCs w:val="24"/>
        </w:rPr>
      </w:pPr>
      <w:r>
        <w:rPr>
          <w:rFonts w:ascii="Arial" w:hAnsi="Arial" w:cs="Arial"/>
          <w:b/>
          <w:sz w:val="24"/>
          <w:szCs w:val="24"/>
        </w:rPr>
        <w:t>22 June 2020</w:t>
      </w:r>
    </w:p>
    <w:p w14:paraId="50146F9C" w14:textId="77777777" w:rsidR="0007244E" w:rsidRDefault="0007244E" w:rsidP="008B572B">
      <w:pPr>
        <w:spacing w:after="120" w:line="300" w:lineRule="exact"/>
        <w:rPr>
          <w:rFonts w:ascii="Arial" w:hAnsi="Arial" w:cs="Arial"/>
          <w:b/>
          <w:sz w:val="24"/>
          <w:szCs w:val="24"/>
        </w:rPr>
      </w:pPr>
    </w:p>
    <w:p w14:paraId="7C76F6F3" w14:textId="77777777" w:rsidR="004A4215" w:rsidRPr="00A24177" w:rsidRDefault="004A4215" w:rsidP="00A24177">
      <w:pPr>
        <w:pStyle w:val="ListParagraph"/>
        <w:numPr>
          <w:ilvl w:val="0"/>
          <w:numId w:val="3"/>
        </w:numPr>
        <w:spacing w:after="120" w:line="300" w:lineRule="exact"/>
        <w:rPr>
          <w:rFonts w:ascii="Arial" w:hAnsi="Arial" w:cs="Arial"/>
          <w:b/>
          <w:sz w:val="24"/>
          <w:szCs w:val="24"/>
        </w:rPr>
      </w:pPr>
      <w:r w:rsidRPr="00A24177">
        <w:rPr>
          <w:rFonts w:ascii="Arial" w:hAnsi="Arial" w:cs="Arial"/>
          <w:b/>
          <w:sz w:val="24"/>
          <w:szCs w:val="24"/>
        </w:rPr>
        <w:t>Agreed Terms / Interpretation</w:t>
      </w:r>
    </w:p>
    <w:p w14:paraId="7AECD092" w14:textId="77777777" w:rsidR="004A4215" w:rsidRDefault="004A4215" w:rsidP="0085108C">
      <w:pPr>
        <w:spacing w:after="120" w:line="300" w:lineRule="exact"/>
        <w:jc w:val="both"/>
        <w:rPr>
          <w:rFonts w:ascii="Arial" w:hAnsi="Arial" w:cs="Arial"/>
          <w:sz w:val="24"/>
          <w:szCs w:val="24"/>
        </w:rPr>
      </w:pPr>
      <w:r>
        <w:rPr>
          <w:rFonts w:ascii="Arial" w:hAnsi="Arial" w:cs="Arial"/>
          <w:sz w:val="24"/>
          <w:szCs w:val="24"/>
        </w:rPr>
        <w:t>“Covid-19 Purposes”: The purposes for processing confidential patient information as specified in the ‘</w:t>
      </w:r>
      <w:r w:rsidRPr="005E3100">
        <w:rPr>
          <w:rFonts w:ascii="Arial" w:hAnsi="Arial" w:cs="Arial"/>
          <w:sz w:val="24"/>
          <w:szCs w:val="24"/>
        </w:rPr>
        <w:t>Covid-19 – Notice under Regulation 3(4) of the Health Service Control of Patient Information Regulations 2002</w:t>
      </w:r>
      <w:r>
        <w:rPr>
          <w:rFonts w:ascii="Arial" w:hAnsi="Arial" w:cs="Arial"/>
          <w:sz w:val="24"/>
          <w:szCs w:val="24"/>
        </w:rPr>
        <w:t xml:space="preserve">’ from the Secretary of State for Health and Social Care to </w:t>
      </w:r>
      <w:r w:rsidRPr="005E3100">
        <w:rPr>
          <w:rFonts w:ascii="Arial" w:hAnsi="Arial" w:cs="Arial"/>
          <w:sz w:val="24"/>
          <w:szCs w:val="24"/>
        </w:rPr>
        <w:t>Local Authorities</w:t>
      </w:r>
      <w:r>
        <w:rPr>
          <w:rFonts w:ascii="Arial" w:hAnsi="Arial" w:cs="Arial"/>
          <w:sz w:val="24"/>
          <w:szCs w:val="24"/>
        </w:rPr>
        <w:t xml:space="preserve"> in England dated 20 March 2020. </w:t>
      </w:r>
    </w:p>
    <w:p w14:paraId="6A0A5A76" w14:textId="77777777" w:rsidR="00F37987" w:rsidRPr="00A24177" w:rsidRDefault="008B572B" w:rsidP="00A24177">
      <w:pPr>
        <w:pStyle w:val="ListParagraph"/>
        <w:numPr>
          <w:ilvl w:val="0"/>
          <w:numId w:val="3"/>
        </w:numPr>
        <w:spacing w:after="120" w:line="300" w:lineRule="exact"/>
        <w:rPr>
          <w:rFonts w:ascii="Arial" w:hAnsi="Arial" w:cs="Arial"/>
          <w:b/>
          <w:sz w:val="24"/>
          <w:szCs w:val="24"/>
        </w:rPr>
      </w:pPr>
      <w:r w:rsidRPr="00A24177">
        <w:rPr>
          <w:rFonts w:ascii="Arial" w:hAnsi="Arial" w:cs="Arial"/>
          <w:b/>
          <w:sz w:val="24"/>
          <w:szCs w:val="24"/>
        </w:rPr>
        <w:t>Objectives for Processing</w:t>
      </w:r>
    </w:p>
    <w:p w14:paraId="2A3D5096" w14:textId="381B22B1" w:rsidR="008B572B" w:rsidRPr="00DF0482" w:rsidRDefault="00962DFF" w:rsidP="00DF0482">
      <w:pPr>
        <w:spacing w:after="120" w:line="300" w:lineRule="exact"/>
        <w:jc w:val="both"/>
        <w:rPr>
          <w:rFonts w:ascii="Arial" w:hAnsi="Arial" w:cs="Arial"/>
          <w:sz w:val="24"/>
          <w:szCs w:val="24"/>
        </w:rPr>
      </w:pPr>
      <w:r w:rsidRPr="00DF0482">
        <w:rPr>
          <w:rFonts w:ascii="Arial" w:hAnsi="Arial" w:cs="Arial"/>
          <w:sz w:val="24"/>
          <w:szCs w:val="24"/>
        </w:rPr>
        <w:t xml:space="preserve">The </w:t>
      </w:r>
      <w:r w:rsidR="004A4215" w:rsidRPr="00DF0482">
        <w:rPr>
          <w:rFonts w:ascii="Arial" w:hAnsi="Arial" w:cs="Arial"/>
          <w:sz w:val="24"/>
          <w:szCs w:val="24"/>
        </w:rPr>
        <w:t xml:space="preserve">Data shall be processed for the </w:t>
      </w:r>
      <w:r w:rsidR="00834BA0" w:rsidRPr="00DF0482">
        <w:rPr>
          <w:rFonts w:ascii="Arial" w:hAnsi="Arial" w:cs="Arial"/>
          <w:sz w:val="24"/>
          <w:szCs w:val="24"/>
        </w:rPr>
        <w:t>purpose of delivering services to patients, clinicians, the health services and adult social care services workforce and the public about and in connection with Covid-19, including the provision of information, fit notes and the provision of health care and adult social care services. Specifically</w:t>
      </w:r>
      <w:r w:rsidR="00DF0482">
        <w:rPr>
          <w:rFonts w:ascii="Arial" w:hAnsi="Arial" w:cs="Arial"/>
          <w:sz w:val="24"/>
          <w:szCs w:val="24"/>
        </w:rPr>
        <w:t>,</w:t>
      </w:r>
      <w:r w:rsidR="00834BA0" w:rsidRPr="00DF0482">
        <w:rPr>
          <w:rFonts w:ascii="Arial" w:hAnsi="Arial" w:cs="Arial"/>
          <w:sz w:val="24"/>
          <w:szCs w:val="24"/>
        </w:rPr>
        <w:t xml:space="preserve"> this will enable</w:t>
      </w:r>
      <w:r w:rsidR="00DF0482">
        <w:rPr>
          <w:rFonts w:ascii="Arial" w:hAnsi="Arial" w:cs="Arial"/>
          <w:sz w:val="24"/>
          <w:szCs w:val="24"/>
        </w:rPr>
        <w:t>:</w:t>
      </w:r>
      <w:r w:rsidR="004A4215" w:rsidRPr="00DF0482">
        <w:rPr>
          <w:rFonts w:ascii="Arial" w:hAnsi="Arial" w:cs="Arial"/>
          <w:sz w:val="24"/>
          <w:szCs w:val="24"/>
        </w:rPr>
        <w:t xml:space="preserve"> </w:t>
      </w:r>
    </w:p>
    <w:p w14:paraId="0D495DAA" w14:textId="00436D7B" w:rsidR="004A4215" w:rsidRPr="00704B6E" w:rsidRDefault="004A4215" w:rsidP="0085108C">
      <w:pPr>
        <w:pStyle w:val="ListParagraph"/>
        <w:numPr>
          <w:ilvl w:val="0"/>
          <w:numId w:val="1"/>
        </w:numPr>
        <w:spacing w:after="120" w:line="300" w:lineRule="exact"/>
        <w:jc w:val="both"/>
        <w:rPr>
          <w:rFonts w:ascii="Arial" w:hAnsi="Arial" w:cs="Arial"/>
          <w:sz w:val="24"/>
          <w:szCs w:val="24"/>
        </w:rPr>
      </w:pPr>
      <w:r w:rsidRPr="00704B6E">
        <w:rPr>
          <w:rFonts w:ascii="Arial" w:hAnsi="Arial" w:cs="Arial"/>
          <w:sz w:val="24"/>
          <w:szCs w:val="24"/>
        </w:rPr>
        <w:t>understanding Covid-19 and risks to public health, trends in Covid-19 and such risks, and controlling and preventing the spread of Covid-19 and such risks;</w:t>
      </w:r>
    </w:p>
    <w:p w14:paraId="529B0E0F" w14:textId="77777777" w:rsidR="004A4215" w:rsidRPr="00704B6E" w:rsidRDefault="004A4215" w:rsidP="0085108C">
      <w:pPr>
        <w:pStyle w:val="ListParagraph"/>
        <w:numPr>
          <w:ilvl w:val="0"/>
          <w:numId w:val="1"/>
        </w:numPr>
        <w:spacing w:after="120" w:line="300" w:lineRule="exact"/>
        <w:jc w:val="both"/>
        <w:rPr>
          <w:rFonts w:ascii="Arial" w:hAnsi="Arial" w:cs="Arial"/>
          <w:sz w:val="24"/>
          <w:szCs w:val="24"/>
        </w:rPr>
      </w:pPr>
      <w:r w:rsidRPr="00704B6E">
        <w:rPr>
          <w:rFonts w:ascii="Arial" w:hAnsi="Arial" w:cs="Arial"/>
          <w:sz w:val="24"/>
          <w:szCs w:val="24"/>
        </w:rPr>
        <w:t xml:space="preserve">identifying and understanding information about patients with Covid-19 and collecting information about </w:t>
      </w:r>
      <w:r w:rsidR="00704B6E" w:rsidRPr="00704B6E">
        <w:rPr>
          <w:rFonts w:ascii="Arial" w:hAnsi="Arial" w:cs="Arial"/>
          <w:sz w:val="24"/>
          <w:szCs w:val="24"/>
        </w:rPr>
        <w:t>services in relation to testing</w:t>
      </w:r>
      <w:r w:rsidRPr="00704B6E">
        <w:rPr>
          <w:rFonts w:ascii="Arial" w:hAnsi="Arial" w:cs="Arial"/>
          <w:sz w:val="24"/>
          <w:szCs w:val="24"/>
        </w:rPr>
        <w:t xml:space="preserve"> </w:t>
      </w:r>
      <w:r w:rsidR="00704B6E" w:rsidRPr="00704B6E">
        <w:rPr>
          <w:rFonts w:ascii="Arial" w:hAnsi="Arial" w:cs="Arial"/>
          <w:sz w:val="24"/>
          <w:szCs w:val="24"/>
        </w:rPr>
        <w:t>for</w:t>
      </w:r>
      <w:r w:rsidRPr="00704B6E">
        <w:rPr>
          <w:rFonts w:ascii="Arial" w:hAnsi="Arial" w:cs="Arial"/>
          <w:sz w:val="24"/>
          <w:szCs w:val="24"/>
        </w:rPr>
        <w:t xml:space="preserve"> Covid-19;</w:t>
      </w:r>
    </w:p>
    <w:p w14:paraId="21774458" w14:textId="77777777" w:rsidR="00704B6E" w:rsidRPr="00704B6E" w:rsidRDefault="00704B6E" w:rsidP="0085108C">
      <w:pPr>
        <w:pStyle w:val="ListParagraph"/>
        <w:numPr>
          <w:ilvl w:val="0"/>
          <w:numId w:val="1"/>
        </w:numPr>
        <w:spacing w:after="120" w:line="300" w:lineRule="exact"/>
        <w:jc w:val="both"/>
        <w:rPr>
          <w:rFonts w:ascii="Arial" w:hAnsi="Arial" w:cs="Arial"/>
          <w:sz w:val="24"/>
          <w:szCs w:val="24"/>
        </w:rPr>
      </w:pPr>
      <w:r w:rsidRPr="00704B6E">
        <w:rPr>
          <w:rFonts w:ascii="Arial" w:hAnsi="Arial" w:cs="Arial"/>
          <w:sz w:val="24"/>
          <w:szCs w:val="24"/>
        </w:rPr>
        <w:t>monitoring and managing the response to Covid-19</w:t>
      </w:r>
      <w:r w:rsidRPr="00704B6E">
        <w:t xml:space="preserve"> </w:t>
      </w:r>
      <w:r w:rsidRPr="00704B6E">
        <w:rPr>
          <w:rFonts w:ascii="Arial" w:hAnsi="Arial" w:cs="Arial"/>
          <w:sz w:val="24"/>
          <w:szCs w:val="24"/>
        </w:rPr>
        <w:t xml:space="preserve">by health and social care bodies in relation to testing for Covid-19; </w:t>
      </w:r>
    </w:p>
    <w:p w14:paraId="7EE8B2F4" w14:textId="594376E4" w:rsidR="00A24177" w:rsidRDefault="00704B6E" w:rsidP="008B572B">
      <w:pPr>
        <w:pStyle w:val="ListParagraph"/>
        <w:numPr>
          <w:ilvl w:val="0"/>
          <w:numId w:val="1"/>
        </w:numPr>
        <w:spacing w:after="120" w:line="300" w:lineRule="exact"/>
        <w:jc w:val="both"/>
        <w:rPr>
          <w:rFonts w:ascii="Arial" w:hAnsi="Arial" w:cs="Arial"/>
          <w:sz w:val="24"/>
          <w:szCs w:val="24"/>
        </w:rPr>
      </w:pPr>
      <w:r w:rsidRPr="00704B6E">
        <w:rPr>
          <w:rFonts w:ascii="Arial" w:hAnsi="Arial" w:cs="Arial"/>
          <w:sz w:val="24"/>
          <w:szCs w:val="24"/>
        </w:rPr>
        <w:t xml:space="preserve">research and planning in relation to testing </w:t>
      </w:r>
      <w:r>
        <w:rPr>
          <w:rFonts w:ascii="Arial" w:hAnsi="Arial" w:cs="Arial"/>
          <w:sz w:val="24"/>
          <w:szCs w:val="24"/>
        </w:rPr>
        <w:t xml:space="preserve">for </w:t>
      </w:r>
      <w:r w:rsidRPr="00704B6E">
        <w:rPr>
          <w:rFonts w:ascii="Arial" w:hAnsi="Arial" w:cs="Arial"/>
          <w:sz w:val="24"/>
          <w:szCs w:val="24"/>
        </w:rPr>
        <w:t>Covid-19</w:t>
      </w:r>
      <w:r>
        <w:rPr>
          <w:rFonts w:ascii="Arial" w:hAnsi="Arial" w:cs="Arial"/>
          <w:sz w:val="24"/>
          <w:szCs w:val="24"/>
        </w:rPr>
        <w:t xml:space="preserve">. </w:t>
      </w:r>
    </w:p>
    <w:p w14:paraId="0C34E764" w14:textId="77777777" w:rsidR="00560F73" w:rsidRPr="00FC6268" w:rsidRDefault="00560F73" w:rsidP="00560F73">
      <w:pPr>
        <w:pStyle w:val="ListParagraph"/>
        <w:spacing w:after="120" w:line="300" w:lineRule="exact"/>
        <w:jc w:val="both"/>
        <w:rPr>
          <w:rFonts w:ascii="Arial" w:hAnsi="Arial" w:cs="Arial"/>
          <w:sz w:val="24"/>
          <w:szCs w:val="24"/>
        </w:rPr>
      </w:pPr>
      <w:bookmarkStart w:id="0" w:name="_GoBack"/>
      <w:bookmarkEnd w:id="0"/>
    </w:p>
    <w:p w14:paraId="5FD28B40" w14:textId="6F87ADC2" w:rsidR="005E3100" w:rsidRPr="00A24177" w:rsidRDefault="005E3100" w:rsidP="00A24177">
      <w:pPr>
        <w:pStyle w:val="ListParagraph"/>
        <w:numPr>
          <w:ilvl w:val="0"/>
          <w:numId w:val="3"/>
        </w:numPr>
        <w:spacing w:after="120" w:line="300" w:lineRule="exact"/>
        <w:rPr>
          <w:rFonts w:ascii="Arial" w:hAnsi="Arial" w:cs="Arial"/>
          <w:b/>
          <w:sz w:val="24"/>
          <w:szCs w:val="24"/>
        </w:rPr>
      </w:pPr>
      <w:r w:rsidRPr="00A24177">
        <w:rPr>
          <w:rFonts w:ascii="Arial" w:hAnsi="Arial" w:cs="Arial"/>
          <w:b/>
          <w:sz w:val="24"/>
          <w:szCs w:val="24"/>
        </w:rPr>
        <w:t>Termination Date</w:t>
      </w:r>
    </w:p>
    <w:p w14:paraId="2B35012D" w14:textId="77777777" w:rsidR="005E3100" w:rsidRDefault="005E3100" w:rsidP="0085108C">
      <w:pPr>
        <w:spacing w:after="120" w:line="300" w:lineRule="exact"/>
        <w:jc w:val="both"/>
        <w:rPr>
          <w:rFonts w:ascii="Arial" w:hAnsi="Arial" w:cs="Arial"/>
          <w:sz w:val="24"/>
          <w:szCs w:val="24"/>
        </w:rPr>
      </w:pPr>
      <w:r>
        <w:rPr>
          <w:rFonts w:ascii="Arial" w:hAnsi="Arial" w:cs="Arial"/>
          <w:sz w:val="24"/>
          <w:szCs w:val="24"/>
        </w:rPr>
        <w:t>30 September 2020 or until such time as the ‘</w:t>
      </w:r>
      <w:r w:rsidRPr="005E3100">
        <w:rPr>
          <w:rFonts w:ascii="Arial" w:hAnsi="Arial" w:cs="Arial"/>
          <w:sz w:val="24"/>
          <w:szCs w:val="24"/>
        </w:rPr>
        <w:t>Covid-19 – Notice under Regulation 3(4) of the Health Service Control of Patient Information Regulations 2002</w:t>
      </w:r>
      <w:r>
        <w:rPr>
          <w:rFonts w:ascii="Arial" w:hAnsi="Arial" w:cs="Arial"/>
          <w:sz w:val="24"/>
          <w:szCs w:val="24"/>
        </w:rPr>
        <w:t xml:space="preserve">’ from the Secretary of State for Health and Social Care to </w:t>
      </w:r>
      <w:r w:rsidRPr="005E3100">
        <w:rPr>
          <w:rFonts w:ascii="Arial" w:hAnsi="Arial" w:cs="Arial"/>
          <w:sz w:val="24"/>
          <w:szCs w:val="24"/>
        </w:rPr>
        <w:t>Local Authorities</w:t>
      </w:r>
      <w:r>
        <w:rPr>
          <w:rFonts w:ascii="Arial" w:hAnsi="Arial" w:cs="Arial"/>
          <w:sz w:val="24"/>
          <w:szCs w:val="24"/>
        </w:rPr>
        <w:t xml:space="preserve"> in England dated 20 March 2020 is extended.</w:t>
      </w:r>
      <w:r w:rsidR="00922214">
        <w:rPr>
          <w:rFonts w:ascii="Arial" w:hAnsi="Arial" w:cs="Arial"/>
          <w:sz w:val="24"/>
          <w:szCs w:val="24"/>
        </w:rPr>
        <w:t xml:space="preserve"> </w:t>
      </w:r>
    </w:p>
    <w:p w14:paraId="2B7AD68B" w14:textId="77777777" w:rsidR="008B572B" w:rsidRPr="00A24177" w:rsidRDefault="008B572B" w:rsidP="00A24177">
      <w:pPr>
        <w:pStyle w:val="ListParagraph"/>
        <w:numPr>
          <w:ilvl w:val="0"/>
          <w:numId w:val="3"/>
        </w:numPr>
        <w:spacing w:after="120" w:line="300" w:lineRule="exact"/>
        <w:jc w:val="both"/>
        <w:rPr>
          <w:rFonts w:ascii="Arial" w:hAnsi="Arial" w:cs="Arial"/>
          <w:b/>
          <w:sz w:val="24"/>
          <w:szCs w:val="24"/>
        </w:rPr>
      </w:pPr>
      <w:r w:rsidRPr="00A24177">
        <w:rPr>
          <w:rFonts w:ascii="Arial" w:hAnsi="Arial" w:cs="Arial"/>
          <w:b/>
          <w:sz w:val="24"/>
          <w:szCs w:val="24"/>
        </w:rPr>
        <w:t xml:space="preserve">Legal </w:t>
      </w:r>
      <w:r w:rsidR="005E3100" w:rsidRPr="00A24177">
        <w:rPr>
          <w:rFonts w:ascii="Arial" w:hAnsi="Arial" w:cs="Arial"/>
          <w:b/>
          <w:sz w:val="24"/>
          <w:szCs w:val="24"/>
        </w:rPr>
        <w:t>G</w:t>
      </w:r>
      <w:r w:rsidRPr="00A24177">
        <w:rPr>
          <w:rFonts w:ascii="Arial" w:hAnsi="Arial" w:cs="Arial"/>
          <w:b/>
          <w:sz w:val="24"/>
          <w:szCs w:val="24"/>
        </w:rPr>
        <w:t>ateway</w:t>
      </w:r>
      <w:r w:rsidR="004900F7" w:rsidRPr="00A24177">
        <w:rPr>
          <w:rFonts w:ascii="Arial" w:hAnsi="Arial" w:cs="Arial"/>
          <w:b/>
          <w:sz w:val="24"/>
          <w:szCs w:val="24"/>
        </w:rPr>
        <w:t xml:space="preserve"> (common law duty)</w:t>
      </w:r>
    </w:p>
    <w:p w14:paraId="22855901" w14:textId="77777777" w:rsidR="008B572B" w:rsidRDefault="008B572B" w:rsidP="0085108C">
      <w:pPr>
        <w:spacing w:after="120" w:line="300" w:lineRule="exact"/>
        <w:jc w:val="both"/>
        <w:rPr>
          <w:rFonts w:ascii="Arial" w:hAnsi="Arial" w:cs="Arial"/>
          <w:sz w:val="24"/>
          <w:szCs w:val="24"/>
        </w:rPr>
      </w:pPr>
      <w:r w:rsidRPr="008B572B">
        <w:rPr>
          <w:rFonts w:ascii="Arial" w:hAnsi="Arial" w:cs="Arial"/>
          <w:sz w:val="24"/>
          <w:szCs w:val="24"/>
        </w:rPr>
        <w:t>Regulation 3</w:t>
      </w:r>
      <w:r w:rsidR="00922214">
        <w:rPr>
          <w:rFonts w:ascii="Arial" w:hAnsi="Arial" w:cs="Arial"/>
          <w:sz w:val="24"/>
          <w:szCs w:val="24"/>
        </w:rPr>
        <w:t xml:space="preserve"> of the</w:t>
      </w:r>
      <w:r w:rsidRPr="008B572B">
        <w:rPr>
          <w:rFonts w:ascii="Arial" w:hAnsi="Arial" w:cs="Arial"/>
          <w:sz w:val="24"/>
          <w:szCs w:val="24"/>
        </w:rPr>
        <w:t xml:space="preserve"> Health Service (Control of Patient Information) Regulations 2002</w:t>
      </w:r>
      <w:r w:rsidR="00922214">
        <w:rPr>
          <w:rFonts w:ascii="Arial" w:hAnsi="Arial" w:cs="Arial"/>
          <w:sz w:val="24"/>
          <w:szCs w:val="24"/>
        </w:rPr>
        <w:t xml:space="preserve"> in accordance with the ‘</w:t>
      </w:r>
      <w:r w:rsidR="00922214" w:rsidRPr="005E3100">
        <w:rPr>
          <w:rFonts w:ascii="Arial" w:hAnsi="Arial" w:cs="Arial"/>
          <w:sz w:val="24"/>
          <w:szCs w:val="24"/>
        </w:rPr>
        <w:t>Covid-19 – Notice under Regulation 3(4) of the Health Service Control of Patient Information Regulations 2002</w:t>
      </w:r>
      <w:r w:rsidR="00922214">
        <w:rPr>
          <w:rFonts w:ascii="Arial" w:hAnsi="Arial" w:cs="Arial"/>
          <w:sz w:val="24"/>
          <w:szCs w:val="24"/>
        </w:rPr>
        <w:t xml:space="preserve">’ from the Secretary of State for Health and Social Care to </w:t>
      </w:r>
      <w:r w:rsidR="00922214" w:rsidRPr="005E3100">
        <w:rPr>
          <w:rFonts w:ascii="Arial" w:hAnsi="Arial" w:cs="Arial"/>
          <w:sz w:val="24"/>
          <w:szCs w:val="24"/>
        </w:rPr>
        <w:t>Local Authorities</w:t>
      </w:r>
      <w:r w:rsidR="00922214">
        <w:rPr>
          <w:rFonts w:ascii="Arial" w:hAnsi="Arial" w:cs="Arial"/>
          <w:sz w:val="24"/>
          <w:szCs w:val="24"/>
        </w:rPr>
        <w:t xml:space="preserve"> in England dated 20 March 2020. </w:t>
      </w:r>
    </w:p>
    <w:p w14:paraId="70B45247" w14:textId="5874B42B" w:rsidR="004900F7" w:rsidRPr="00A24177" w:rsidRDefault="004900F7" w:rsidP="00A24177">
      <w:pPr>
        <w:pStyle w:val="ListParagraph"/>
        <w:numPr>
          <w:ilvl w:val="0"/>
          <w:numId w:val="3"/>
        </w:numPr>
        <w:spacing w:after="120" w:line="300" w:lineRule="exact"/>
        <w:jc w:val="both"/>
        <w:rPr>
          <w:rFonts w:ascii="Arial" w:hAnsi="Arial" w:cs="Arial"/>
          <w:b/>
          <w:sz w:val="24"/>
          <w:szCs w:val="24"/>
        </w:rPr>
      </w:pPr>
      <w:r w:rsidRPr="00A24177">
        <w:rPr>
          <w:rFonts w:ascii="Arial" w:hAnsi="Arial" w:cs="Arial"/>
          <w:b/>
          <w:sz w:val="24"/>
          <w:szCs w:val="24"/>
        </w:rPr>
        <w:t>Lawfulness of Processing (GDPR)</w:t>
      </w:r>
    </w:p>
    <w:p w14:paraId="4E16B1FE" w14:textId="21842ACF" w:rsidR="000B08BE" w:rsidRPr="00834BA0" w:rsidRDefault="000B08BE" w:rsidP="0085108C">
      <w:pPr>
        <w:spacing w:after="120" w:line="300" w:lineRule="exact"/>
        <w:jc w:val="both"/>
        <w:rPr>
          <w:rFonts w:ascii="Arial" w:hAnsi="Arial" w:cs="Arial"/>
          <w:sz w:val="24"/>
          <w:szCs w:val="24"/>
        </w:rPr>
      </w:pPr>
      <w:r w:rsidRPr="00834BA0">
        <w:rPr>
          <w:rFonts w:ascii="Arial" w:hAnsi="Arial" w:cs="Arial"/>
          <w:sz w:val="24"/>
          <w:szCs w:val="24"/>
        </w:rPr>
        <w:t>All processing must be carried out in accordance with the Data Protection Act 2018, GDPR and any associated codes of practice issued by the ICO.</w:t>
      </w:r>
    </w:p>
    <w:p w14:paraId="78F23830" w14:textId="460AF9E5" w:rsidR="000B08BE" w:rsidRPr="00834BA0" w:rsidRDefault="000B08BE" w:rsidP="0085108C">
      <w:pPr>
        <w:spacing w:after="120" w:line="300" w:lineRule="exact"/>
        <w:jc w:val="both"/>
        <w:rPr>
          <w:rFonts w:ascii="Arial" w:hAnsi="Arial" w:cs="Arial"/>
          <w:sz w:val="24"/>
          <w:szCs w:val="24"/>
        </w:rPr>
      </w:pPr>
      <w:r w:rsidRPr="00834BA0">
        <w:rPr>
          <w:rFonts w:ascii="Arial" w:hAnsi="Arial" w:cs="Arial"/>
          <w:sz w:val="24"/>
          <w:szCs w:val="24"/>
        </w:rPr>
        <w:t>More particularly, the legal bases for any processing are:</w:t>
      </w:r>
    </w:p>
    <w:p w14:paraId="50C5629B" w14:textId="77777777" w:rsidR="004900F7" w:rsidRDefault="004900F7" w:rsidP="0085108C">
      <w:pPr>
        <w:spacing w:after="120" w:line="300" w:lineRule="exact"/>
        <w:jc w:val="both"/>
        <w:rPr>
          <w:rFonts w:ascii="Arial" w:hAnsi="Arial" w:cs="Arial"/>
          <w:sz w:val="24"/>
          <w:szCs w:val="24"/>
        </w:rPr>
      </w:pPr>
      <w:r>
        <w:rPr>
          <w:rFonts w:ascii="Arial" w:hAnsi="Arial" w:cs="Arial"/>
          <w:sz w:val="24"/>
          <w:szCs w:val="24"/>
        </w:rPr>
        <w:t>Article 6.1.(e) - processing</w:t>
      </w:r>
      <w:r w:rsidRPr="004900F7">
        <w:rPr>
          <w:rFonts w:ascii="Arial" w:hAnsi="Arial" w:cs="Arial"/>
          <w:sz w:val="24"/>
          <w:szCs w:val="24"/>
        </w:rPr>
        <w:t xml:space="preserve"> is necessary for the performance of a task carried out in the public interest or in the exercise of official authority vested in the controller;</w:t>
      </w:r>
      <w:r>
        <w:rPr>
          <w:rFonts w:ascii="Arial" w:hAnsi="Arial" w:cs="Arial"/>
          <w:sz w:val="24"/>
          <w:szCs w:val="24"/>
        </w:rPr>
        <w:t xml:space="preserve"> and</w:t>
      </w:r>
    </w:p>
    <w:p w14:paraId="3F64B50B" w14:textId="77777777" w:rsidR="004900F7" w:rsidRDefault="004900F7" w:rsidP="0085108C">
      <w:pPr>
        <w:spacing w:after="120" w:line="300" w:lineRule="exact"/>
        <w:jc w:val="both"/>
        <w:rPr>
          <w:rFonts w:ascii="Arial" w:hAnsi="Arial" w:cs="Arial"/>
          <w:sz w:val="24"/>
          <w:szCs w:val="24"/>
        </w:rPr>
      </w:pPr>
      <w:r>
        <w:rPr>
          <w:rFonts w:ascii="Arial" w:hAnsi="Arial" w:cs="Arial"/>
          <w:sz w:val="24"/>
          <w:szCs w:val="24"/>
        </w:rPr>
        <w:t xml:space="preserve">Article 9.2.(i) – processing </w:t>
      </w:r>
      <w:r w:rsidRPr="004900F7">
        <w:rPr>
          <w:rFonts w:ascii="Arial" w:hAnsi="Arial" w:cs="Arial"/>
          <w:sz w:val="24"/>
          <w:szCs w:val="24"/>
        </w:rPr>
        <w:t xml:space="preserve">is necessary for reasons of public interest in the area of public health, such as protecting against serious cross-border threats to health or </w:t>
      </w:r>
      <w:r w:rsidRPr="004900F7">
        <w:rPr>
          <w:rFonts w:ascii="Arial" w:hAnsi="Arial" w:cs="Arial"/>
          <w:sz w:val="24"/>
          <w:szCs w:val="24"/>
        </w:rPr>
        <w:lastRenderedPageBreak/>
        <w:t>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r>
        <w:rPr>
          <w:rFonts w:ascii="Arial" w:hAnsi="Arial" w:cs="Arial"/>
          <w:sz w:val="24"/>
          <w:szCs w:val="24"/>
        </w:rPr>
        <w:t>.</w:t>
      </w:r>
    </w:p>
    <w:p w14:paraId="15822D95" w14:textId="77777777" w:rsidR="004900F7" w:rsidRPr="00A24177" w:rsidRDefault="004C2F6C" w:rsidP="00A24177">
      <w:pPr>
        <w:pStyle w:val="ListParagraph"/>
        <w:numPr>
          <w:ilvl w:val="0"/>
          <w:numId w:val="3"/>
        </w:numPr>
        <w:spacing w:after="120" w:line="300" w:lineRule="exact"/>
        <w:jc w:val="both"/>
        <w:rPr>
          <w:rFonts w:ascii="Arial" w:hAnsi="Arial" w:cs="Arial"/>
          <w:b/>
          <w:sz w:val="24"/>
          <w:szCs w:val="24"/>
        </w:rPr>
      </w:pPr>
      <w:r w:rsidRPr="00A24177">
        <w:rPr>
          <w:rFonts w:ascii="Arial" w:hAnsi="Arial" w:cs="Arial"/>
          <w:b/>
          <w:sz w:val="24"/>
          <w:szCs w:val="24"/>
        </w:rPr>
        <w:t>Obligations on Local Authority</w:t>
      </w:r>
    </w:p>
    <w:p w14:paraId="3E1B64A7" w14:textId="77777777" w:rsidR="00CB4A2B" w:rsidRDefault="004C2F6C" w:rsidP="0085108C">
      <w:pPr>
        <w:spacing w:after="120" w:line="300" w:lineRule="exact"/>
        <w:jc w:val="both"/>
        <w:rPr>
          <w:rFonts w:ascii="Arial" w:hAnsi="Arial" w:cs="Arial"/>
          <w:sz w:val="24"/>
          <w:szCs w:val="24"/>
        </w:rPr>
      </w:pPr>
      <w:r>
        <w:rPr>
          <w:rFonts w:ascii="Arial" w:hAnsi="Arial" w:cs="Arial"/>
          <w:sz w:val="24"/>
          <w:szCs w:val="24"/>
        </w:rPr>
        <w:t xml:space="preserve">For the processing of personal data and special category personal data (as detailed in Schedule 1) the Local Authority must comply with GDPR </w:t>
      </w:r>
      <w:r w:rsidR="00CB4A2B">
        <w:rPr>
          <w:rFonts w:ascii="Arial" w:hAnsi="Arial" w:cs="Arial"/>
          <w:sz w:val="24"/>
          <w:szCs w:val="24"/>
        </w:rPr>
        <w:t>and PHE must be assured that the transfer of data is both lawful and legitimate.</w:t>
      </w:r>
      <w:r w:rsidR="00CC69ED">
        <w:rPr>
          <w:rFonts w:ascii="Arial" w:hAnsi="Arial" w:cs="Arial"/>
          <w:sz w:val="24"/>
          <w:szCs w:val="24"/>
        </w:rPr>
        <w:t xml:space="preserve">  In short, each Local Authority that received </w:t>
      </w:r>
      <w:r w:rsidR="00CC69ED" w:rsidRPr="00CC69ED">
        <w:rPr>
          <w:rFonts w:ascii="Arial" w:hAnsi="Arial" w:cs="Arial"/>
          <w:sz w:val="24"/>
          <w:szCs w:val="24"/>
        </w:rPr>
        <w:t>personal data and special category personal data</w:t>
      </w:r>
      <w:r w:rsidR="00CC69ED">
        <w:rPr>
          <w:rFonts w:ascii="Arial" w:hAnsi="Arial" w:cs="Arial"/>
          <w:sz w:val="24"/>
          <w:szCs w:val="24"/>
        </w:rPr>
        <w:t xml:space="preserve"> from PHE must demonstrate the following:</w:t>
      </w:r>
    </w:p>
    <w:p w14:paraId="3BF124FF" w14:textId="77777777" w:rsidR="00CC69ED" w:rsidRDefault="004E59FE" w:rsidP="0085108C">
      <w:pPr>
        <w:pStyle w:val="ListParagraph"/>
        <w:numPr>
          <w:ilvl w:val="0"/>
          <w:numId w:val="2"/>
        </w:numPr>
        <w:spacing w:after="120" w:line="300" w:lineRule="exact"/>
        <w:jc w:val="both"/>
        <w:rPr>
          <w:rFonts w:ascii="Arial" w:hAnsi="Arial" w:cs="Arial"/>
          <w:sz w:val="24"/>
          <w:szCs w:val="24"/>
        </w:rPr>
      </w:pPr>
      <w:r>
        <w:rPr>
          <w:rFonts w:ascii="Arial" w:hAnsi="Arial" w:cs="Arial"/>
          <w:sz w:val="24"/>
          <w:szCs w:val="24"/>
        </w:rPr>
        <w:t xml:space="preserve">in line with Articles 13 and 14 of GDPR, </w:t>
      </w:r>
      <w:r w:rsidR="00E2403F">
        <w:rPr>
          <w:rFonts w:ascii="Arial" w:hAnsi="Arial" w:cs="Arial"/>
          <w:sz w:val="24"/>
          <w:szCs w:val="24"/>
        </w:rPr>
        <w:t>the Local Authority must e</w:t>
      </w:r>
      <w:r w:rsidR="00E2403F" w:rsidRPr="00E2403F">
        <w:rPr>
          <w:rFonts w:ascii="Arial" w:hAnsi="Arial" w:cs="Arial"/>
          <w:sz w:val="24"/>
          <w:szCs w:val="24"/>
        </w:rPr>
        <w:t xml:space="preserve">nsure that their privacy notices are clear and provide sufficient information to the data subjects for them to understand what of their Personal Data is shared, </w:t>
      </w:r>
      <w:r w:rsidR="00CC7F80">
        <w:rPr>
          <w:rFonts w:ascii="Arial" w:hAnsi="Arial" w:cs="Arial"/>
          <w:sz w:val="24"/>
          <w:szCs w:val="24"/>
        </w:rPr>
        <w:t xml:space="preserve">details the rights of the data subject, </w:t>
      </w:r>
      <w:r w:rsidR="00E2403F" w:rsidRPr="00E2403F">
        <w:rPr>
          <w:rFonts w:ascii="Arial" w:hAnsi="Arial" w:cs="Arial"/>
          <w:sz w:val="24"/>
          <w:szCs w:val="24"/>
        </w:rPr>
        <w:t>the circumstances in which it was shared, the purposes for the data sharing and the identity of the Controller</w:t>
      </w:r>
      <w:r w:rsidR="00E2403F">
        <w:rPr>
          <w:rFonts w:ascii="Arial" w:hAnsi="Arial" w:cs="Arial"/>
          <w:sz w:val="24"/>
          <w:szCs w:val="24"/>
        </w:rPr>
        <w:t>;</w:t>
      </w:r>
    </w:p>
    <w:p w14:paraId="2D252BAC" w14:textId="77777777" w:rsidR="00CC7F80" w:rsidRDefault="00CC7F80" w:rsidP="0085108C">
      <w:pPr>
        <w:pStyle w:val="ListParagraph"/>
        <w:numPr>
          <w:ilvl w:val="0"/>
          <w:numId w:val="2"/>
        </w:numPr>
        <w:spacing w:after="120" w:line="300" w:lineRule="exact"/>
        <w:jc w:val="both"/>
        <w:rPr>
          <w:rFonts w:ascii="Arial" w:hAnsi="Arial" w:cs="Arial"/>
          <w:sz w:val="24"/>
          <w:szCs w:val="24"/>
        </w:rPr>
      </w:pPr>
      <w:r>
        <w:rPr>
          <w:rFonts w:ascii="Arial" w:hAnsi="Arial" w:cs="Arial"/>
          <w:sz w:val="24"/>
          <w:szCs w:val="24"/>
        </w:rPr>
        <w:t>in line with Chapter 3 of GDPR, the Local Authority must have policies and procedures in place to comply with the rights of the data subject including but not limited to the rights of access, rectification and profiling;</w:t>
      </w:r>
    </w:p>
    <w:p w14:paraId="06092195" w14:textId="77777777" w:rsidR="00E2403F" w:rsidRDefault="00E2403F" w:rsidP="0085108C">
      <w:pPr>
        <w:pStyle w:val="ListParagraph"/>
        <w:numPr>
          <w:ilvl w:val="0"/>
          <w:numId w:val="2"/>
        </w:numPr>
        <w:spacing w:after="120" w:line="300" w:lineRule="exact"/>
        <w:jc w:val="both"/>
        <w:rPr>
          <w:rFonts w:ascii="Arial" w:hAnsi="Arial" w:cs="Arial"/>
          <w:sz w:val="24"/>
          <w:szCs w:val="24"/>
        </w:rPr>
      </w:pPr>
      <w:r>
        <w:rPr>
          <w:rFonts w:ascii="Arial" w:hAnsi="Arial" w:cs="Arial"/>
          <w:sz w:val="24"/>
          <w:szCs w:val="24"/>
        </w:rPr>
        <w:t xml:space="preserve">in line with </w:t>
      </w:r>
      <w:r w:rsidR="0032538E">
        <w:rPr>
          <w:rFonts w:ascii="Arial" w:hAnsi="Arial" w:cs="Arial"/>
          <w:sz w:val="24"/>
          <w:szCs w:val="24"/>
        </w:rPr>
        <w:t>Article</w:t>
      </w:r>
      <w:r>
        <w:rPr>
          <w:rFonts w:ascii="Arial" w:hAnsi="Arial" w:cs="Arial"/>
          <w:sz w:val="24"/>
          <w:szCs w:val="24"/>
        </w:rPr>
        <w:t xml:space="preserve"> 5(1)(f) of GDPR, the Local Authority must ensure </w:t>
      </w:r>
      <w:r w:rsidRPr="00E2403F">
        <w:rPr>
          <w:rFonts w:ascii="Arial" w:hAnsi="Arial" w:cs="Arial"/>
          <w:sz w:val="24"/>
          <w:szCs w:val="24"/>
        </w:rPr>
        <w:t xml:space="preserve">appropriate security of the </w:t>
      </w:r>
      <w:r>
        <w:rPr>
          <w:rFonts w:ascii="Arial" w:hAnsi="Arial" w:cs="Arial"/>
          <w:sz w:val="24"/>
          <w:szCs w:val="24"/>
        </w:rPr>
        <w:t>P</w:t>
      </w:r>
      <w:r w:rsidRPr="00E2403F">
        <w:rPr>
          <w:rFonts w:ascii="Arial" w:hAnsi="Arial" w:cs="Arial"/>
          <w:sz w:val="24"/>
          <w:szCs w:val="24"/>
        </w:rPr>
        <w:t xml:space="preserve">ersonal </w:t>
      </w:r>
      <w:r>
        <w:rPr>
          <w:rFonts w:ascii="Arial" w:hAnsi="Arial" w:cs="Arial"/>
          <w:sz w:val="24"/>
          <w:szCs w:val="24"/>
        </w:rPr>
        <w:t>D</w:t>
      </w:r>
      <w:r w:rsidRPr="00E2403F">
        <w:rPr>
          <w:rFonts w:ascii="Arial" w:hAnsi="Arial" w:cs="Arial"/>
          <w:sz w:val="24"/>
          <w:szCs w:val="24"/>
        </w:rPr>
        <w:t>ata, including protection against unauthorised or unlawful processing and against accidental loss, destruction or damage, using appropriate techn</w:t>
      </w:r>
      <w:r>
        <w:rPr>
          <w:rFonts w:ascii="Arial" w:hAnsi="Arial" w:cs="Arial"/>
          <w:sz w:val="24"/>
          <w:szCs w:val="24"/>
        </w:rPr>
        <w:t>ical or organisational measures; and</w:t>
      </w:r>
    </w:p>
    <w:p w14:paraId="41925573" w14:textId="2F08AE2F" w:rsidR="00E2403F" w:rsidRPr="00760841" w:rsidRDefault="00E2403F" w:rsidP="00E2403F">
      <w:pPr>
        <w:pStyle w:val="ListParagraph"/>
        <w:numPr>
          <w:ilvl w:val="0"/>
          <w:numId w:val="2"/>
        </w:numPr>
        <w:spacing w:after="120" w:line="300" w:lineRule="exact"/>
        <w:jc w:val="both"/>
        <w:rPr>
          <w:rFonts w:ascii="Arial" w:hAnsi="Arial" w:cs="Arial"/>
          <w:sz w:val="24"/>
          <w:szCs w:val="24"/>
        </w:rPr>
      </w:pPr>
      <w:r>
        <w:rPr>
          <w:rFonts w:ascii="Arial" w:hAnsi="Arial" w:cs="Arial"/>
          <w:sz w:val="24"/>
          <w:szCs w:val="24"/>
        </w:rPr>
        <w:t>in line with Article 24 of GDPR, the Local Authority must ensure that they have implemented</w:t>
      </w:r>
      <w:r w:rsidRPr="00E2403F">
        <w:rPr>
          <w:rFonts w:ascii="Arial" w:hAnsi="Arial" w:cs="Arial"/>
          <w:sz w:val="24"/>
          <w:szCs w:val="24"/>
        </w:rPr>
        <w:t xml:space="preserve"> appropriate data protection policies </w:t>
      </w:r>
      <w:r>
        <w:rPr>
          <w:rFonts w:ascii="Arial" w:hAnsi="Arial" w:cs="Arial"/>
          <w:sz w:val="24"/>
          <w:szCs w:val="24"/>
        </w:rPr>
        <w:t>across the organisation</w:t>
      </w:r>
    </w:p>
    <w:p w14:paraId="1D88E6D3" w14:textId="77777777" w:rsidR="00FC6268" w:rsidRDefault="00FC6268" w:rsidP="00FC6268">
      <w:pPr>
        <w:spacing w:after="120" w:line="300" w:lineRule="exact"/>
        <w:ind w:firstLine="720"/>
        <w:rPr>
          <w:rFonts w:ascii="Arial" w:hAnsi="Arial" w:cs="Arial"/>
          <w:b/>
          <w:sz w:val="24"/>
          <w:szCs w:val="24"/>
        </w:rPr>
      </w:pPr>
      <w:bookmarkStart w:id="1" w:name="_Hlk43450772"/>
    </w:p>
    <w:p w14:paraId="2BA89E94" w14:textId="65F5B0B4" w:rsidR="008B572B" w:rsidRPr="005E3100" w:rsidRDefault="00BA2A65" w:rsidP="00FC6268">
      <w:pPr>
        <w:spacing w:after="120" w:line="300" w:lineRule="exact"/>
        <w:ind w:firstLine="720"/>
        <w:rPr>
          <w:rFonts w:ascii="Arial" w:hAnsi="Arial" w:cs="Arial"/>
          <w:b/>
          <w:sz w:val="24"/>
          <w:szCs w:val="24"/>
        </w:rPr>
      </w:pPr>
      <w:r>
        <w:rPr>
          <w:rFonts w:ascii="Arial" w:hAnsi="Arial" w:cs="Arial"/>
          <w:b/>
          <w:sz w:val="24"/>
          <w:szCs w:val="24"/>
        </w:rPr>
        <w:t>S</w:t>
      </w:r>
      <w:r w:rsidR="008B572B" w:rsidRPr="005E3100">
        <w:rPr>
          <w:rFonts w:ascii="Arial" w:hAnsi="Arial" w:cs="Arial"/>
          <w:b/>
          <w:sz w:val="24"/>
          <w:szCs w:val="24"/>
        </w:rPr>
        <w:t xml:space="preserve">chedule </w:t>
      </w:r>
      <w:r w:rsidR="004900F7">
        <w:rPr>
          <w:rFonts w:ascii="Arial" w:hAnsi="Arial" w:cs="Arial"/>
          <w:b/>
          <w:sz w:val="24"/>
          <w:szCs w:val="24"/>
        </w:rPr>
        <w:t>1</w:t>
      </w:r>
      <w:r w:rsidR="008B572B" w:rsidRPr="005E3100">
        <w:rPr>
          <w:rFonts w:ascii="Arial" w:hAnsi="Arial" w:cs="Arial"/>
          <w:b/>
          <w:sz w:val="24"/>
          <w:szCs w:val="24"/>
        </w:rPr>
        <w:t>: Detailed Data Specification</w:t>
      </w:r>
      <w:r w:rsidR="004900F7">
        <w:rPr>
          <w:rFonts w:ascii="Arial" w:hAnsi="Arial" w:cs="Arial"/>
          <w:b/>
          <w:sz w:val="24"/>
          <w:szCs w:val="24"/>
        </w:rPr>
        <w:t xml:space="preserve"> (personal data)</w:t>
      </w:r>
    </w:p>
    <w:tbl>
      <w:tblPr>
        <w:tblStyle w:val="TableGrid"/>
        <w:tblW w:w="8370" w:type="dxa"/>
        <w:tblInd w:w="805" w:type="dxa"/>
        <w:tblLook w:val="04A0" w:firstRow="1" w:lastRow="0" w:firstColumn="1" w:lastColumn="0" w:noHBand="0" w:noVBand="1"/>
      </w:tblPr>
      <w:tblGrid>
        <w:gridCol w:w="1890"/>
        <w:gridCol w:w="6480"/>
      </w:tblGrid>
      <w:tr w:rsidR="00D441C1" w14:paraId="04530ABA" w14:textId="77777777" w:rsidTr="00760841">
        <w:tc>
          <w:tcPr>
            <w:tcW w:w="1890" w:type="dxa"/>
          </w:tcPr>
          <w:p w14:paraId="7ED86D9A" w14:textId="77777777" w:rsidR="00D441C1" w:rsidRPr="00D441C1" w:rsidRDefault="00D441C1" w:rsidP="008B572B">
            <w:pPr>
              <w:spacing w:after="120" w:line="300" w:lineRule="exact"/>
              <w:rPr>
                <w:rFonts w:ascii="Arial" w:hAnsi="Arial" w:cs="Arial"/>
                <w:b/>
                <w:sz w:val="24"/>
                <w:szCs w:val="24"/>
              </w:rPr>
            </w:pPr>
            <w:r w:rsidRPr="00D441C1">
              <w:rPr>
                <w:rFonts w:ascii="Arial" w:hAnsi="Arial" w:cs="Arial"/>
                <w:b/>
                <w:sz w:val="24"/>
                <w:szCs w:val="24"/>
              </w:rPr>
              <w:t>Field name</w:t>
            </w:r>
          </w:p>
        </w:tc>
        <w:tc>
          <w:tcPr>
            <w:tcW w:w="6480" w:type="dxa"/>
          </w:tcPr>
          <w:p w14:paraId="4FF1A4FB" w14:textId="77777777" w:rsidR="00D441C1" w:rsidRPr="00D441C1" w:rsidRDefault="00D441C1" w:rsidP="008B572B">
            <w:pPr>
              <w:spacing w:after="120" w:line="300" w:lineRule="exact"/>
              <w:rPr>
                <w:rFonts w:ascii="Arial" w:hAnsi="Arial" w:cs="Arial"/>
                <w:b/>
                <w:sz w:val="24"/>
                <w:szCs w:val="24"/>
              </w:rPr>
            </w:pPr>
            <w:r w:rsidRPr="00D441C1">
              <w:rPr>
                <w:rFonts w:ascii="Arial" w:hAnsi="Arial" w:cs="Arial"/>
                <w:b/>
                <w:sz w:val="24"/>
                <w:szCs w:val="24"/>
              </w:rPr>
              <w:t>Description</w:t>
            </w:r>
          </w:p>
        </w:tc>
      </w:tr>
      <w:tr w:rsidR="00D441C1" w14:paraId="1D29E1E9" w14:textId="77777777" w:rsidTr="00760841">
        <w:tc>
          <w:tcPr>
            <w:tcW w:w="1890" w:type="dxa"/>
          </w:tcPr>
          <w:p w14:paraId="00CF375F" w14:textId="77777777" w:rsidR="00D441C1" w:rsidRDefault="00D441C1" w:rsidP="00D441C1">
            <w:pPr>
              <w:spacing w:after="120" w:line="300" w:lineRule="exact"/>
              <w:rPr>
                <w:rFonts w:ascii="Arial" w:hAnsi="Arial" w:cs="Arial"/>
                <w:sz w:val="24"/>
                <w:szCs w:val="24"/>
              </w:rPr>
            </w:pPr>
            <w:r>
              <w:rPr>
                <w:rFonts w:ascii="Arial" w:hAnsi="Arial" w:cs="Arial"/>
                <w:sz w:val="24"/>
                <w:szCs w:val="24"/>
              </w:rPr>
              <w:t>R</w:t>
            </w:r>
            <w:r w:rsidRPr="00D441C1">
              <w:rPr>
                <w:rFonts w:ascii="Arial" w:hAnsi="Arial" w:cs="Arial"/>
                <w:sz w:val="24"/>
                <w:szCs w:val="24"/>
              </w:rPr>
              <w:t>ecord ID</w:t>
            </w:r>
          </w:p>
        </w:tc>
        <w:tc>
          <w:tcPr>
            <w:tcW w:w="6480" w:type="dxa"/>
          </w:tcPr>
          <w:p w14:paraId="288BFB06" w14:textId="77777777" w:rsidR="00D441C1" w:rsidRDefault="00D441C1" w:rsidP="008B572B">
            <w:pPr>
              <w:spacing w:after="120" w:line="300" w:lineRule="exact"/>
              <w:rPr>
                <w:rFonts w:ascii="Arial" w:hAnsi="Arial" w:cs="Arial"/>
                <w:sz w:val="24"/>
                <w:szCs w:val="24"/>
              </w:rPr>
            </w:pPr>
            <w:r>
              <w:rPr>
                <w:rFonts w:ascii="Arial" w:hAnsi="Arial" w:cs="Arial"/>
                <w:sz w:val="24"/>
                <w:szCs w:val="24"/>
              </w:rPr>
              <w:t>Unique record identifier</w:t>
            </w:r>
          </w:p>
        </w:tc>
      </w:tr>
      <w:tr w:rsidR="00D441C1" w14:paraId="45E77978" w14:textId="77777777" w:rsidTr="00760841">
        <w:tc>
          <w:tcPr>
            <w:tcW w:w="1890" w:type="dxa"/>
          </w:tcPr>
          <w:p w14:paraId="6ACC669F" w14:textId="77777777" w:rsidR="00D441C1" w:rsidRPr="00D441C1" w:rsidRDefault="00D441C1" w:rsidP="00D441C1">
            <w:pPr>
              <w:spacing w:after="120" w:line="300" w:lineRule="exact"/>
              <w:rPr>
                <w:rFonts w:ascii="Arial" w:hAnsi="Arial" w:cs="Arial"/>
                <w:sz w:val="24"/>
                <w:szCs w:val="24"/>
              </w:rPr>
            </w:pPr>
            <w:r>
              <w:rPr>
                <w:rFonts w:ascii="Arial" w:hAnsi="Arial" w:cs="Arial"/>
                <w:sz w:val="24"/>
                <w:szCs w:val="24"/>
              </w:rPr>
              <w:t>S</w:t>
            </w:r>
            <w:r w:rsidRPr="00D441C1">
              <w:rPr>
                <w:rFonts w:ascii="Arial" w:hAnsi="Arial" w:cs="Arial"/>
                <w:sz w:val="24"/>
                <w:szCs w:val="24"/>
              </w:rPr>
              <w:t>ex</w:t>
            </w:r>
          </w:p>
        </w:tc>
        <w:tc>
          <w:tcPr>
            <w:tcW w:w="6480" w:type="dxa"/>
          </w:tcPr>
          <w:p w14:paraId="3E89C215" w14:textId="77777777" w:rsidR="00D441C1" w:rsidRDefault="00D441C1" w:rsidP="00D441C1">
            <w:pPr>
              <w:spacing w:after="120" w:line="300" w:lineRule="exact"/>
              <w:rPr>
                <w:rFonts w:ascii="Arial" w:hAnsi="Arial" w:cs="Arial"/>
                <w:sz w:val="24"/>
                <w:szCs w:val="24"/>
              </w:rPr>
            </w:pPr>
            <w:r>
              <w:rPr>
                <w:rFonts w:ascii="Arial" w:hAnsi="Arial" w:cs="Arial"/>
                <w:sz w:val="24"/>
                <w:szCs w:val="24"/>
              </w:rPr>
              <w:t>Patient sex</w:t>
            </w:r>
          </w:p>
        </w:tc>
      </w:tr>
      <w:tr w:rsidR="00D441C1" w14:paraId="48805AF2" w14:textId="77777777" w:rsidTr="00760841">
        <w:tc>
          <w:tcPr>
            <w:tcW w:w="1890" w:type="dxa"/>
          </w:tcPr>
          <w:p w14:paraId="5C2BC244" w14:textId="77777777" w:rsidR="00D441C1" w:rsidRPr="00D441C1" w:rsidRDefault="00D441C1" w:rsidP="00D441C1">
            <w:pPr>
              <w:spacing w:after="120" w:line="300" w:lineRule="exact"/>
              <w:rPr>
                <w:rFonts w:ascii="Arial" w:hAnsi="Arial" w:cs="Arial"/>
                <w:sz w:val="24"/>
                <w:szCs w:val="24"/>
              </w:rPr>
            </w:pPr>
            <w:r>
              <w:rPr>
                <w:rFonts w:ascii="Arial" w:hAnsi="Arial" w:cs="Arial"/>
                <w:sz w:val="24"/>
                <w:szCs w:val="24"/>
              </w:rPr>
              <w:t>Age</w:t>
            </w:r>
          </w:p>
        </w:tc>
        <w:tc>
          <w:tcPr>
            <w:tcW w:w="6480" w:type="dxa"/>
          </w:tcPr>
          <w:p w14:paraId="15C88418" w14:textId="77777777" w:rsidR="00D441C1" w:rsidRDefault="00D441C1" w:rsidP="00D441C1">
            <w:pPr>
              <w:spacing w:after="120" w:line="300" w:lineRule="exact"/>
              <w:rPr>
                <w:rFonts w:ascii="Arial" w:hAnsi="Arial" w:cs="Arial"/>
                <w:sz w:val="24"/>
                <w:szCs w:val="24"/>
              </w:rPr>
            </w:pPr>
            <w:r>
              <w:rPr>
                <w:rFonts w:ascii="Arial" w:hAnsi="Arial" w:cs="Arial"/>
                <w:sz w:val="24"/>
                <w:szCs w:val="24"/>
              </w:rPr>
              <w:t>Patient age in years</w:t>
            </w:r>
          </w:p>
        </w:tc>
      </w:tr>
      <w:tr w:rsidR="00D441C1" w14:paraId="4D77651D" w14:textId="77777777" w:rsidTr="00760841">
        <w:tc>
          <w:tcPr>
            <w:tcW w:w="1890" w:type="dxa"/>
          </w:tcPr>
          <w:p w14:paraId="7F2DC1AA" w14:textId="77777777" w:rsidR="00D441C1" w:rsidRPr="00D441C1" w:rsidRDefault="00D441C1" w:rsidP="00D441C1">
            <w:pPr>
              <w:spacing w:after="120" w:line="300" w:lineRule="exact"/>
              <w:rPr>
                <w:rFonts w:ascii="Arial" w:hAnsi="Arial" w:cs="Arial"/>
                <w:sz w:val="24"/>
                <w:szCs w:val="24"/>
              </w:rPr>
            </w:pPr>
            <w:r>
              <w:rPr>
                <w:rFonts w:ascii="Arial" w:hAnsi="Arial" w:cs="Arial"/>
                <w:sz w:val="24"/>
                <w:szCs w:val="24"/>
              </w:rPr>
              <w:t>Postcode</w:t>
            </w:r>
          </w:p>
        </w:tc>
        <w:tc>
          <w:tcPr>
            <w:tcW w:w="6480" w:type="dxa"/>
          </w:tcPr>
          <w:p w14:paraId="196B891A" w14:textId="77777777" w:rsidR="00D441C1" w:rsidRDefault="00D441C1" w:rsidP="00D441C1">
            <w:pPr>
              <w:spacing w:after="120" w:line="300" w:lineRule="exact"/>
              <w:rPr>
                <w:rFonts w:ascii="Arial" w:hAnsi="Arial" w:cs="Arial"/>
                <w:sz w:val="24"/>
                <w:szCs w:val="24"/>
              </w:rPr>
            </w:pPr>
            <w:r>
              <w:rPr>
                <w:rFonts w:ascii="Arial" w:hAnsi="Arial" w:cs="Arial"/>
                <w:sz w:val="24"/>
                <w:szCs w:val="24"/>
              </w:rPr>
              <w:t>Patient place of residence postcode</w:t>
            </w:r>
          </w:p>
        </w:tc>
      </w:tr>
      <w:tr w:rsidR="00D441C1" w14:paraId="510484C0" w14:textId="77777777" w:rsidTr="00760841">
        <w:tc>
          <w:tcPr>
            <w:tcW w:w="1890" w:type="dxa"/>
          </w:tcPr>
          <w:p w14:paraId="786EEBFD" w14:textId="77777777" w:rsidR="00D441C1" w:rsidRPr="004900F7" w:rsidRDefault="00D441C1" w:rsidP="00D441C1">
            <w:pPr>
              <w:spacing w:after="120" w:line="300" w:lineRule="exact"/>
              <w:rPr>
                <w:rFonts w:ascii="Arial" w:hAnsi="Arial" w:cs="Arial"/>
                <w:sz w:val="24"/>
                <w:szCs w:val="24"/>
              </w:rPr>
            </w:pPr>
            <w:r w:rsidRPr="004900F7">
              <w:rPr>
                <w:rFonts w:ascii="Arial" w:hAnsi="Arial" w:cs="Arial"/>
                <w:sz w:val="24"/>
                <w:szCs w:val="24"/>
              </w:rPr>
              <w:t>Ethnic Group</w:t>
            </w:r>
          </w:p>
        </w:tc>
        <w:tc>
          <w:tcPr>
            <w:tcW w:w="6480" w:type="dxa"/>
          </w:tcPr>
          <w:p w14:paraId="52603CAC" w14:textId="77777777" w:rsidR="00D441C1" w:rsidRPr="004900F7" w:rsidRDefault="00D441C1" w:rsidP="00D441C1">
            <w:pPr>
              <w:spacing w:after="120" w:line="300" w:lineRule="exact"/>
              <w:rPr>
                <w:rFonts w:ascii="Arial" w:hAnsi="Arial" w:cs="Arial"/>
                <w:sz w:val="24"/>
                <w:szCs w:val="24"/>
              </w:rPr>
            </w:pPr>
            <w:r w:rsidRPr="004900F7">
              <w:rPr>
                <w:rFonts w:ascii="Arial" w:hAnsi="Arial" w:cs="Arial"/>
                <w:sz w:val="24"/>
                <w:szCs w:val="24"/>
              </w:rPr>
              <w:t>Patient ethnic group</w:t>
            </w:r>
            <w:r w:rsidR="00EE2CD5" w:rsidRPr="004900F7">
              <w:rPr>
                <w:rFonts w:ascii="Arial" w:hAnsi="Arial" w:cs="Arial"/>
                <w:sz w:val="24"/>
                <w:szCs w:val="24"/>
              </w:rPr>
              <w:t xml:space="preserve"> (</w:t>
            </w:r>
            <w:r w:rsidR="00516A69" w:rsidRPr="004900F7">
              <w:rPr>
                <w:rFonts w:ascii="Arial" w:hAnsi="Arial" w:cs="Arial"/>
                <w:sz w:val="24"/>
                <w:szCs w:val="24"/>
              </w:rPr>
              <w:t>not initially included, pending a quality / completion review</w:t>
            </w:r>
            <w:r w:rsidR="00EE2CD5" w:rsidRPr="004900F7">
              <w:rPr>
                <w:rFonts w:ascii="Arial" w:hAnsi="Arial" w:cs="Arial"/>
                <w:sz w:val="24"/>
                <w:szCs w:val="24"/>
              </w:rPr>
              <w:t>?)</w:t>
            </w:r>
          </w:p>
        </w:tc>
      </w:tr>
      <w:tr w:rsidR="00D441C1" w14:paraId="3F7B5353" w14:textId="77777777" w:rsidTr="00760841">
        <w:tc>
          <w:tcPr>
            <w:tcW w:w="1890" w:type="dxa"/>
          </w:tcPr>
          <w:p w14:paraId="356593AA" w14:textId="77777777" w:rsidR="00D441C1" w:rsidRPr="00D441C1" w:rsidRDefault="00D441C1" w:rsidP="00D441C1">
            <w:pPr>
              <w:spacing w:after="120" w:line="300" w:lineRule="exact"/>
              <w:rPr>
                <w:rFonts w:ascii="Arial" w:hAnsi="Arial" w:cs="Arial"/>
                <w:sz w:val="24"/>
                <w:szCs w:val="24"/>
              </w:rPr>
            </w:pPr>
            <w:r>
              <w:rPr>
                <w:rFonts w:ascii="Arial" w:hAnsi="Arial" w:cs="Arial"/>
                <w:sz w:val="24"/>
                <w:szCs w:val="24"/>
              </w:rPr>
              <w:t>Occupation</w:t>
            </w:r>
          </w:p>
        </w:tc>
        <w:tc>
          <w:tcPr>
            <w:tcW w:w="6480" w:type="dxa"/>
          </w:tcPr>
          <w:p w14:paraId="14DEB967" w14:textId="77777777" w:rsidR="00D441C1" w:rsidRDefault="00D441C1" w:rsidP="00D441C1">
            <w:pPr>
              <w:spacing w:after="120" w:line="300" w:lineRule="exact"/>
              <w:rPr>
                <w:rFonts w:ascii="Arial" w:hAnsi="Arial" w:cs="Arial"/>
                <w:sz w:val="24"/>
                <w:szCs w:val="24"/>
              </w:rPr>
            </w:pPr>
            <w:r>
              <w:rPr>
                <w:rFonts w:ascii="Arial" w:hAnsi="Arial" w:cs="Arial"/>
                <w:sz w:val="24"/>
                <w:szCs w:val="24"/>
              </w:rPr>
              <w:t>Patient occupational group</w:t>
            </w:r>
            <w:r w:rsidR="00EE2CD5">
              <w:rPr>
                <w:rFonts w:ascii="Arial" w:hAnsi="Arial" w:cs="Arial"/>
                <w:sz w:val="24"/>
                <w:szCs w:val="24"/>
              </w:rPr>
              <w:t xml:space="preserve"> </w:t>
            </w:r>
          </w:p>
        </w:tc>
      </w:tr>
      <w:tr w:rsidR="00D441C1" w14:paraId="54D0BEB4" w14:textId="77777777" w:rsidTr="00760841">
        <w:tc>
          <w:tcPr>
            <w:tcW w:w="1890" w:type="dxa"/>
          </w:tcPr>
          <w:p w14:paraId="793865C0" w14:textId="77777777" w:rsidR="00D441C1" w:rsidRPr="00D441C1" w:rsidRDefault="00D441C1" w:rsidP="00D441C1">
            <w:pPr>
              <w:spacing w:after="120" w:line="300" w:lineRule="exact"/>
              <w:rPr>
                <w:rFonts w:ascii="Arial" w:hAnsi="Arial" w:cs="Arial"/>
                <w:sz w:val="24"/>
                <w:szCs w:val="24"/>
              </w:rPr>
            </w:pPr>
            <w:r>
              <w:rPr>
                <w:rFonts w:ascii="Arial" w:hAnsi="Arial" w:cs="Arial"/>
                <w:sz w:val="24"/>
                <w:szCs w:val="24"/>
              </w:rPr>
              <w:t>Key Worker</w:t>
            </w:r>
          </w:p>
        </w:tc>
        <w:tc>
          <w:tcPr>
            <w:tcW w:w="6480" w:type="dxa"/>
          </w:tcPr>
          <w:p w14:paraId="03A46559" w14:textId="77777777" w:rsidR="00D441C1" w:rsidRDefault="00D441C1" w:rsidP="00D441C1">
            <w:pPr>
              <w:spacing w:after="120" w:line="300" w:lineRule="exact"/>
              <w:rPr>
                <w:rFonts w:ascii="Arial" w:hAnsi="Arial" w:cs="Arial"/>
                <w:sz w:val="24"/>
                <w:szCs w:val="24"/>
              </w:rPr>
            </w:pPr>
            <w:r>
              <w:rPr>
                <w:rFonts w:ascii="Arial" w:hAnsi="Arial" w:cs="Arial"/>
                <w:sz w:val="24"/>
                <w:szCs w:val="24"/>
              </w:rPr>
              <w:t>Patient key worker status</w:t>
            </w:r>
            <w:r w:rsidR="00EE2CD5">
              <w:rPr>
                <w:rFonts w:ascii="Arial" w:hAnsi="Arial" w:cs="Arial"/>
                <w:sz w:val="24"/>
                <w:szCs w:val="24"/>
              </w:rPr>
              <w:t xml:space="preserve"> </w:t>
            </w:r>
          </w:p>
        </w:tc>
      </w:tr>
      <w:tr w:rsidR="00D441C1" w14:paraId="684FE42F" w14:textId="77777777" w:rsidTr="00760841">
        <w:tc>
          <w:tcPr>
            <w:tcW w:w="1890" w:type="dxa"/>
          </w:tcPr>
          <w:p w14:paraId="6730E225" w14:textId="77777777" w:rsidR="00D441C1" w:rsidRPr="00585901" w:rsidRDefault="00D441C1" w:rsidP="00D441C1">
            <w:pPr>
              <w:spacing w:after="120" w:line="300" w:lineRule="exact"/>
              <w:rPr>
                <w:rFonts w:ascii="Arial" w:hAnsi="Arial" w:cs="Arial"/>
                <w:sz w:val="24"/>
                <w:szCs w:val="24"/>
              </w:rPr>
            </w:pPr>
            <w:r w:rsidRPr="00585901">
              <w:rPr>
                <w:rFonts w:ascii="Arial" w:hAnsi="Arial" w:cs="Arial"/>
                <w:sz w:val="24"/>
                <w:szCs w:val="24"/>
              </w:rPr>
              <w:t>Test Date</w:t>
            </w:r>
          </w:p>
        </w:tc>
        <w:tc>
          <w:tcPr>
            <w:tcW w:w="6480" w:type="dxa"/>
          </w:tcPr>
          <w:p w14:paraId="59608EB7" w14:textId="77777777" w:rsidR="00D441C1" w:rsidRPr="00585901" w:rsidRDefault="00D441C1" w:rsidP="00D441C1">
            <w:pPr>
              <w:spacing w:after="120" w:line="300" w:lineRule="exact"/>
              <w:rPr>
                <w:rFonts w:ascii="Arial" w:hAnsi="Arial" w:cs="Arial"/>
                <w:sz w:val="24"/>
                <w:szCs w:val="24"/>
              </w:rPr>
            </w:pPr>
            <w:r w:rsidRPr="00585901">
              <w:rPr>
                <w:rFonts w:ascii="Arial" w:hAnsi="Arial" w:cs="Arial"/>
                <w:sz w:val="24"/>
                <w:szCs w:val="24"/>
              </w:rPr>
              <w:t>Date of Covid-19 test</w:t>
            </w:r>
            <w:r w:rsidR="00EE2CD5" w:rsidRPr="00585901">
              <w:rPr>
                <w:rFonts w:ascii="Arial" w:hAnsi="Arial" w:cs="Arial"/>
                <w:sz w:val="24"/>
                <w:szCs w:val="24"/>
              </w:rPr>
              <w:t xml:space="preserve"> or specimen test</w:t>
            </w:r>
          </w:p>
        </w:tc>
      </w:tr>
      <w:tr w:rsidR="00D441C1" w14:paraId="0DBF7E7F" w14:textId="77777777" w:rsidTr="00760841">
        <w:tc>
          <w:tcPr>
            <w:tcW w:w="1890" w:type="dxa"/>
          </w:tcPr>
          <w:p w14:paraId="5BF1D9E1" w14:textId="77777777" w:rsidR="00D441C1" w:rsidRPr="00D441C1" w:rsidRDefault="00D441C1" w:rsidP="00D441C1">
            <w:pPr>
              <w:spacing w:after="120" w:line="300" w:lineRule="exact"/>
              <w:rPr>
                <w:rFonts w:ascii="Arial" w:hAnsi="Arial" w:cs="Arial"/>
                <w:sz w:val="24"/>
                <w:szCs w:val="24"/>
              </w:rPr>
            </w:pPr>
            <w:r>
              <w:rPr>
                <w:rFonts w:ascii="Arial" w:hAnsi="Arial" w:cs="Arial"/>
                <w:sz w:val="24"/>
                <w:szCs w:val="24"/>
              </w:rPr>
              <w:t>Pillar</w:t>
            </w:r>
          </w:p>
        </w:tc>
        <w:tc>
          <w:tcPr>
            <w:tcW w:w="6480" w:type="dxa"/>
          </w:tcPr>
          <w:p w14:paraId="684081C6" w14:textId="77777777" w:rsidR="00D441C1" w:rsidRDefault="00EE2CD5" w:rsidP="00D441C1">
            <w:pPr>
              <w:spacing w:after="120" w:line="300" w:lineRule="exact"/>
              <w:rPr>
                <w:rFonts w:ascii="Arial" w:hAnsi="Arial" w:cs="Arial"/>
                <w:sz w:val="24"/>
                <w:szCs w:val="24"/>
              </w:rPr>
            </w:pPr>
            <w:r>
              <w:rPr>
                <w:rFonts w:ascii="Arial" w:hAnsi="Arial" w:cs="Arial"/>
                <w:sz w:val="24"/>
                <w:szCs w:val="24"/>
              </w:rPr>
              <w:t>Covid-19 test location type (laboratory, mobile testing station, home test)</w:t>
            </w:r>
          </w:p>
        </w:tc>
      </w:tr>
      <w:bookmarkEnd w:id="1"/>
    </w:tbl>
    <w:p w14:paraId="06648164" w14:textId="77777777" w:rsidR="008B572B" w:rsidRDefault="008B572B" w:rsidP="008B572B">
      <w:pPr>
        <w:spacing w:after="120" w:line="300" w:lineRule="exact"/>
        <w:rPr>
          <w:rFonts w:ascii="Arial" w:hAnsi="Arial" w:cs="Arial"/>
          <w:sz w:val="24"/>
          <w:szCs w:val="24"/>
        </w:rPr>
      </w:pPr>
    </w:p>
    <w:sectPr w:rsidR="008B57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9F43" w14:textId="77777777" w:rsidR="00943BDC" w:rsidRDefault="00943BDC" w:rsidP="00261F28">
      <w:pPr>
        <w:spacing w:after="0" w:line="240" w:lineRule="auto"/>
      </w:pPr>
      <w:r>
        <w:separator/>
      </w:r>
    </w:p>
  </w:endnote>
  <w:endnote w:type="continuationSeparator" w:id="0">
    <w:p w14:paraId="60E8BE8D" w14:textId="77777777" w:rsidR="00943BDC" w:rsidRDefault="00943BDC" w:rsidP="0026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1478"/>
      <w:docPartObj>
        <w:docPartGallery w:val="Page Numbers (Bottom of Page)"/>
        <w:docPartUnique/>
      </w:docPartObj>
    </w:sdtPr>
    <w:sdtEndPr>
      <w:rPr>
        <w:noProof/>
      </w:rPr>
    </w:sdtEndPr>
    <w:sdtContent>
      <w:p w14:paraId="4D6802E6" w14:textId="77777777" w:rsidR="00261F28" w:rsidRDefault="00261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40C72" w14:textId="77777777" w:rsidR="00261F28" w:rsidRDefault="00261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DC20" w14:textId="77777777" w:rsidR="00943BDC" w:rsidRDefault="00943BDC" w:rsidP="00261F28">
      <w:pPr>
        <w:spacing w:after="0" w:line="240" w:lineRule="auto"/>
      </w:pPr>
      <w:r>
        <w:separator/>
      </w:r>
    </w:p>
  </w:footnote>
  <w:footnote w:type="continuationSeparator" w:id="0">
    <w:p w14:paraId="79345A0D" w14:textId="77777777" w:rsidR="00943BDC" w:rsidRDefault="00943BDC" w:rsidP="00261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74C4"/>
    <w:multiLevelType w:val="hybridMultilevel"/>
    <w:tmpl w:val="E72C3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C57CD"/>
    <w:multiLevelType w:val="hybridMultilevel"/>
    <w:tmpl w:val="4754B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865BE0"/>
    <w:multiLevelType w:val="hybridMultilevel"/>
    <w:tmpl w:val="804A24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2B"/>
    <w:rsid w:val="0007244E"/>
    <w:rsid w:val="000B08BE"/>
    <w:rsid w:val="00137D81"/>
    <w:rsid w:val="001F65C6"/>
    <w:rsid w:val="00221BD2"/>
    <w:rsid w:val="00261F28"/>
    <w:rsid w:val="0032538E"/>
    <w:rsid w:val="004900F7"/>
    <w:rsid w:val="004A4215"/>
    <w:rsid w:val="004C2F6C"/>
    <w:rsid w:val="004E59FE"/>
    <w:rsid w:val="00516A69"/>
    <w:rsid w:val="00560F73"/>
    <w:rsid w:val="00585901"/>
    <w:rsid w:val="005B30AE"/>
    <w:rsid w:val="005E3100"/>
    <w:rsid w:val="00704B6E"/>
    <w:rsid w:val="00760841"/>
    <w:rsid w:val="00834BA0"/>
    <w:rsid w:val="0085108C"/>
    <w:rsid w:val="008B572B"/>
    <w:rsid w:val="00922214"/>
    <w:rsid w:val="00943BDC"/>
    <w:rsid w:val="00962DFF"/>
    <w:rsid w:val="00971EAD"/>
    <w:rsid w:val="0098184F"/>
    <w:rsid w:val="00A24177"/>
    <w:rsid w:val="00AF2712"/>
    <w:rsid w:val="00BA2A65"/>
    <w:rsid w:val="00BC5BA4"/>
    <w:rsid w:val="00C44105"/>
    <w:rsid w:val="00CB4A2B"/>
    <w:rsid w:val="00CC69ED"/>
    <w:rsid w:val="00CC7F80"/>
    <w:rsid w:val="00CE123B"/>
    <w:rsid w:val="00D441C1"/>
    <w:rsid w:val="00DF0482"/>
    <w:rsid w:val="00E05529"/>
    <w:rsid w:val="00E2403F"/>
    <w:rsid w:val="00EC2CF6"/>
    <w:rsid w:val="00EE28A7"/>
    <w:rsid w:val="00EE2CD5"/>
    <w:rsid w:val="00FC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0651"/>
  <w15:chartTrackingRefBased/>
  <w15:docId w15:val="{590466D9-2987-472C-9C87-D290DBBE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B6E"/>
    <w:pPr>
      <w:ind w:left="720"/>
      <w:contextualSpacing/>
    </w:pPr>
  </w:style>
  <w:style w:type="table" w:styleId="TableGrid">
    <w:name w:val="Table Grid"/>
    <w:basedOn w:val="TableNormal"/>
    <w:uiPriority w:val="39"/>
    <w:rsid w:val="00D4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38E"/>
    <w:rPr>
      <w:color w:val="0563C1" w:themeColor="hyperlink"/>
      <w:u w:val="single"/>
    </w:rPr>
  </w:style>
  <w:style w:type="character" w:styleId="Mention">
    <w:name w:val="Mention"/>
    <w:basedOn w:val="DefaultParagraphFont"/>
    <w:uiPriority w:val="99"/>
    <w:semiHidden/>
    <w:unhideWhenUsed/>
    <w:rsid w:val="0032538E"/>
    <w:rPr>
      <w:color w:val="2B579A"/>
      <w:shd w:val="clear" w:color="auto" w:fill="E6E6E6"/>
    </w:rPr>
  </w:style>
  <w:style w:type="paragraph" w:styleId="Header">
    <w:name w:val="header"/>
    <w:basedOn w:val="Normal"/>
    <w:link w:val="HeaderChar"/>
    <w:uiPriority w:val="99"/>
    <w:unhideWhenUsed/>
    <w:rsid w:val="0026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28"/>
  </w:style>
  <w:style w:type="paragraph" w:styleId="Footer">
    <w:name w:val="footer"/>
    <w:basedOn w:val="Normal"/>
    <w:link w:val="FooterChar"/>
    <w:uiPriority w:val="99"/>
    <w:unhideWhenUsed/>
    <w:rsid w:val="0026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28"/>
  </w:style>
  <w:style w:type="character" w:styleId="CommentReference">
    <w:name w:val="annotation reference"/>
    <w:basedOn w:val="DefaultParagraphFont"/>
    <w:uiPriority w:val="99"/>
    <w:semiHidden/>
    <w:unhideWhenUsed/>
    <w:rsid w:val="001F65C6"/>
    <w:rPr>
      <w:sz w:val="16"/>
      <w:szCs w:val="16"/>
    </w:rPr>
  </w:style>
  <w:style w:type="paragraph" w:styleId="CommentText">
    <w:name w:val="annotation text"/>
    <w:basedOn w:val="Normal"/>
    <w:link w:val="CommentTextChar"/>
    <w:uiPriority w:val="99"/>
    <w:semiHidden/>
    <w:unhideWhenUsed/>
    <w:rsid w:val="001F65C6"/>
    <w:pPr>
      <w:spacing w:line="240" w:lineRule="auto"/>
    </w:pPr>
    <w:rPr>
      <w:sz w:val="20"/>
      <w:szCs w:val="20"/>
    </w:rPr>
  </w:style>
  <w:style w:type="character" w:customStyle="1" w:styleId="CommentTextChar">
    <w:name w:val="Comment Text Char"/>
    <w:basedOn w:val="DefaultParagraphFont"/>
    <w:link w:val="CommentText"/>
    <w:uiPriority w:val="99"/>
    <w:semiHidden/>
    <w:rsid w:val="001F65C6"/>
    <w:rPr>
      <w:sz w:val="20"/>
      <w:szCs w:val="20"/>
    </w:rPr>
  </w:style>
  <w:style w:type="paragraph" w:styleId="CommentSubject">
    <w:name w:val="annotation subject"/>
    <w:basedOn w:val="CommentText"/>
    <w:next w:val="CommentText"/>
    <w:link w:val="CommentSubjectChar"/>
    <w:uiPriority w:val="99"/>
    <w:semiHidden/>
    <w:unhideWhenUsed/>
    <w:rsid w:val="001F65C6"/>
    <w:rPr>
      <w:b/>
      <w:bCs/>
    </w:rPr>
  </w:style>
  <w:style w:type="character" w:customStyle="1" w:styleId="CommentSubjectChar">
    <w:name w:val="Comment Subject Char"/>
    <w:basedOn w:val="CommentTextChar"/>
    <w:link w:val="CommentSubject"/>
    <w:uiPriority w:val="99"/>
    <w:semiHidden/>
    <w:rsid w:val="001F65C6"/>
    <w:rPr>
      <w:b/>
      <w:bCs/>
      <w:sz w:val="20"/>
      <w:szCs w:val="20"/>
    </w:rPr>
  </w:style>
  <w:style w:type="paragraph" w:styleId="BalloonText">
    <w:name w:val="Balloon Text"/>
    <w:basedOn w:val="Normal"/>
    <w:link w:val="BalloonTextChar"/>
    <w:uiPriority w:val="99"/>
    <w:semiHidden/>
    <w:unhideWhenUsed/>
    <w:rsid w:val="001F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754E-EF8C-4238-9C6B-0D0A28CF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Kyffin</dc:creator>
  <cp:keywords/>
  <dc:description/>
  <cp:lastModifiedBy>Rashmi Shukla</cp:lastModifiedBy>
  <cp:revision>6</cp:revision>
  <dcterms:created xsi:type="dcterms:W3CDTF">2020-06-22T10:00:00Z</dcterms:created>
  <dcterms:modified xsi:type="dcterms:W3CDTF">2020-06-22T10:02:00Z</dcterms:modified>
</cp:coreProperties>
</file>