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2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6515"/>
        <w:gridCol w:w="1418"/>
        <w:gridCol w:w="1848"/>
        <w:gridCol w:w="2278"/>
      </w:tblGrid>
      <w:tr w:rsidR="00DE70E9" w:rsidRPr="003D0A08" w:rsidTr="000A72D1">
        <w:trPr>
          <w:cantSplit/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bookmarkStart w:id="0" w:name="_GoBack"/>
            <w:bookmarkEnd w:id="0"/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 w:rsidRPr="003D0A08">
              <w:rPr>
                <w:rFonts w:ascii="Arial" w:eastAsia="Times New Roman" w:hAnsi="Arial" w:cs="Arial"/>
                <w:b/>
                <w:lang w:val="en-US" w:eastAsia="ar-SA"/>
              </w:rPr>
              <w:t>Volunteer Task</w:t>
            </w: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t>Who might be harmed and how?</w:t>
            </w: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t xml:space="preserve">Do you need to do anything to control this risk? </w:t>
            </w: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 w:rsidRPr="003D0A08">
              <w:rPr>
                <w:rFonts w:ascii="Arial" w:eastAsia="Times New Roman" w:hAnsi="Arial" w:cs="Arial"/>
                <w:b/>
                <w:lang w:val="en-US" w:eastAsia="ar-SA"/>
              </w:rPr>
              <w:t>Action by who?</w:t>
            </w: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 w:rsidRPr="003D0A08">
              <w:rPr>
                <w:rFonts w:ascii="Arial" w:eastAsia="Times New Roman" w:hAnsi="Arial" w:cs="Arial"/>
                <w:b/>
                <w:lang w:val="en-US" w:eastAsia="ar-SA"/>
              </w:rPr>
              <w:t>Action by when?</w:t>
            </w: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 w:rsidRPr="003D0A08">
              <w:rPr>
                <w:rFonts w:ascii="Arial" w:eastAsia="Times New Roman" w:hAnsi="Arial" w:cs="Arial"/>
                <w:b/>
                <w:lang w:val="en-US" w:eastAsia="ar-SA"/>
              </w:rPr>
              <w:t>Done</w:t>
            </w: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</w:p>
        </w:tc>
      </w:tr>
      <w:tr w:rsidR="007D2EBC" w:rsidRPr="003D0A08" w:rsidTr="000A72D1">
        <w:trPr>
          <w:cantSplit/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BC" w:rsidRDefault="007D2EBC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All COVID-19 volunteering activities </w:t>
            </w:r>
          </w:p>
          <w:p w:rsidR="007D2EBC" w:rsidRDefault="007D2EBC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  <w:p w:rsidR="007D2EBC" w:rsidRDefault="007D2EBC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Safeguarding issues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BC" w:rsidRPr="003D0A08" w:rsidRDefault="00EA0B40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The resident maybe experiencing </w:t>
            </w:r>
            <w:proofErr w:type="gramStart"/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abuse</w:t>
            </w:r>
            <w:proofErr w:type="gramEnd"/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and this may not be identified or the volunteer does not know who to report it to.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BC" w:rsidRPr="007D2EBC" w:rsidRDefault="007D2EBC" w:rsidP="007D2EBC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7D2EBC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Volunteers provided with basic safeguarding training and guidance to assist with identifying some of the signs of abuse.</w:t>
            </w:r>
          </w:p>
          <w:p w:rsidR="00EA0B40" w:rsidRPr="00EA0B40" w:rsidRDefault="00EA0B40" w:rsidP="00EA0B40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Volunteers are made aware </w:t>
            </w: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of how to </w:t>
            </w:r>
            <w:r w:rsidRP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report </w:t>
            </w: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safeguarding concerns </w:t>
            </w:r>
          </w:p>
          <w:p w:rsidR="00EA0B40" w:rsidRDefault="003F4952" w:rsidP="00EA0B40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hyperlink r:id="rId7" w:history="1">
              <w:r w:rsidR="00EA0B40" w:rsidRPr="008F204F">
                <w:rPr>
                  <w:rStyle w:val="Hyperlink"/>
                  <w:rFonts w:ascii="Arial Narrow" w:eastAsia="Times New Roman" w:hAnsi="Arial Narrow" w:cs="Arial Narrow"/>
                  <w:szCs w:val="24"/>
                  <w:lang w:val="en-US" w:eastAsia="ar-SA"/>
                </w:rPr>
                <w:t>https://www.nottinghamshire.gov.uk/care/safeguarding/reporting-abuse</w:t>
              </w:r>
            </w:hyperlink>
            <w:r w:rsid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(adults)</w:t>
            </w:r>
          </w:p>
          <w:p w:rsidR="00EA0B40" w:rsidRDefault="003F4952" w:rsidP="00EA0B40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hyperlink r:id="rId8" w:history="1">
              <w:r w:rsidR="00EA0B40" w:rsidRPr="008F204F">
                <w:rPr>
                  <w:rStyle w:val="Hyperlink"/>
                  <w:rFonts w:ascii="Arial Narrow" w:eastAsia="Times New Roman" w:hAnsi="Arial Narrow" w:cs="Arial Narrow"/>
                  <w:szCs w:val="24"/>
                  <w:lang w:val="en-US" w:eastAsia="ar-SA"/>
                </w:rPr>
                <w:t>https://www.nottinghamshire.gov.uk/care/safeguarding/childrens-mash</w:t>
              </w:r>
            </w:hyperlink>
            <w:r w:rsid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</w:t>
            </w:r>
            <w:r w:rsidR="00EA0B40" w:rsidRP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</w:t>
            </w:r>
            <w:r w:rsid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(children) or phone </w:t>
            </w:r>
            <w:r w:rsidR="00EA0B40" w:rsidRP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0300 500 80 80.</w:t>
            </w:r>
          </w:p>
          <w:p w:rsidR="00EA0B40" w:rsidRPr="00EA0B40" w:rsidRDefault="00EA0B40" w:rsidP="00EA0B40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  <w:p w:rsidR="007D2EBC" w:rsidRPr="00EA0B40" w:rsidRDefault="007D2EBC" w:rsidP="00EA0B40">
            <w:pPr>
              <w:pStyle w:val="ListParagraph"/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BC" w:rsidRPr="00DE70E9" w:rsidRDefault="00EA0B40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Group Coordinator (insert name)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EBC" w:rsidRPr="003D0A08" w:rsidRDefault="007D2EBC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EBC" w:rsidRPr="003D0A08" w:rsidRDefault="007D2EBC" w:rsidP="003D0A08">
            <w:pPr>
              <w:suppressAutoHyphens/>
              <w:snapToGrid w:val="0"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</w:tr>
      <w:tr w:rsidR="00DE70E9" w:rsidRPr="003D0A08" w:rsidTr="000A72D1">
        <w:trPr>
          <w:cantSplit/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Food </w:t>
            </w: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Shopping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Default="00DE70E9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Volunteer infected by Covid-19 from access to shop or supermarket</w:t>
            </w:r>
          </w:p>
          <w:p w:rsidR="00DE70E9" w:rsidRDefault="00DE70E9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Potential of fraud being committed against the resident </w:t>
            </w:r>
          </w:p>
          <w:p w:rsidR="00DE70E9" w:rsidRPr="003D0A08" w:rsidRDefault="00DE70E9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Potential risk of accusations of fraud/theft against the volunteer </w:t>
            </w: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B40" w:rsidRPr="00EA0B40" w:rsidRDefault="00EA0B40" w:rsidP="00EA0B40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Use volunteers that are known to you or </w:t>
            </w: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known </w:t>
            </w:r>
            <w:r w:rsidRP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to existing groups</w:t>
            </w:r>
          </w:p>
          <w:p w:rsidR="00EA0B40" w:rsidRPr="00EA0B40" w:rsidRDefault="00EA0B40" w:rsidP="00EA0B40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Coordinator to keep a running record of which volunteers are dispatched to assist. </w:t>
            </w:r>
          </w:p>
          <w:p w:rsidR="00DE70E9" w:rsidRDefault="00DE70E9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Volunteer should show their ID or have agreed a password with the resident </w:t>
            </w:r>
          </w:p>
          <w:p w:rsidR="00DE70E9" w:rsidRPr="003D0A08" w:rsidRDefault="00DE70E9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Volunteer should agree a ceiling price with the resident and ideally only shop for essentials to keep the amount to a minimum</w:t>
            </w:r>
          </w:p>
          <w:p w:rsidR="00DE70E9" w:rsidRPr="003D0A08" w:rsidRDefault="00DE70E9" w:rsidP="003D0A08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Consider alternative payments</w:t>
            </w:r>
            <w:r w:rsid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, to avoid volunteer handling money, for example e</w:t>
            </w: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xplore whether local shops can take payment over the phone directly from the person being assisted.</w:t>
            </w:r>
          </w:p>
          <w:p w:rsidR="00DE70E9" w:rsidRPr="003D0A08" w:rsidRDefault="00DE70E9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Try to limit shopping to essentials to reduce the amount of money involved.</w:t>
            </w:r>
          </w:p>
          <w:p w:rsidR="00DE70E9" w:rsidRDefault="00DE70E9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Volunteer to provide a receipt for all purchases</w:t>
            </w:r>
          </w:p>
          <w:p w:rsidR="00DE70E9" w:rsidRDefault="00DE70E9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Volunteer to take a photo of the receipt</w:t>
            </w:r>
            <w:r w:rsidR="00EA0B40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and keep a record </w:t>
            </w:r>
          </w:p>
          <w:p w:rsidR="00DE70E9" w:rsidRDefault="00DE70E9" w:rsidP="003D0A08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Volunteers should try and do their shopping at the same time as the shopping for the person that they are assisting to avoid multiple trips.</w:t>
            </w:r>
          </w:p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DE70E9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Group Coordinator (insert name)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</w:tr>
      <w:tr w:rsidR="00DE70E9" w:rsidRPr="003D0A08" w:rsidTr="000A72D1">
        <w:trPr>
          <w:cantSplit/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Medicines Collection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Default="00DE70E9" w:rsidP="003D0A08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Risk of medicine not being delivered to the person</w:t>
            </w:r>
          </w:p>
          <w:p w:rsidR="00DE70E9" w:rsidRDefault="00DE70E9" w:rsidP="003D0A08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Risk of incorrect medication being delivered</w:t>
            </w:r>
          </w:p>
          <w:p w:rsidR="00DE70E9" w:rsidRPr="00F007D7" w:rsidRDefault="00DE70E9" w:rsidP="00F007D7">
            <w:pPr>
              <w:pStyle w:val="ListParagraph"/>
              <w:numPr>
                <w:ilvl w:val="0"/>
                <w:numId w:val="2"/>
              </w:numPr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Risk of medicine being delivered to incorrect address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Default="00DE70E9" w:rsidP="003D0A08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Volunteer to agree a time with the resident to deliver their medication</w:t>
            </w:r>
          </w:p>
          <w:p w:rsidR="00DE70E9" w:rsidRDefault="00DE70E9" w:rsidP="003D0A08">
            <w:pPr>
              <w:pStyle w:val="ListParagraph"/>
              <w:numPr>
                <w:ilvl w:val="0"/>
                <w:numId w:val="2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Before</w:t>
            </w: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volunteer </w:t>
            </w: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leav</w:t>
            </w: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es</w:t>
            </w: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the pharmacy check the name and address details that are on the external labelling of the package to ensure they correspond to the resident you are collecting the medication for</w:t>
            </w: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.</w:t>
            </w:r>
          </w:p>
          <w:p w:rsidR="00DE70E9" w:rsidRPr="00F007D7" w:rsidRDefault="00DE70E9" w:rsidP="00F007D7">
            <w:pPr>
              <w:pStyle w:val="ListParagraph"/>
              <w:numPr>
                <w:ilvl w:val="0"/>
                <w:numId w:val="2"/>
              </w:numPr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When the resident answers the door </w:t>
            </w: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volunteer to </w:t>
            </w:r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confirm with the resident that</w:t>
            </w: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they</w:t>
            </w:r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are at the correct address.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" w:eastAsia="Times New Roman" w:hAnsi="Arial" w:cs="Arial"/>
                <w:lang w:val="en-US" w:eastAsia="ar-SA"/>
              </w:rPr>
            </w:pPr>
            <w:r w:rsidRPr="00E223A6">
              <w:rPr>
                <w:rFonts w:ascii="Arial" w:eastAsia="Times New Roman" w:hAnsi="Arial" w:cs="Arial"/>
                <w:lang w:val="en-US" w:eastAsia="ar-SA"/>
              </w:rPr>
              <w:t>Group Coordinator (insert name)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</w:tr>
      <w:tr w:rsidR="00DE70E9" w:rsidRPr="003D0A08" w:rsidTr="000A72D1">
        <w:trPr>
          <w:cantSplit/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3D0A08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Dog Walking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F007D7" w:rsidRDefault="00DE70E9" w:rsidP="00F007D7">
            <w:pPr>
              <w:pStyle w:val="ListParagraph"/>
              <w:numPr>
                <w:ilvl w:val="0"/>
                <w:numId w:val="3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Risk of bites to volunteer or members of the public</w:t>
            </w:r>
          </w:p>
          <w:p w:rsidR="00DE70E9" w:rsidRPr="00F007D7" w:rsidRDefault="00DE70E9" w:rsidP="00F007D7">
            <w:pPr>
              <w:pStyle w:val="ListParagraph"/>
              <w:numPr>
                <w:ilvl w:val="0"/>
                <w:numId w:val="3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Risk of the dog being lost or stolen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F007D7" w:rsidRDefault="00DE70E9" w:rsidP="00F007D7">
            <w:pPr>
              <w:pStyle w:val="ListParagraph"/>
              <w:numPr>
                <w:ilvl w:val="0"/>
                <w:numId w:val="3"/>
              </w:numPr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Telephone the </w:t>
            </w:r>
            <w:proofErr w:type="spellStart"/>
            <w:proofErr w:type="gramStart"/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dogs</w:t>
            </w:r>
            <w:proofErr w:type="spellEnd"/>
            <w:proofErr w:type="gramEnd"/>
            <w:r w:rsidRPr="00F007D7"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 owner to find out about the dog and how it behaves in public and to new situations.  use a muzzle if the dog owner has one and recommends use. </w:t>
            </w:r>
          </w:p>
          <w:p w:rsidR="00DE70E9" w:rsidRPr="00F007D7" w:rsidRDefault="00DE70E9" w:rsidP="00F007D7">
            <w:pPr>
              <w:pStyle w:val="ListParagraph"/>
              <w:numPr>
                <w:ilvl w:val="0"/>
                <w:numId w:val="3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Keep the dog on the lead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" w:eastAsia="Times New Roman" w:hAnsi="Arial" w:cs="Arial"/>
                <w:lang w:val="en-US" w:eastAsia="ar-SA"/>
              </w:rPr>
            </w:pPr>
            <w:r w:rsidRPr="00E223A6">
              <w:rPr>
                <w:rFonts w:ascii="Arial" w:eastAsia="Times New Roman" w:hAnsi="Arial" w:cs="Arial"/>
                <w:lang w:val="en-US" w:eastAsia="ar-SA"/>
              </w:rPr>
              <w:t>Group Coordinator (insert name)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</w:tr>
      <w:tr w:rsidR="00DE70E9" w:rsidRPr="003D0A08" w:rsidTr="000A72D1">
        <w:trPr>
          <w:cantSplit/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 xml:space="preserve">Befriending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F007D7" w:rsidRDefault="00DE70E9" w:rsidP="00F007D7">
            <w:pPr>
              <w:pStyle w:val="ListParagraph"/>
              <w:numPr>
                <w:ilvl w:val="0"/>
                <w:numId w:val="4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Risk of the volunteer taking advantage of the person being assisted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F007D7" w:rsidRDefault="00DE70E9" w:rsidP="00F007D7">
            <w:pPr>
              <w:pStyle w:val="ListParagraph"/>
              <w:numPr>
                <w:ilvl w:val="0"/>
                <w:numId w:val="4"/>
              </w:numPr>
              <w:suppressAutoHyphens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  <w:r>
              <w:rPr>
                <w:rFonts w:ascii="Arial Narrow" w:eastAsia="Times New Roman" w:hAnsi="Arial Narrow" w:cs="Arial Narrow"/>
                <w:szCs w:val="24"/>
                <w:lang w:val="en-US" w:eastAsia="ar-SA"/>
              </w:rPr>
              <w:t>Resident to have the details of the group coordinator so that they can contact the group coordinator if the resident has any concerns.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E223A6" w:rsidRDefault="00DE70E9" w:rsidP="003D0A08">
            <w:pPr>
              <w:suppressAutoHyphens/>
              <w:spacing w:before="60" w:after="60" w:line="240" w:lineRule="exact"/>
              <w:rPr>
                <w:rFonts w:ascii="Arial" w:eastAsia="Times New Roman" w:hAnsi="Arial" w:cs="Arial"/>
                <w:lang w:val="en-US" w:eastAsia="ar-SA"/>
              </w:rPr>
            </w:pPr>
            <w:r w:rsidRPr="00E223A6">
              <w:rPr>
                <w:rFonts w:ascii="Arial" w:eastAsia="Times New Roman" w:hAnsi="Arial" w:cs="Arial"/>
                <w:lang w:val="en-US" w:eastAsia="ar-SA"/>
              </w:rPr>
              <w:t>Group Coordinator (insert name)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pacing w:before="60" w:after="60" w:line="240" w:lineRule="exact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E9" w:rsidRPr="003D0A08" w:rsidRDefault="00DE70E9" w:rsidP="003D0A08">
            <w:pPr>
              <w:suppressAutoHyphens/>
              <w:snapToGrid w:val="0"/>
              <w:spacing w:before="60" w:after="60" w:line="240" w:lineRule="exact"/>
              <w:rPr>
                <w:rFonts w:ascii="Arial Narrow" w:eastAsia="Times New Roman" w:hAnsi="Arial Narrow" w:cs="Arial Narrow"/>
                <w:szCs w:val="24"/>
                <w:lang w:val="en-US" w:eastAsia="ar-SA"/>
              </w:rPr>
            </w:pPr>
          </w:p>
        </w:tc>
      </w:tr>
    </w:tbl>
    <w:p w:rsidR="003D0A08" w:rsidRPr="003D0A08" w:rsidRDefault="003D0A08" w:rsidP="003D0A08">
      <w:pPr>
        <w:tabs>
          <w:tab w:val="center" w:pos="10787"/>
        </w:tabs>
        <w:rPr>
          <w:rFonts w:ascii="Arial" w:eastAsia="Times New Roman" w:hAnsi="Arial" w:cs="Arial"/>
          <w:sz w:val="18"/>
          <w:szCs w:val="24"/>
          <w:lang w:val="en-US" w:eastAsia="ar-SA"/>
        </w:rPr>
        <w:sectPr w:rsidR="003D0A08" w:rsidRPr="003D0A08" w:rsidSect="0054758A">
          <w:headerReference w:type="default" r:id="rId9"/>
          <w:footerReference w:type="default" r:id="rId10"/>
          <w:pgSz w:w="23811" w:h="16838" w:orient="landscape"/>
          <w:pgMar w:top="851" w:right="1103" w:bottom="396" w:left="1134" w:header="227" w:footer="340" w:gutter="0"/>
          <w:cols w:space="720"/>
          <w:docGrid w:linePitch="600" w:charSpace="45056"/>
        </w:sectPr>
      </w:pPr>
    </w:p>
    <w:p w:rsidR="003D0A08" w:rsidRPr="003D0A08" w:rsidRDefault="003D0A08" w:rsidP="003D0A08">
      <w:pPr>
        <w:suppressAutoHyphens/>
        <w:spacing w:after="120" w:line="240" w:lineRule="auto"/>
        <w:rPr>
          <w:rFonts w:ascii="Arial" w:eastAsia="Times New Roman" w:hAnsi="Arial" w:cs="Arial"/>
          <w:szCs w:val="24"/>
          <w:lang w:val="en-US" w:eastAsia="ar-SA"/>
        </w:rPr>
      </w:pPr>
      <w:r w:rsidRPr="003D0A08">
        <w:rPr>
          <w:rFonts w:ascii="Arial" w:eastAsia="Times New Roman" w:hAnsi="Arial" w:cs="Arial"/>
          <w:b/>
          <w:szCs w:val="24"/>
          <w:lang w:val="en-US" w:eastAsia="ar-SA"/>
        </w:rPr>
        <w:lastRenderedPageBreak/>
        <w:t>Risk Assessment completed by:</w:t>
      </w:r>
    </w:p>
    <w:p w:rsidR="003D0A08" w:rsidRPr="003D0A08" w:rsidRDefault="003D0A08" w:rsidP="003D0A08">
      <w:pPr>
        <w:suppressAutoHyphens/>
        <w:spacing w:after="0" w:line="240" w:lineRule="auto"/>
        <w:rPr>
          <w:rFonts w:ascii="Arial" w:eastAsia="Times New Roman" w:hAnsi="Arial" w:cs="Arial"/>
          <w:szCs w:val="24"/>
          <w:lang w:val="en-US" w:eastAsia="ar-SA"/>
        </w:rPr>
      </w:pPr>
      <w:r w:rsidRPr="003D0A08">
        <w:rPr>
          <w:rFonts w:ascii="Arial" w:eastAsia="Times New Roman" w:hAnsi="Arial" w:cs="Arial"/>
          <w:szCs w:val="24"/>
          <w:lang w:val="en-US" w:eastAsia="ar-SA"/>
        </w:rPr>
        <w:t xml:space="preserve"> </w:t>
      </w:r>
      <w:r>
        <w:rPr>
          <w:rFonts w:ascii="Arial" w:eastAsia="Times New Roman" w:hAnsi="Arial" w:cs="Arial"/>
          <w:szCs w:val="24"/>
          <w:lang w:val="en-US" w:eastAsia="ar-SA"/>
        </w:rPr>
        <w:t>Group Coordinator (Insert name) for</w:t>
      </w:r>
      <w:r w:rsidRPr="003D0A08">
        <w:rPr>
          <w:rFonts w:ascii="Arial" w:eastAsia="Times New Roman" w:hAnsi="Arial" w:cs="Arial"/>
          <w:szCs w:val="24"/>
          <w:lang w:val="en-US" w:eastAsia="ar-SA"/>
        </w:rPr>
        <w:t xml:space="preserve"> </w:t>
      </w:r>
      <w:r>
        <w:rPr>
          <w:rFonts w:ascii="Arial" w:eastAsia="Times New Roman" w:hAnsi="Arial" w:cs="Arial"/>
          <w:szCs w:val="24"/>
          <w:lang w:val="en-US" w:eastAsia="ar-SA"/>
        </w:rPr>
        <w:t>(insert name of group)</w:t>
      </w:r>
      <w:r w:rsidRPr="003D0A08">
        <w:rPr>
          <w:rFonts w:ascii="Arial" w:eastAsia="Times New Roman" w:hAnsi="Arial" w:cs="Arial"/>
          <w:szCs w:val="24"/>
          <w:lang w:val="en-US" w:eastAsia="ar-SA"/>
        </w:rPr>
        <w:t xml:space="preserve"> on </w:t>
      </w:r>
      <w:r>
        <w:rPr>
          <w:rFonts w:ascii="Arial" w:eastAsia="Times New Roman" w:hAnsi="Arial" w:cs="Arial"/>
          <w:szCs w:val="24"/>
          <w:u w:val="single"/>
          <w:lang w:val="en-US" w:eastAsia="ar-SA"/>
        </w:rPr>
        <w:t xml:space="preserve">1/03/2020 </w:t>
      </w:r>
    </w:p>
    <w:p w:rsidR="003D0A08" w:rsidRPr="003D0A08" w:rsidRDefault="003D0A08" w:rsidP="003D0A08">
      <w:pPr>
        <w:suppressAutoHyphens/>
        <w:spacing w:after="0" w:line="240" w:lineRule="auto"/>
        <w:rPr>
          <w:rFonts w:ascii="Arial" w:eastAsia="Times New Roman" w:hAnsi="Arial" w:cs="Arial"/>
          <w:szCs w:val="24"/>
          <w:lang w:val="en-US" w:eastAsia="ar-SA"/>
        </w:rPr>
      </w:pPr>
    </w:p>
    <w:p w:rsidR="003D0A08" w:rsidRPr="003D0A08" w:rsidRDefault="003D0A08" w:rsidP="003D0A08">
      <w:pPr>
        <w:suppressAutoHyphens/>
        <w:spacing w:after="120" w:line="240" w:lineRule="auto"/>
        <w:rPr>
          <w:rFonts w:ascii="Arial" w:eastAsia="Times New Roman" w:hAnsi="Arial" w:cs="Arial"/>
          <w:b/>
          <w:bCs/>
          <w:szCs w:val="24"/>
          <w:u w:val="single"/>
          <w:lang w:val="en-US" w:eastAsia="ar-SA"/>
        </w:rPr>
      </w:pPr>
      <w:r w:rsidRPr="003D0A08">
        <w:rPr>
          <w:rFonts w:ascii="Arial" w:eastAsia="Times New Roman" w:hAnsi="Arial" w:cs="Arial"/>
          <w:szCs w:val="24"/>
          <w:lang w:val="en-US" w:eastAsia="ar-SA"/>
        </w:rPr>
        <w:t xml:space="preserve">This risk assessment will be reviewed every two months or more frequently if changes to response arrangements mean that an intermediate review is necessary. </w:t>
      </w:r>
      <w:r w:rsidRPr="003D0A08">
        <w:rPr>
          <w:rFonts w:ascii="Arial" w:eastAsia="Times New Roman" w:hAnsi="Arial" w:cs="Arial"/>
          <w:b/>
          <w:szCs w:val="24"/>
          <w:lang w:val="en-US" w:eastAsia="ar-SA"/>
        </w:rPr>
        <w:t xml:space="preserve">Next review due: </w:t>
      </w:r>
      <w:r>
        <w:rPr>
          <w:rFonts w:ascii="Arial" w:eastAsia="Times New Roman" w:hAnsi="Arial" w:cs="Arial"/>
          <w:b/>
          <w:szCs w:val="24"/>
          <w:lang w:val="en-US" w:eastAsia="ar-SA"/>
        </w:rPr>
        <w:t xml:space="preserve">1/05/2020 </w:t>
      </w:r>
    </w:p>
    <w:p w:rsidR="003D0A08" w:rsidRPr="003D0A08" w:rsidRDefault="003D0A08" w:rsidP="003D0A08">
      <w:pPr>
        <w:suppressAutoHyphens/>
        <w:spacing w:after="120" w:line="240" w:lineRule="auto"/>
        <w:rPr>
          <w:rFonts w:ascii="Arial" w:eastAsia="Times New Roman" w:hAnsi="Arial" w:cs="Arial"/>
          <w:b/>
          <w:bCs/>
          <w:szCs w:val="24"/>
          <w:u w:val="single"/>
          <w:lang w:val="en-US" w:eastAsia="ar-SA"/>
        </w:rPr>
      </w:pPr>
    </w:p>
    <w:p w:rsidR="003D0A08" w:rsidRPr="003D0A08" w:rsidRDefault="003D0A08" w:rsidP="003D0A08">
      <w:pPr>
        <w:suppressAutoHyphens/>
        <w:spacing w:after="120" w:line="240" w:lineRule="auto"/>
        <w:rPr>
          <w:rFonts w:ascii="Arial" w:eastAsia="Times New Roman" w:hAnsi="Arial" w:cs="Arial"/>
          <w:b/>
          <w:bCs/>
          <w:szCs w:val="24"/>
          <w:u w:val="single"/>
          <w:lang w:val="en-US" w:eastAsia="ar-SA"/>
        </w:rPr>
      </w:pPr>
    </w:p>
    <w:p w:rsidR="003D0A08" w:rsidRPr="003D0A08" w:rsidRDefault="003D0A08" w:rsidP="003D0A08">
      <w:pPr>
        <w:suppressAutoHyphens/>
        <w:spacing w:after="120" w:line="240" w:lineRule="auto"/>
        <w:rPr>
          <w:rFonts w:ascii="Arial" w:eastAsia="Times New Roman" w:hAnsi="Arial" w:cs="Arial"/>
          <w:sz w:val="18"/>
          <w:szCs w:val="24"/>
          <w:lang w:val="en-US" w:eastAsia="ar-SA"/>
        </w:rPr>
      </w:pPr>
    </w:p>
    <w:p w:rsidR="003D0A08" w:rsidRPr="003D0A08" w:rsidRDefault="003D0A08" w:rsidP="003D0A0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val="en-US" w:eastAsia="ar-SA"/>
        </w:rPr>
      </w:pPr>
    </w:p>
    <w:p w:rsidR="003D0A08" w:rsidRDefault="003D0A08"/>
    <w:sectPr w:rsidR="003D0A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3" w:right="1103" w:bottom="396" w:left="1134" w:header="227" w:footer="340" w:gutter="0"/>
      <w:cols w:space="72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952" w:rsidRDefault="003F4952" w:rsidP="003D0A08">
      <w:pPr>
        <w:spacing w:after="0" w:line="240" w:lineRule="auto"/>
      </w:pPr>
      <w:r>
        <w:separator/>
      </w:r>
    </w:p>
  </w:endnote>
  <w:endnote w:type="continuationSeparator" w:id="0">
    <w:p w:rsidR="003F4952" w:rsidRDefault="003F4952" w:rsidP="003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76" w:rsidRDefault="00EA0B40">
    <w:pPr>
      <w:pStyle w:val="Footer"/>
      <w:jc w:val="center"/>
    </w:pPr>
    <w:r>
      <w:t xml:space="preserve">Risk Assessment for  </w:t>
    </w:r>
    <w:r>
      <w:rPr>
        <w:u w:val="single"/>
      </w:rPr>
      <w:t xml:space="preserve">                             </w:t>
    </w:r>
    <w:proofErr w:type="gramStart"/>
    <w:r>
      <w:rPr>
        <w:u w:val="single"/>
      </w:rPr>
      <w:t xml:space="preserve">  </w:t>
    </w:r>
    <w:r>
      <w:t xml:space="preserve"> </w:t>
    </w:r>
    <w:r w:rsidR="003D0A08">
      <w:t>(</w:t>
    </w:r>
    <w:proofErr w:type="gramEnd"/>
    <w:r w:rsidR="003D0A08">
      <w:t>insert name of</w:t>
    </w:r>
    <w:r>
      <w:t xml:space="preserve"> Group</w:t>
    </w:r>
    <w:r w:rsidR="003D0A08">
      <w:t>)</w:t>
    </w:r>
    <w:r>
      <w:tab/>
    </w:r>
    <w:r>
      <w:tab/>
      <w:t xml:space="preserve">Page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NUMPAGES \*Arabic 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3</w:t>
    </w:r>
    <w:r>
      <w:rPr>
        <w:b/>
        <w:bCs/>
        <w:sz w:val="24"/>
      </w:rPr>
      <w:fldChar w:fldCharType="end"/>
    </w:r>
  </w:p>
  <w:p w:rsidR="001B4F76" w:rsidRDefault="003F4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58A" w:rsidRDefault="00EA0B40" w:rsidP="0054758A">
    <w:pPr>
      <w:pStyle w:val="Footer"/>
      <w:jc w:val="center"/>
      <w:rPr>
        <w:szCs w:val="18"/>
      </w:rPr>
    </w:pPr>
    <w:r>
      <w:t>Copyright @Cumbria CVS 16 March 2020</w:t>
    </w:r>
    <w:r>
      <w:br/>
    </w:r>
    <w:r>
      <w:rPr>
        <w:szCs w:val="18"/>
      </w:rPr>
      <w:t xml:space="preserve">Registered Address: </w:t>
    </w:r>
    <w:proofErr w:type="spellStart"/>
    <w:r>
      <w:rPr>
        <w:szCs w:val="18"/>
      </w:rPr>
      <w:t>Shaddongate</w:t>
    </w:r>
    <w:proofErr w:type="spellEnd"/>
    <w:r>
      <w:rPr>
        <w:szCs w:val="18"/>
      </w:rPr>
      <w:t xml:space="preserve"> Resource Centre, </w:t>
    </w:r>
    <w:proofErr w:type="spellStart"/>
    <w:r>
      <w:rPr>
        <w:szCs w:val="18"/>
      </w:rPr>
      <w:t>Shaddongate</w:t>
    </w:r>
    <w:proofErr w:type="spellEnd"/>
    <w:r>
      <w:rPr>
        <w:szCs w:val="18"/>
      </w:rPr>
      <w:t>, Carlisle CA2 5TY</w:t>
    </w:r>
  </w:p>
  <w:p w:rsidR="0054758A" w:rsidRPr="0005376A" w:rsidRDefault="00EA0B40" w:rsidP="0054758A">
    <w:pPr>
      <w:pStyle w:val="Footer"/>
      <w:jc w:val="center"/>
      <w:rPr>
        <w:szCs w:val="18"/>
      </w:rPr>
    </w:pPr>
    <w:r>
      <w:rPr>
        <w:szCs w:val="18"/>
      </w:rPr>
      <w:t>Registered charity no:1119671 Company Limited by Guarantee:06178269</w:t>
    </w:r>
  </w:p>
  <w:p w:rsidR="001B4F76" w:rsidRDefault="003F4952" w:rsidP="0054758A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76" w:rsidRDefault="00EA0B40">
    <w:pPr>
      <w:pStyle w:val="Footer"/>
      <w:jc w:val="center"/>
    </w:pPr>
    <w:r>
      <w:t xml:space="preserve">Risk Assessment for  </w:t>
    </w:r>
    <w:r>
      <w:rPr>
        <w:u w:val="single"/>
      </w:rPr>
      <w:t xml:space="preserve">                               </w:t>
    </w:r>
    <w:r>
      <w:t>Insert Name of Group</w:t>
    </w:r>
    <w:r>
      <w:tab/>
    </w:r>
    <w:r>
      <w:tab/>
      <w:t xml:space="preserve">Page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3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NUMPAGES \*Arabic 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3</w:t>
    </w:r>
    <w:r>
      <w:rPr>
        <w:b/>
        <w:bCs/>
        <w:sz w:val="24"/>
      </w:rPr>
      <w:fldChar w:fldCharType="end"/>
    </w:r>
    <w:r w:rsidR="000A72D1">
      <w:rPr>
        <w:b/>
        <w:bCs/>
        <w:sz w:val="24"/>
      </w:rPr>
      <w:t xml:space="preserve">            Created 01/05/2020</w:t>
    </w:r>
  </w:p>
  <w:p w:rsidR="001B4F76" w:rsidRDefault="003F49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76" w:rsidRDefault="003F49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952" w:rsidRDefault="003F4952" w:rsidP="003D0A08">
      <w:pPr>
        <w:spacing w:after="0" w:line="240" w:lineRule="auto"/>
      </w:pPr>
      <w:r>
        <w:separator/>
      </w:r>
    </w:p>
  </w:footnote>
  <w:footnote w:type="continuationSeparator" w:id="0">
    <w:p w:rsidR="003F4952" w:rsidRDefault="003F4952" w:rsidP="003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76" w:rsidRDefault="00EA0B40">
    <w:pPr>
      <w:spacing w:line="440" w:lineRule="exac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76" w:rsidRDefault="003F49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76" w:rsidRDefault="00EA0B40">
    <w:pPr>
      <w:spacing w:line="440" w:lineRule="exact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76" w:rsidRDefault="003F49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C47"/>
    <w:multiLevelType w:val="hybridMultilevel"/>
    <w:tmpl w:val="020A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68F0"/>
    <w:multiLevelType w:val="hybridMultilevel"/>
    <w:tmpl w:val="01E0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47DC"/>
    <w:multiLevelType w:val="hybridMultilevel"/>
    <w:tmpl w:val="FE025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00A9F"/>
    <w:multiLevelType w:val="hybridMultilevel"/>
    <w:tmpl w:val="32C6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778E"/>
    <w:multiLevelType w:val="hybridMultilevel"/>
    <w:tmpl w:val="7822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08"/>
    <w:rsid w:val="000A72D1"/>
    <w:rsid w:val="00204838"/>
    <w:rsid w:val="003D0A08"/>
    <w:rsid w:val="003F4952"/>
    <w:rsid w:val="007D2EBC"/>
    <w:rsid w:val="00DE70E9"/>
    <w:rsid w:val="00E223A6"/>
    <w:rsid w:val="00EA0B40"/>
    <w:rsid w:val="00F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281B-DA44-410B-ADBE-EC7EF882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0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08"/>
  </w:style>
  <w:style w:type="paragraph" w:styleId="Header">
    <w:name w:val="header"/>
    <w:basedOn w:val="Normal"/>
    <w:link w:val="HeaderChar"/>
    <w:uiPriority w:val="99"/>
    <w:unhideWhenUsed/>
    <w:rsid w:val="003D0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08"/>
  </w:style>
  <w:style w:type="paragraph" w:styleId="ListParagraph">
    <w:name w:val="List Paragraph"/>
    <w:basedOn w:val="Normal"/>
    <w:uiPriority w:val="34"/>
    <w:qFormat/>
    <w:rsid w:val="003D0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B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shire.gov.uk/care/safeguarding/childrens-mas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ottinghamshire.gov.uk/care/safeguarding/reporting-abuse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Potter</dc:creator>
  <cp:keywords/>
  <dc:description/>
  <cp:lastModifiedBy>Andrew Lowe</cp:lastModifiedBy>
  <cp:revision>2</cp:revision>
  <dcterms:created xsi:type="dcterms:W3CDTF">2020-05-07T08:10:00Z</dcterms:created>
  <dcterms:modified xsi:type="dcterms:W3CDTF">2020-05-07T08:10:00Z</dcterms:modified>
</cp:coreProperties>
</file>