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70B" w:rsidRDefault="00EB7599" w:rsidP="00A9370B">
      <w:r>
        <w:rPr>
          <w:noProof/>
        </w:rPr>
        <w:drawing>
          <wp:inline distT="0" distB="0" distL="0" distR="0">
            <wp:extent cx="2945130" cy="499745"/>
            <wp:effectExtent l="0" t="0" r="7620" b="0"/>
            <wp:docPr id="1" name="Picture 1" descr="NCC-l-head-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cmy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5130" cy="499745"/>
                    </a:xfrm>
                    <a:prstGeom prst="rect">
                      <a:avLst/>
                    </a:prstGeom>
                    <a:noFill/>
                    <a:ln>
                      <a:noFill/>
                    </a:ln>
                  </pic:spPr>
                </pic:pic>
              </a:graphicData>
            </a:graphic>
          </wp:inline>
        </w:drawing>
      </w:r>
    </w:p>
    <w:p w:rsidR="00A9370B" w:rsidRDefault="00A9370B" w:rsidP="00A9370B"/>
    <w:p w:rsidR="008F1231" w:rsidRDefault="008F1231" w:rsidP="00A9370B">
      <w:pPr>
        <w:sectPr w:rsidR="008F1231" w:rsidSect="00D31EE1">
          <w:type w:val="continuous"/>
          <w:pgSz w:w="16838" w:h="11906" w:orient="landscape" w:code="9"/>
          <w:pgMar w:top="567" w:right="567" w:bottom="851" w:left="567" w:header="709" w:footer="284" w:gutter="0"/>
          <w:cols w:sep="1" w:space="720"/>
          <w:docGrid w:linePitch="360"/>
        </w:sectPr>
      </w:pPr>
    </w:p>
    <w:p w:rsidR="00A9370B" w:rsidRDefault="00BE7211" w:rsidP="002A0E41">
      <w:pPr>
        <w:jc w:val="center"/>
        <w:rPr>
          <w:b/>
          <w:sz w:val="28"/>
          <w:szCs w:val="28"/>
        </w:rPr>
      </w:pPr>
      <w:r>
        <w:rPr>
          <w:b/>
          <w:sz w:val="28"/>
          <w:szCs w:val="28"/>
        </w:rPr>
        <w:t xml:space="preserve">COUNTY COUNCIL </w:t>
      </w:r>
      <w:r w:rsidR="002A0E41" w:rsidRPr="002A0E41">
        <w:rPr>
          <w:b/>
          <w:sz w:val="28"/>
          <w:szCs w:val="28"/>
        </w:rPr>
        <w:t xml:space="preserve">EQUALITY </w:t>
      </w:r>
      <w:r w:rsidR="00821847">
        <w:rPr>
          <w:b/>
          <w:sz w:val="28"/>
          <w:szCs w:val="28"/>
        </w:rPr>
        <w:t xml:space="preserve">PLAN </w:t>
      </w:r>
      <w:r w:rsidR="00107D05">
        <w:rPr>
          <w:b/>
          <w:sz w:val="28"/>
          <w:szCs w:val="28"/>
        </w:rPr>
        <w:t>201</w:t>
      </w:r>
      <w:r w:rsidR="00281F63">
        <w:rPr>
          <w:b/>
          <w:sz w:val="28"/>
          <w:szCs w:val="28"/>
        </w:rPr>
        <w:t>9</w:t>
      </w:r>
      <w:r w:rsidR="00FF28A2">
        <w:rPr>
          <w:b/>
          <w:sz w:val="28"/>
          <w:szCs w:val="28"/>
        </w:rPr>
        <w:t>/20</w:t>
      </w:r>
      <w:bookmarkStart w:id="0" w:name="_GoBack"/>
      <w:bookmarkEnd w:id="0"/>
      <w:r w:rsidR="003E727E">
        <w:rPr>
          <w:b/>
          <w:sz w:val="28"/>
          <w:szCs w:val="28"/>
        </w:rPr>
        <w:t xml:space="preserve"> </w:t>
      </w:r>
    </w:p>
    <w:p w:rsidR="00A77B5D" w:rsidRDefault="00A77B5D" w:rsidP="00A77B5D">
      <w:pPr>
        <w:rPr>
          <w:b/>
          <w:sz w:val="28"/>
          <w:szCs w:val="28"/>
        </w:rPr>
      </w:pPr>
    </w:p>
    <w:tbl>
      <w:tblPr>
        <w:tblStyle w:val="TableGrid"/>
        <w:tblW w:w="0" w:type="auto"/>
        <w:tblLook w:val="04A0" w:firstRow="1" w:lastRow="0" w:firstColumn="1" w:lastColumn="0" w:noHBand="0" w:noVBand="1"/>
      </w:tblPr>
      <w:tblGrid>
        <w:gridCol w:w="1838"/>
        <w:gridCol w:w="4961"/>
        <w:gridCol w:w="2268"/>
        <w:gridCol w:w="4926"/>
      </w:tblGrid>
      <w:tr w:rsidR="00E36772" w:rsidTr="00E36772">
        <w:tc>
          <w:tcPr>
            <w:tcW w:w="1838" w:type="dxa"/>
            <w:shd w:val="clear" w:color="auto" w:fill="D9D9D9" w:themeFill="background1" w:themeFillShade="D9"/>
          </w:tcPr>
          <w:p w:rsidR="00E36772" w:rsidRPr="00E36772" w:rsidRDefault="00A443C8" w:rsidP="00A77B5D">
            <w:pPr>
              <w:rPr>
                <w:b/>
                <w:sz w:val="28"/>
                <w:szCs w:val="28"/>
              </w:rPr>
            </w:pPr>
            <w:r>
              <w:rPr>
                <w:b/>
                <w:sz w:val="28"/>
                <w:szCs w:val="28"/>
              </w:rPr>
              <w:t>Aim</w:t>
            </w:r>
            <w:r w:rsidR="00E36772" w:rsidRPr="00E36772">
              <w:rPr>
                <w:b/>
                <w:sz w:val="28"/>
                <w:szCs w:val="28"/>
              </w:rPr>
              <w:t xml:space="preserve"> 1</w:t>
            </w:r>
          </w:p>
        </w:tc>
        <w:tc>
          <w:tcPr>
            <w:tcW w:w="12155" w:type="dxa"/>
            <w:gridSpan w:val="3"/>
            <w:shd w:val="clear" w:color="auto" w:fill="D9D9D9" w:themeFill="background1" w:themeFillShade="D9"/>
          </w:tcPr>
          <w:p w:rsidR="00E36772" w:rsidRPr="00E36772" w:rsidRDefault="00E36772" w:rsidP="00A77B5D">
            <w:pPr>
              <w:rPr>
                <w:b/>
                <w:sz w:val="28"/>
                <w:szCs w:val="28"/>
              </w:rPr>
            </w:pPr>
            <w:r w:rsidRPr="00E36772">
              <w:rPr>
                <w:b/>
                <w:sz w:val="28"/>
                <w:szCs w:val="28"/>
              </w:rPr>
              <w:t>We will develop and support a diverse workforce</w:t>
            </w:r>
          </w:p>
        </w:tc>
      </w:tr>
      <w:tr w:rsidR="00E36772" w:rsidTr="00E36772">
        <w:tc>
          <w:tcPr>
            <w:tcW w:w="13993" w:type="dxa"/>
            <w:gridSpan w:val="4"/>
            <w:shd w:val="clear" w:color="auto" w:fill="DBE5F1" w:themeFill="accent1" w:themeFillTint="33"/>
          </w:tcPr>
          <w:p w:rsidR="00E36772" w:rsidRPr="00E36772" w:rsidRDefault="00E36772" w:rsidP="00A77B5D">
            <w:pPr>
              <w:rPr>
                <w:b/>
                <w:sz w:val="22"/>
                <w:szCs w:val="22"/>
              </w:rPr>
            </w:pPr>
            <w:r w:rsidRPr="00E36772">
              <w:rPr>
                <w:b/>
                <w:sz w:val="22"/>
                <w:szCs w:val="22"/>
              </w:rPr>
              <w:t>EO1: To maintain or improve the Council’s workforce representation for gender, disability, sexual orientation, ethnic origin and age every year.</w:t>
            </w:r>
          </w:p>
        </w:tc>
      </w:tr>
      <w:tr w:rsidR="006B793A" w:rsidTr="00E36772">
        <w:tc>
          <w:tcPr>
            <w:tcW w:w="1838" w:type="dxa"/>
          </w:tcPr>
          <w:p w:rsidR="006B793A" w:rsidRPr="006B793A" w:rsidRDefault="006B793A" w:rsidP="00A77B5D">
            <w:pPr>
              <w:rPr>
                <w:b/>
              </w:rPr>
            </w:pPr>
          </w:p>
        </w:tc>
        <w:tc>
          <w:tcPr>
            <w:tcW w:w="4961" w:type="dxa"/>
          </w:tcPr>
          <w:p w:rsidR="006B793A" w:rsidRPr="00281F63" w:rsidRDefault="006B793A" w:rsidP="00A77B5D">
            <w:pPr>
              <w:rPr>
                <w:b/>
              </w:rPr>
            </w:pPr>
            <w:r w:rsidRPr="00281F63">
              <w:rPr>
                <w:b/>
              </w:rPr>
              <w:t>Action required</w:t>
            </w:r>
          </w:p>
        </w:tc>
        <w:tc>
          <w:tcPr>
            <w:tcW w:w="2268" w:type="dxa"/>
          </w:tcPr>
          <w:p w:rsidR="006B793A" w:rsidRPr="00281F63" w:rsidRDefault="006B793A" w:rsidP="00A77B5D">
            <w:pPr>
              <w:rPr>
                <w:b/>
              </w:rPr>
            </w:pPr>
            <w:r w:rsidRPr="00281F63">
              <w:rPr>
                <w:b/>
              </w:rPr>
              <w:t>Responsibility of</w:t>
            </w:r>
          </w:p>
        </w:tc>
        <w:tc>
          <w:tcPr>
            <w:tcW w:w="4926" w:type="dxa"/>
          </w:tcPr>
          <w:p w:rsidR="006B793A" w:rsidRPr="00281F63" w:rsidRDefault="003F55C1" w:rsidP="00A77B5D">
            <w:pPr>
              <w:rPr>
                <w:b/>
              </w:rPr>
            </w:pPr>
            <w:r>
              <w:rPr>
                <w:b/>
              </w:rPr>
              <w:t>Progress will be monitored</w:t>
            </w:r>
            <w:r w:rsidR="006B793A" w:rsidRPr="00281F63">
              <w:rPr>
                <w:b/>
              </w:rPr>
              <w:t xml:space="preserve"> by</w:t>
            </w:r>
          </w:p>
        </w:tc>
      </w:tr>
      <w:tr w:rsidR="005D5BE6" w:rsidTr="00E36772">
        <w:tc>
          <w:tcPr>
            <w:tcW w:w="1838" w:type="dxa"/>
          </w:tcPr>
          <w:p w:rsidR="005D5BE6" w:rsidRPr="006B793A" w:rsidRDefault="005D5BE6" w:rsidP="00A77B5D">
            <w:pPr>
              <w:rPr>
                <w:b/>
              </w:rPr>
            </w:pPr>
            <w:r>
              <w:t>1.1</w:t>
            </w:r>
          </w:p>
          <w:p w:rsidR="005D5BE6" w:rsidRPr="006B793A" w:rsidRDefault="005D5BE6" w:rsidP="00A77B5D">
            <w:pPr>
              <w:rPr>
                <w:b/>
              </w:rPr>
            </w:pPr>
          </w:p>
          <w:p w:rsidR="005D5BE6" w:rsidRPr="006B793A" w:rsidRDefault="005D5BE6" w:rsidP="00A77B5D">
            <w:pPr>
              <w:rPr>
                <w:b/>
              </w:rPr>
            </w:pPr>
          </w:p>
        </w:tc>
        <w:tc>
          <w:tcPr>
            <w:tcW w:w="4961" w:type="dxa"/>
          </w:tcPr>
          <w:p w:rsidR="005D5BE6" w:rsidRPr="006B793A" w:rsidRDefault="005D5BE6" w:rsidP="00A77B5D">
            <w:r>
              <w:t>Identify and eliminate the barriers to under-represented groups being in leadership positions.</w:t>
            </w:r>
          </w:p>
        </w:tc>
        <w:tc>
          <w:tcPr>
            <w:tcW w:w="2268" w:type="dxa"/>
            <w:vMerge w:val="restart"/>
          </w:tcPr>
          <w:p w:rsidR="005D5BE6" w:rsidRPr="00281F63" w:rsidRDefault="005D5BE6" w:rsidP="00A77B5D">
            <w:pPr>
              <w:rPr>
                <w:b/>
              </w:rPr>
            </w:pPr>
            <w:r>
              <w:t>Human Resources</w:t>
            </w:r>
          </w:p>
        </w:tc>
        <w:tc>
          <w:tcPr>
            <w:tcW w:w="4926" w:type="dxa"/>
            <w:vMerge w:val="restart"/>
          </w:tcPr>
          <w:p w:rsidR="005D5BE6" w:rsidRPr="00A41080" w:rsidRDefault="003F55C1" w:rsidP="005D5BE6">
            <w:pPr>
              <w:pStyle w:val="ListParagraph"/>
              <w:numPr>
                <w:ilvl w:val="0"/>
                <w:numId w:val="11"/>
              </w:numPr>
            </w:pPr>
            <w:r>
              <w:t xml:space="preserve">Annual </w:t>
            </w:r>
            <w:r w:rsidR="005D5BE6" w:rsidRPr="00A41080">
              <w:t>Workforce Profile Monitoring report</w:t>
            </w:r>
          </w:p>
          <w:p w:rsidR="005D5BE6" w:rsidRDefault="005D5BE6" w:rsidP="005D5BE6">
            <w:pPr>
              <w:pStyle w:val="ListParagraph"/>
              <w:numPr>
                <w:ilvl w:val="0"/>
                <w:numId w:val="11"/>
              </w:numPr>
            </w:pPr>
            <w:r w:rsidRPr="00A41080">
              <w:t>NCC Employer Equalities Action Plan 2018-19</w:t>
            </w:r>
          </w:p>
          <w:p w:rsidR="005D5BE6" w:rsidRDefault="005D5BE6" w:rsidP="005D5BE6">
            <w:pPr>
              <w:pStyle w:val="ListParagraph"/>
              <w:numPr>
                <w:ilvl w:val="0"/>
                <w:numId w:val="11"/>
              </w:numPr>
            </w:pPr>
            <w:r>
              <w:t>Reports to Corporate Equality Group and Personnel Committee</w:t>
            </w:r>
          </w:p>
          <w:p w:rsidR="005D5BE6" w:rsidRPr="005D5BE6" w:rsidRDefault="005D5BE6" w:rsidP="005D5BE6">
            <w:pPr>
              <w:pStyle w:val="ListParagraph"/>
              <w:numPr>
                <w:ilvl w:val="0"/>
                <w:numId w:val="11"/>
              </w:numPr>
              <w:rPr>
                <w:b/>
              </w:rPr>
            </w:pPr>
            <w:r>
              <w:t>Stonewall Workplace Equality Index</w:t>
            </w:r>
          </w:p>
          <w:p w:rsidR="005D5BE6" w:rsidRPr="005D5BE6" w:rsidRDefault="005D5BE6" w:rsidP="005D5BE6">
            <w:pPr>
              <w:pStyle w:val="ListParagraph"/>
              <w:numPr>
                <w:ilvl w:val="0"/>
                <w:numId w:val="11"/>
              </w:numPr>
              <w:rPr>
                <w:b/>
              </w:rPr>
            </w:pPr>
            <w:r>
              <w:t>Disability Confident Employer assessment</w:t>
            </w:r>
          </w:p>
          <w:p w:rsidR="005D5BE6" w:rsidRPr="005D5BE6" w:rsidRDefault="005D5BE6" w:rsidP="005D5BE6">
            <w:pPr>
              <w:pStyle w:val="ListParagraph"/>
              <w:numPr>
                <w:ilvl w:val="0"/>
                <w:numId w:val="11"/>
              </w:numPr>
              <w:rPr>
                <w:b/>
              </w:rPr>
            </w:pPr>
            <w:r>
              <w:t>CIPFA benchmarking</w:t>
            </w:r>
          </w:p>
          <w:p w:rsidR="005D5BE6" w:rsidRDefault="005D5BE6" w:rsidP="005D5BE6">
            <w:pPr>
              <w:rPr>
                <w:b/>
              </w:rPr>
            </w:pPr>
          </w:p>
          <w:p w:rsidR="005D5BE6" w:rsidRPr="005D5BE6" w:rsidRDefault="005D5BE6" w:rsidP="005D5BE6">
            <w:pPr>
              <w:rPr>
                <w:b/>
              </w:rPr>
            </w:pPr>
          </w:p>
        </w:tc>
      </w:tr>
      <w:tr w:rsidR="005D5BE6" w:rsidTr="00E36772">
        <w:tc>
          <w:tcPr>
            <w:tcW w:w="1838" w:type="dxa"/>
          </w:tcPr>
          <w:p w:rsidR="005D5BE6" w:rsidRDefault="005D5BE6" w:rsidP="00A77B5D">
            <w:r>
              <w:t>1.2</w:t>
            </w:r>
          </w:p>
        </w:tc>
        <w:tc>
          <w:tcPr>
            <w:tcW w:w="4961" w:type="dxa"/>
          </w:tcPr>
          <w:p w:rsidR="005D5BE6" w:rsidRDefault="005D5BE6" w:rsidP="00A77B5D">
            <w:r>
              <w:t xml:space="preserve">Address the under-representation of women in the most senior posts in the Council by equipping them for more senior leadership roles through the next phase of the Leadership Development Programme and access to career development support.  </w:t>
            </w:r>
          </w:p>
        </w:tc>
        <w:tc>
          <w:tcPr>
            <w:tcW w:w="2268" w:type="dxa"/>
            <w:vMerge/>
          </w:tcPr>
          <w:p w:rsidR="005D5BE6" w:rsidRPr="00281F63" w:rsidRDefault="005D5BE6" w:rsidP="00A77B5D">
            <w:pPr>
              <w:rPr>
                <w:b/>
              </w:rPr>
            </w:pPr>
          </w:p>
        </w:tc>
        <w:tc>
          <w:tcPr>
            <w:tcW w:w="4926" w:type="dxa"/>
            <w:vMerge/>
          </w:tcPr>
          <w:p w:rsidR="005D5BE6" w:rsidRPr="00281F63" w:rsidRDefault="005D5BE6" w:rsidP="00A77B5D">
            <w:pPr>
              <w:rPr>
                <w:b/>
              </w:rPr>
            </w:pPr>
          </w:p>
        </w:tc>
      </w:tr>
      <w:tr w:rsidR="005D5BE6" w:rsidTr="00E36772">
        <w:tc>
          <w:tcPr>
            <w:tcW w:w="1838" w:type="dxa"/>
          </w:tcPr>
          <w:p w:rsidR="005D5BE6" w:rsidRDefault="005D5BE6" w:rsidP="00A77B5D">
            <w:r>
              <w:t>1.3</w:t>
            </w:r>
          </w:p>
        </w:tc>
        <w:tc>
          <w:tcPr>
            <w:tcW w:w="4961" w:type="dxa"/>
          </w:tcPr>
          <w:p w:rsidR="005D5BE6" w:rsidRDefault="005D5BE6" w:rsidP="00A77B5D">
            <w:r>
              <w:t>Offer learning and development opportunities to support existing line managers to progress their careers as well as enabling aspiring managers to develop the skills to take on their first management post.</w:t>
            </w:r>
          </w:p>
        </w:tc>
        <w:tc>
          <w:tcPr>
            <w:tcW w:w="2268" w:type="dxa"/>
            <w:vMerge/>
          </w:tcPr>
          <w:p w:rsidR="005D5BE6" w:rsidRPr="00281F63" w:rsidRDefault="005D5BE6" w:rsidP="00A77B5D">
            <w:pPr>
              <w:rPr>
                <w:b/>
              </w:rPr>
            </w:pPr>
          </w:p>
        </w:tc>
        <w:tc>
          <w:tcPr>
            <w:tcW w:w="4926" w:type="dxa"/>
            <w:vMerge/>
          </w:tcPr>
          <w:p w:rsidR="005D5BE6" w:rsidRPr="00281F63" w:rsidRDefault="005D5BE6" w:rsidP="00A77B5D">
            <w:pPr>
              <w:rPr>
                <w:b/>
              </w:rPr>
            </w:pPr>
          </w:p>
        </w:tc>
      </w:tr>
      <w:tr w:rsidR="005D5BE6" w:rsidTr="00E36772">
        <w:tc>
          <w:tcPr>
            <w:tcW w:w="1838" w:type="dxa"/>
          </w:tcPr>
          <w:p w:rsidR="005D5BE6" w:rsidRPr="006B793A" w:rsidRDefault="005D5BE6" w:rsidP="00E36772">
            <w:r w:rsidRPr="006B793A">
              <w:t>1.</w:t>
            </w:r>
            <w:r>
              <w:t>4</w:t>
            </w:r>
          </w:p>
        </w:tc>
        <w:tc>
          <w:tcPr>
            <w:tcW w:w="4961" w:type="dxa"/>
          </w:tcPr>
          <w:p w:rsidR="005D5BE6" w:rsidRPr="00A41080" w:rsidRDefault="005D5BE6" w:rsidP="00A41080">
            <w:r>
              <w:t>Review current graduate trainee programme and develop a new localised model to attract graduates with diverse characteristics.</w:t>
            </w:r>
          </w:p>
        </w:tc>
        <w:tc>
          <w:tcPr>
            <w:tcW w:w="2268" w:type="dxa"/>
            <w:vMerge/>
          </w:tcPr>
          <w:p w:rsidR="005D5BE6" w:rsidRPr="001676D0" w:rsidRDefault="005D5BE6" w:rsidP="00A77B5D"/>
        </w:tc>
        <w:tc>
          <w:tcPr>
            <w:tcW w:w="4926" w:type="dxa"/>
            <w:vMerge/>
          </w:tcPr>
          <w:p w:rsidR="005D5BE6" w:rsidRDefault="005D5BE6" w:rsidP="00A77B5D">
            <w:pPr>
              <w:rPr>
                <w:b/>
                <w:sz w:val="28"/>
                <w:szCs w:val="28"/>
              </w:rPr>
            </w:pPr>
          </w:p>
        </w:tc>
      </w:tr>
      <w:tr w:rsidR="005D5BE6" w:rsidTr="00E36772">
        <w:tc>
          <w:tcPr>
            <w:tcW w:w="1838" w:type="dxa"/>
          </w:tcPr>
          <w:p w:rsidR="005D5BE6" w:rsidRPr="006B793A" w:rsidRDefault="005D5BE6" w:rsidP="00E36772">
            <w:r w:rsidRPr="006B793A">
              <w:t>1.</w:t>
            </w:r>
            <w:r>
              <w:t>5</w:t>
            </w:r>
          </w:p>
        </w:tc>
        <w:tc>
          <w:tcPr>
            <w:tcW w:w="4961" w:type="dxa"/>
          </w:tcPr>
          <w:p w:rsidR="005D5BE6" w:rsidRPr="00A41080" w:rsidRDefault="005D5BE6" w:rsidP="00A77B5D">
            <w:r>
              <w:t>Offer internships to graduates with disabilities via the Leonard Cheshire Change 100 initiative.</w:t>
            </w:r>
          </w:p>
        </w:tc>
        <w:tc>
          <w:tcPr>
            <w:tcW w:w="2268" w:type="dxa"/>
            <w:vMerge/>
          </w:tcPr>
          <w:p w:rsidR="005D5BE6" w:rsidRDefault="005D5BE6" w:rsidP="00A77B5D">
            <w:pPr>
              <w:rPr>
                <w:b/>
                <w:sz w:val="28"/>
                <w:szCs w:val="28"/>
              </w:rPr>
            </w:pPr>
          </w:p>
        </w:tc>
        <w:tc>
          <w:tcPr>
            <w:tcW w:w="4926" w:type="dxa"/>
            <w:vMerge/>
          </w:tcPr>
          <w:p w:rsidR="005D5BE6" w:rsidRDefault="005D5BE6" w:rsidP="00A77B5D">
            <w:pPr>
              <w:rPr>
                <w:b/>
                <w:sz w:val="28"/>
                <w:szCs w:val="28"/>
              </w:rPr>
            </w:pPr>
          </w:p>
        </w:tc>
      </w:tr>
      <w:tr w:rsidR="005D5BE6" w:rsidTr="00E36772">
        <w:tc>
          <w:tcPr>
            <w:tcW w:w="1838" w:type="dxa"/>
          </w:tcPr>
          <w:p w:rsidR="005D5BE6" w:rsidRPr="006B793A" w:rsidRDefault="005D5BE6" w:rsidP="00E36772">
            <w:r w:rsidRPr="006B793A">
              <w:t>1.</w:t>
            </w:r>
            <w:r>
              <w:t>6</w:t>
            </w:r>
          </w:p>
        </w:tc>
        <w:tc>
          <w:tcPr>
            <w:tcW w:w="4961" w:type="dxa"/>
          </w:tcPr>
          <w:p w:rsidR="005D5BE6" w:rsidRPr="001676D0" w:rsidRDefault="005D5BE6" w:rsidP="00A77B5D">
            <w:r>
              <w:t>Work with partners to attract apprentices with a range of protected characteristics.</w:t>
            </w:r>
          </w:p>
        </w:tc>
        <w:tc>
          <w:tcPr>
            <w:tcW w:w="2268" w:type="dxa"/>
            <w:vMerge/>
          </w:tcPr>
          <w:p w:rsidR="005D5BE6" w:rsidRDefault="005D5BE6" w:rsidP="00A77B5D">
            <w:pPr>
              <w:rPr>
                <w:b/>
                <w:sz w:val="28"/>
                <w:szCs w:val="28"/>
              </w:rPr>
            </w:pPr>
          </w:p>
        </w:tc>
        <w:tc>
          <w:tcPr>
            <w:tcW w:w="4926" w:type="dxa"/>
            <w:vMerge/>
          </w:tcPr>
          <w:p w:rsidR="005D5BE6" w:rsidRDefault="005D5BE6" w:rsidP="00A77B5D">
            <w:pPr>
              <w:rPr>
                <w:b/>
                <w:sz w:val="28"/>
                <w:szCs w:val="28"/>
              </w:rPr>
            </w:pPr>
          </w:p>
        </w:tc>
      </w:tr>
      <w:tr w:rsidR="005D5BE6" w:rsidTr="00E36772">
        <w:tc>
          <w:tcPr>
            <w:tcW w:w="1838" w:type="dxa"/>
          </w:tcPr>
          <w:p w:rsidR="005D5BE6" w:rsidRPr="006B793A" w:rsidRDefault="005D5BE6" w:rsidP="00E36772">
            <w:r w:rsidRPr="006B793A">
              <w:t>1.</w:t>
            </w:r>
            <w:r>
              <w:t>7</w:t>
            </w:r>
          </w:p>
        </w:tc>
        <w:tc>
          <w:tcPr>
            <w:tcW w:w="4961" w:type="dxa"/>
          </w:tcPr>
          <w:p w:rsidR="005D5BE6" w:rsidRPr="00E36772" w:rsidRDefault="005D5BE6" w:rsidP="00A77B5D">
            <w:r>
              <w:t xml:space="preserve">Encourage all managers to identify and make full use of any reasonable adjustments to recruit and support disabled people in work and retain them in </w:t>
            </w:r>
            <w:r>
              <w:lastRenderedPageBreak/>
              <w:t>employment wherever possible.  This includes ongoing work to support employees experiencing stress and poor mental health.</w:t>
            </w:r>
          </w:p>
        </w:tc>
        <w:tc>
          <w:tcPr>
            <w:tcW w:w="2268" w:type="dxa"/>
            <w:vMerge/>
          </w:tcPr>
          <w:p w:rsidR="005D5BE6" w:rsidRDefault="005D5BE6" w:rsidP="00A77B5D">
            <w:pPr>
              <w:rPr>
                <w:b/>
                <w:sz w:val="28"/>
                <w:szCs w:val="28"/>
              </w:rPr>
            </w:pPr>
          </w:p>
        </w:tc>
        <w:tc>
          <w:tcPr>
            <w:tcW w:w="4926" w:type="dxa"/>
            <w:vMerge/>
          </w:tcPr>
          <w:p w:rsidR="005D5BE6" w:rsidRDefault="005D5BE6" w:rsidP="00A77B5D">
            <w:pPr>
              <w:rPr>
                <w:b/>
                <w:sz w:val="28"/>
                <w:szCs w:val="28"/>
              </w:rPr>
            </w:pPr>
          </w:p>
        </w:tc>
      </w:tr>
      <w:tr w:rsidR="005D5BE6" w:rsidTr="00E36772">
        <w:tc>
          <w:tcPr>
            <w:tcW w:w="1838" w:type="dxa"/>
          </w:tcPr>
          <w:p w:rsidR="005D5BE6" w:rsidRPr="006B793A" w:rsidRDefault="005D5BE6" w:rsidP="00E36772">
            <w:r>
              <w:t>1.8</w:t>
            </w:r>
          </w:p>
        </w:tc>
        <w:tc>
          <w:tcPr>
            <w:tcW w:w="4961" w:type="dxa"/>
          </w:tcPr>
          <w:p w:rsidR="005D5BE6" w:rsidRDefault="005D5BE6" w:rsidP="00A77B5D">
            <w:r>
              <w:t>Use Stonewall’s Workplace Equality Index to improve the Council’s recruitment, development and retention of its LGBT workforce.</w:t>
            </w:r>
          </w:p>
        </w:tc>
        <w:tc>
          <w:tcPr>
            <w:tcW w:w="2268" w:type="dxa"/>
          </w:tcPr>
          <w:p w:rsidR="005D5BE6" w:rsidRDefault="005D5BE6" w:rsidP="00A77B5D">
            <w:pPr>
              <w:rPr>
                <w:b/>
                <w:sz w:val="28"/>
                <w:szCs w:val="28"/>
              </w:rPr>
            </w:pPr>
          </w:p>
        </w:tc>
        <w:tc>
          <w:tcPr>
            <w:tcW w:w="4926" w:type="dxa"/>
          </w:tcPr>
          <w:p w:rsidR="005D5BE6" w:rsidRDefault="005D5BE6" w:rsidP="00A77B5D">
            <w:pPr>
              <w:rPr>
                <w:b/>
                <w:sz w:val="28"/>
                <w:szCs w:val="28"/>
              </w:rPr>
            </w:pPr>
          </w:p>
        </w:tc>
      </w:tr>
      <w:tr w:rsidR="006B793A" w:rsidTr="00E36772">
        <w:tc>
          <w:tcPr>
            <w:tcW w:w="1838" w:type="dxa"/>
          </w:tcPr>
          <w:p w:rsidR="006B793A" w:rsidRPr="005D5BE6" w:rsidRDefault="005D5BE6" w:rsidP="00A77B5D">
            <w:r>
              <w:t>1.9</w:t>
            </w:r>
          </w:p>
        </w:tc>
        <w:tc>
          <w:tcPr>
            <w:tcW w:w="4961" w:type="dxa"/>
          </w:tcPr>
          <w:p w:rsidR="006B793A" w:rsidRPr="005D5BE6" w:rsidRDefault="005D5BE6" w:rsidP="00A77B5D">
            <w:r>
              <w:t>Improve disclosure rates of protected characteristics by continuing to encourage existing employees to declare and update their personal data to provide a more robust baseline for the ongoing analysis of workforce profile data.</w:t>
            </w:r>
          </w:p>
        </w:tc>
        <w:tc>
          <w:tcPr>
            <w:tcW w:w="2268" w:type="dxa"/>
          </w:tcPr>
          <w:p w:rsidR="006B793A" w:rsidRDefault="006B793A" w:rsidP="00A77B5D">
            <w:pPr>
              <w:rPr>
                <w:b/>
                <w:sz w:val="28"/>
                <w:szCs w:val="28"/>
              </w:rPr>
            </w:pPr>
          </w:p>
        </w:tc>
        <w:tc>
          <w:tcPr>
            <w:tcW w:w="4926" w:type="dxa"/>
          </w:tcPr>
          <w:p w:rsidR="006B793A" w:rsidRDefault="006B793A" w:rsidP="00A77B5D">
            <w:pPr>
              <w:rPr>
                <w:b/>
                <w:sz w:val="28"/>
                <w:szCs w:val="28"/>
              </w:rPr>
            </w:pPr>
          </w:p>
        </w:tc>
      </w:tr>
      <w:tr w:rsidR="001906BF" w:rsidTr="001906BF">
        <w:tc>
          <w:tcPr>
            <w:tcW w:w="13993" w:type="dxa"/>
            <w:gridSpan w:val="4"/>
            <w:shd w:val="clear" w:color="auto" w:fill="C6D9F1" w:themeFill="text2" w:themeFillTint="33"/>
          </w:tcPr>
          <w:p w:rsidR="001906BF" w:rsidRDefault="001906BF" w:rsidP="001906BF">
            <w:pPr>
              <w:rPr>
                <w:b/>
                <w:sz w:val="28"/>
                <w:szCs w:val="28"/>
              </w:rPr>
            </w:pPr>
            <w:r w:rsidRPr="00E36772">
              <w:rPr>
                <w:b/>
                <w:sz w:val="22"/>
                <w:szCs w:val="22"/>
              </w:rPr>
              <w:t>EO</w:t>
            </w:r>
            <w:r>
              <w:rPr>
                <w:b/>
                <w:sz w:val="22"/>
                <w:szCs w:val="22"/>
              </w:rPr>
              <w:t>2</w:t>
            </w:r>
            <w:r w:rsidRPr="00E36772">
              <w:rPr>
                <w:b/>
                <w:sz w:val="22"/>
                <w:szCs w:val="22"/>
              </w:rPr>
              <w:t>: T</w:t>
            </w:r>
            <w:r>
              <w:rPr>
                <w:b/>
                <w:sz w:val="22"/>
                <w:szCs w:val="22"/>
              </w:rPr>
              <w:t>o provide fair pay and reward to Council employees</w:t>
            </w:r>
          </w:p>
        </w:tc>
      </w:tr>
      <w:tr w:rsidR="001906BF" w:rsidTr="00E36772">
        <w:tc>
          <w:tcPr>
            <w:tcW w:w="1838" w:type="dxa"/>
          </w:tcPr>
          <w:p w:rsidR="001906BF" w:rsidRDefault="001906BF" w:rsidP="00A77B5D">
            <w:r>
              <w:t>2.1</w:t>
            </w:r>
          </w:p>
        </w:tc>
        <w:tc>
          <w:tcPr>
            <w:tcW w:w="4961" w:type="dxa"/>
          </w:tcPr>
          <w:p w:rsidR="001906BF" w:rsidRDefault="00654476" w:rsidP="00654476">
            <w:r>
              <w:t>Deliver the actions identified to reduce the Council’s Gender Pay Gap.</w:t>
            </w:r>
          </w:p>
        </w:tc>
        <w:tc>
          <w:tcPr>
            <w:tcW w:w="2268" w:type="dxa"/>
          </w:tcPr>
          <w:p w:rsidR="001906BF" w:rsidRPr="00654476" w:rsidRDefault="00654476" w:rsidP="00A77B5D">
            <w:r w:rsidRPr="00654476">
              <w:t>Human Resources</w:t>
            </w:r>
          </w:p>
        </w:tc>
        <w:tc>
          <w:tcPr>
            <w:tcW w:w="4926" w:type="dxa"/>
          </w:tcPr>
          <w:p w:rsidR="001906BF" w:rsidRDefault="00654476" w:rsidP="00A77B5D">
            <w:r w:rsidRPr="00654476">
              <w:t>Gender Pay Gap report</w:t>
            </w:r>
          </w:p>
          <w:p w:rsidR="00654476" w:rsidRPr="00654476" w:rsidRDefault="00654476" w:rsidP="00A77B5D">
            <w:r>
              <w:t>Pay Policy Statement</w:t>
            </w:r>
          </w:p>
        </w:tc>
      </w:tr>
      <w:tr w:rsidR="00654476" w:rsidTr="00654476">
        <w:tc>
          <w:tcPr>
            <w:tcW w:w="13993" w:type="dxa"/>
            <w:gridSpan w:val="4"/>
            <w:shd w:val="clear" w:color="auto" w:fill="C6D9F1" w:themeFill="text2" w:themeFillTint="33"/>
          </w:tcPr>
          <w:p w:rsidR="00654476" w:rsidRDefault="00654476" w:rsidP="00654476">
            <w:pPr>
              <w:rPr>
                <w:b/>
                <w:sz w:val="28"/>
                <w:szCs w:val="28"/>
              </w:rPr>
            </w:pPr>
            <w:r w:rsidRPr="00E36772">
              <w:rPr>
                <w:b/>
                <w:sz w:val="22"/>
                <w:szCs w:val="22"/>
              </w:rPr>
              <w:t>EO</w:t>
            </w:r>
            <w:r>
              <w:rPr>
                <w:b/>
                <w:sz w:val="22"/>
                <w:szCs w:val="22"/>
              </w:rPr>
              <w:t>3</w:t>
            </w:r>
            <w:r w:rsidRPr="00E36772">
              <w:rPr>
                <w:b/>
                <w:sz w:val="22"/>
                <w:szCs w:val="22"/>
              </w:rPr>
              <w:t>: T</w:t>
            </w:r>
            <w:r>
              <w:rPr>
                <w:b/>
                <w:sz w:val="22"/>
                <w:szCs w:val="22"/>
              </w:rPr>
              <w:t>o ensure that appropriate equality and diversity training is completed by all employees</w:t>
            </w:r>
          </w:p>
        </w:tc>
      </w:tr>
      <w:tr w:rsidR="007B3F93" w:rsidTr="00E36772">
        <w:tc>
          <w:tcPr>
            <w:tcW w:w="1838" w:type="dxa"/>
          </w:tcPr>
          <w:p w:rsidR="007B3F93" w:rsidRDefault="007B3F93" w:rsidP="00A77B5D">
            <w:r>
              <w:t>3.1</w:t>
            </w:r>
          </w:p>
        </w:tc>
        <w:tc>
          <w:tcPr>
            <w:tcW w:w="4961" w:type="dxa"/>
          </w:tcPr>
          <w:p w:rsidR="007B3F93" w:rsidRDefault="007B3F93" w:rsidP="00A77B5D">
            <w:r>
              <w:t>Monitor the completion of mandatory equality and diversity e-learning by all employees.</w:t>
            </w:r>
          </w:p>
        </w:tc>
        <w:tc>
          <w:tcPr>
            <w:tcW w:w="2268" w:type="dxa"/>
            <w:vMerge w:val="restart"/>
          </w:tcPr>
          <w:p w:rsidR="007B3F93" w:rsidRPr="00FA0339" w:rsidRDefault="007B3F93" w:rsidP="00A77B5D">
            <w:r w:rsidRPr="00FA0339">
              <w:t>Human Resources</w:t>
            </w:r>
          </w:p>
          <w:p w:rsidR="007B3F93" w:rsidRDefault="007B3F93" w:rsidP="00A77B5D">
            <w:pPr>
              <w:rPr>
                <w:b/>
                <w:sz w:val="28"/>
                <w:szCs w:val="28"/>
              </w:rPr>
            </w:pPr>
            <w:r w:rsidRPr="00FA0339">
              <w:t>Line managers through EPDRs</w:t>
            </w:r>
          </w:p>
        </w:tc>
        <w:tc>
          <w:tcPr>
            <w:tcW w:w="4926" w:type="dxa"/>
            <w:vMerge w:val="restart"/>
          </w:tcPr>
          <w:p w:rsidR="007B3F93" w:rsidRPr="007E17ED" w:rsidRDefault="007B3F93" w:rsidP="00A77B5D">
            <w:r w:rsidRPr="007E17ED">
              <w:t>EPDRs</w:t>
            </w:r>
          </w:p>
          <w:p w:rsidR="007B3F93" w:rsidRPr="007E17ED" w:rsidRDefault="007B3F93" w:rsidP="00A77B5D">
            <w:r w:rsidRPr="007E17ED">
              <w:t>Induction Checklists</w:t>
            </w:r>
          </w:p>
          <w:p w:rsidR="007B3F93" w:rsidRDefault="007B3F93" w:rsidP="00A77B5D">
            <w:pPr>
              <w:rPr>
                <w:b/>
                <w:sz w:val="28"/>
                <w:szCs w:val="28"/>
              </w:rPr>
            </w:pPr>
            <w:r w:rsidRPr="007E17ED">
              <w:t>E-learning completion records</w:t>
            </w:r>
          </w:p>
        </w:tc>
      </w:tr>
      <w:tr w:rsidR="007B3F93" w:rsidTr="00E36772">
        <w:tc>
          <w:tcPr>
            <w:tcW w:w="1838" w:type="dxa"/>
          </w:tcPr>
          <w:p w:rsidR="007B3F93" w:rsidRDefault="007B3F93" w:rsidP="00A77B5D">
            <w:r>
              <w:t>3.2</w:t>
            </w:r>
          </w:p>
        </w:tc>
        <w:tc>
          <w:tcPr>
            <w:tcW w:w="4961" w:type="dxa"/>
          </w:tcPr>
          <w:p w:rsidR="007B3F93" w:rsidRDefault="007B3F93" w:rsidP="00A77B5D">
            <w:r>
              <w:t>Monitor the completion of the full suite of people management learning activity by all managers.</w:t>
            </w:r>
          </w:p>
        </w:tc>
        <w:tc>
          <w:tcPr>
            <w:tcW w:w="2268" w:type="dxa"/>
            <w:vMerge/>
          </w:tcPr>
          <w:p w:rsidR="007B3F93" w:rsidRDefault="007B3F93" w:rsidP="00A77B5D">
            <w:pPr>
              <w:rPr>
                <w:b/>
                <w:sz w:val="28"/>
                <w:szCs w:val="28"/>
              </w:rPr>
            </w:pPr>
          </w:p>
        </w:tc>
        <w:tc>
          <w:tcPr>
            <w:tcW w:w="4926" w:type="dxa"/>
            <w:vMerge/>
          </w:tcPr>
          <w:p w:rsidR="007B3F93" w:rsidRDefault="007B3F93" w:rsidP="00A77B5D">
            <w:pPr>
              <w:rPr>
                <w:b/>
                <w:sz w:val="28"/>
                <w:szCs w:val="28"/>
              </w:rPr>
            </w:pPr>
          </w:p>
        </w:tc>
      </w:tr>
      <w:tr w:rsidR="00A443C8" w:rsidTr="00A443C8">
        <w:tc>
          <w:tcPr>
            <w:tcW w:w="1838" w:type="dxa"/>
            <w:shd w:val="clear" w:color="auto" w:fill="BFBFBF" w:themeFill="background1" w:themeFillShade="BF"/>
          </w:tcPr>
          <w:p w:rsidR="00A443C8" w:rsidRPr="00A443C8" w:rsidRDefault="00A443C8" w:rsidP="00A77B5D">
            <w:pPr>
              <w:rPr>
                <w:b/>
                <w:sz w:val="28"/>
                <w:szCs w:val="28"/>
              </w:rPr>
            </w:pPr>
            <w:r w:rsidRPr="00A443C8">
              <w:rPr>
                <w:b/>
                <w:sz w:val="28"/>
                <w:szCs w:val="28"/>
              </w:rPr>
              <w:t>Aim 2</w:t>
            </w:r>
          </w:p>
        </w:tc>
        <w:tc>
          <w:tcPr>
            <w:tcW w:w="12155" w:type="dxa"/>
            <w:gridSpan w:val="3"/>
            <w:shd w:val="clear" w:color="auto" w:fill="BFBFBF" w:themeFill="background1" w:themeFillShade="BF"/>
          </w:tcPr>
          <w:p w:rsidR="00A443C8" w:rsidRPr="00A443C8" w:rsidRDefault="00A443C8" w:rsidP="00A77B5D">
            <w:pPr>
              <w:rPr>
                <w:b/>
                <w:sz w:val="28"/>
                <w:szCs w:val="28"/>
              </w:rPr>
            </w:pPr>
            <w:r w:rsidRPr="00A443C8">
              <w:rPr>
                <w:b/>
                <w:sz w:val="28"/>
                <w:szCs w:val="28"/>
              </w:rPr>
              <w:t>We will develop, commission and deliver inclusive and responsive services</w:t>
            </w:r>
          </w:p>
        </w:tc>
      </w:tr>
      <w:tr w:rsidR="00A443C8" w:rsidTr="00E05570">
        <w:tc>
          <w:tcPr>
            <w:tcW w:w="13993" w:type="dxa"/>
            <w:gridSpan w:val="4"/>
            <w:shd w:val="clear" w:color="auto" w:fill="C6D9F1" w:themeFill="text2" w:themeFillTint="33"/>
          </w:tcPr>
          <w:p w:rsidR="00A443C8" w:rsidRPr="00A443C8" w:rsidRDefault="00A443C8" w:rsidP="00A443C8">
            <w:pPr>
              <w:rPr>
                <w:b/>
                <w:sz w:val="22"/>
                <w:szCs w:val="22"/>
              </w:rPr>
            </w:pPr>
            <w:r w:rsidRPr="00A443C8">
              <w:rPr>
                <w:b/>
                <w:sz w:val="22"/>
                <w:szCs w:val="22"/>
              </w:rPr>
              <w:t>EO4: To understand the effect of our policies and procedures on people with different protected characteristics.</w:t>
            </w:r>
          </w:p>
        </w:tc>
      </w:tr>
      <w:tr w:rsidR="00A443C8" w:rsidTr="00E36772">
        <w:tc>
          <w:tcPr>
            <w:tcW w:w="1838" w:type="dxa"/>
          </w:tcPr>
          <w:p w:rsidR="00A443C8" w:rsidRDefault="00A443C8" w:rsidP="00A77B5D">
            <w:r>
              <w:t>4.1</w:t>
            </w:r>
          </w:p>
        </w:tc>
        <w:tc>
          <w:tcPr>
            <w:tcW w:w="4961" w:type="dxa"/>
          </w:tcPr>
          <w:p w:rsidR="00A443C8" w:rsidRDefault="00A443C8" w:rsidP="00A77B5D">
            <w:r>
              <w:t>Carry out equality impact assessments and meaningful consultation on all proposals to introduce, change or withdraw services where they have a potential impact on people with protected characteristics.</w:t>
            </w:r>
          </w:p>
        </w:tc>
        <w:tc>
          <w:tcPr>
            <w:tcW w:w="2268" w:type="dxa"/>
          </w:tcPr>
          <w:p w:rsidR="00A443C8" w:rsidRPr="00A443C8" w:rsidRDefault="00A443C8" w:rsidP="00A77B5D">
            <w:r w:rsidRPr="00A443C8">
              <w:t>Managers</w:t>
            </w:r>
          </w:p>
          <w:p w:rsidR="00A443C8" w:rsidRDefault="00A443C8" w:rsidP="00A77B5D">
            <w:pPr>
              <w:rPr>
                <w:b/>
                <w:sz w:val="28"/>
                <w:szCs w:val="28"/>
              </w:rPr>
            </w:pPr>
            <w:r w:rsidRPr="00A443C8">
              <w:t>Equality Officer</w:t>
            </w:r>
          </w:p>
        </w:tc>
        <w:tc>
          <w:tcPr>
            <w:tcW w:w="4926" w:type="dxa"/>
          </w:tcPr>
          <w:p w:rsidR="00A443C8" w:rsidRPr="00A443C8" w:rsidRDefault="00A443C8" w:rsidP="00A77B5D">
            <w:r w:rsidRPr="00A443C8">
              <w:t>Published equality impact assessments</w:t>
            </w:r>
          </w:p>
          <w:p w:rsidR="00A443C8" w:rsidRDefault="00A443C8" w:rsidP="00A77B5D">
            <w:pPr>
              <w:rPr>
                <w:b/>
                <w:sz w:val="28"/>
                <w:szCs w:val="28"/>
              </w:rPr>
            </w:pPr>
            <w:r w:rsidRPr="00A443C8">
              <w:t xml:space="preserve">Reduced equality </w:t>
            </w:r>
            <w:r w:rsidR="00D835CC">
              <w:t xml:space="preserve">related </w:t>
            </w:r>
            <w:r w:rsidRPr="00A443C8">
              <w:t>complaints</w:t>
            </w:r>
          </w:p>
        </w:tc>
      </w:tr>
      <w:tr w:rsidR="00D835CC" w:rsidTr="00D835CC">
        <w:tc>
          <w:tcPr>
            <w:tcW w:w="13993" w:type="dxa"/>
            <w:gridSpan w:val="4"/>
            <w:shd w:val="clear" w:color="auto" w:fill="C6D9F1" w:themeFill="text2" w:themeFillTint="33"/>
          </w:tcPr>
          <w:p w:rsidR="00D835CC" w:rsidRPr="00D835CC" w:rsidRDefault="00D835CC" w:rsidP="00A77B5D">
            <w:pPr>
              <w:rPr>
                <w:b/>
                <w:sz w:val="22"/>
                <w:szCs w:val="22"/>
              </w:rPr>
            </w:pPr>
            <w:r w:rsidRPr="00D835CC">
              <w:rPr>
                <w:b/>
                <w:sz w:val="22"/>
                <w:szCs w:val="22"/>
              </w:rPr>
              <w:t>EO</w:t>
            </w:r>
            <w:r w:rsidR="00F01005">
              <w:rPr>
                <w:b/>
                <w:sz w:val="22"/>
                <w:szCs w:val="22"/>
              </w:rPr>
              <w:t>5</w:t>
            </w:r>
            <w:r w:rsidRPr="00D835CC">
              <w:rPr>
                <w:b/>
                <w:sz w:val="22"/>
                <w:szCs w:val="22"/>
              </w:rPr>
              <w:t>: To provide inclusive and responsive services</w:t>
            </w:r>
            <w:r w:rsidR="00555974">
              <w:rPr>
                <w:b/>
                <w:sz w:val="22"/>
                <w:szCs w:val="22"/>
              </w:rPr>
              <w:t xml:space="preserve"> that are accessible to everyone.</w:t>
            </w:r>
          </w:p>
          <w:p w:rsidR="00D835CC" w:rsidRPr="00D835CC" w:rsidRDefault="00D835CC" w:rsidP="00A77B5D">
            <w:pPr>
              <w:rPr>
                <w:b/>
                <w:sz w:val="22"/>
                <w:szCs w:val="22"/>
              </w:rPr>
            </w:pPr>
            <w:r w:rsidRPr="00D835CC">
              <w:rPr>
                <w:b/>
                <w:sz w:val="22"/>
                <w:szCs w:val="22"/>
              </w:rPr>
              <w:t xml:space="preserve"> </w:t>
            </w:r>
          </w:p>
        </w:tc>
      </w:tr>
      <w:tr w:rsidR="00F01005" w:rsidRPr="003F55C1" w:rsidTr="003671E6">
        <w:tc>
          <w:tcPr>
            <w:tcW w:w="1838" w:type="dxa"/>
          </w:tcPr>
          <w:p w:rsidR="00F01005" w:rsidRDefault="00F01005" w:rsidP="00F01005">
            <w:r>
              <w:t>5.1</w:t>
            </w:r>
          </w:p>
        </w:tc>
        <w:tc>
          <w:tcPr>
            <w:tcW w:w="4961" w:type="dxa"/>
          </w:tcPr>
          <w:p w:rsidR="00F01005" w:rsidRDefault="00F01005" w:rsidP="00F01005">
            <w:r>
              <w:t>Incorporate picture symbols onto Notts Help Yourself website to increase accessibility for people with learning disabilities.</w:t>
            </w:r>
          </w:p>
        </w:tc>
        <w:tc>
          <w:tcPr>
            <w:tcW w:w="2268" w:type="dxa"/>
          </w:tcPr>
          <w:p w:rsidR="00F01005" w:rsidRPr="003F55C1" w:rsidRDefault="00F01005" w:rsidP="00F01005">
            <w:r w:rsidRPr="003F55C1">
              <w:t>Group Manager, Strategic Commissioning, ASCH</w:t>
            </w:r>
          </w:p>
        </w:tc>
        <w:tc>
          <w:tcPr>
            <w:tcW w:w="4926" w:type="dxa"/>
          </w:tcPr>
          <w:p w:rsidR="00F01005" w:rsidRDefault="00F01005" w:rsidP="00F01005">
            <w:r>
              <w:t>ASCH Departmental Action Plan</w:t>
            </w:r>
          </w:p>
          <w:p w:rsidR="00F01005" w:rsidRPr="003F55C1" w:rsidRDefault="00F01005" w:rsidP="00F01005">
            <w:r w:rsidRPr="00A443C8">
              <w:t xml:space="preserve">Reduced equality </w:t>
            </w:r>
            <w:r>
              <w:t xml:space="preserve">related </w:t>
            </w:r>
            <w:r w:rsidRPr="00A443C8">
              <w:t>complaints</w:t>
            </w:r>
          </w:p>
        </w:tc>
      </w:tr>
      <w:tr w:rsidR="00F01005" w:rsidRPr="003F55C1" w:rsidTr="003671E6">
        <w:tc>
          <w:tcPr>
            <w:tcW w:w="1838" w:type="dxa"/>
          </w:tcPr>
          <w:p w:rsidR="00F01005" w:rsidRDefault="00F01005" w:rsidP="00F01005">
            <w:r>
              <w:lastRenderedPageBreak/>
              <w:t>5.2</w:t>
            </w:r>
          </w:p>
        </w:tc>
        <w:tc>
          <w:tcPr>
            <w:tcW w:w="4961" w:type="dxa"/>
          </w:tcPr>
          <w:p w:rsidR="00F01005" w:rsidRDefault="00F01005" w:rsidP="00F01005">
            <w:r>
              <w:t>Assess the ability of dementia specialist care home providers to meet the needs of people not born in the UK when undertaking reminisce sessions.</w:t>
            </w:r>
          </w:p>
        </w:tc>
        <w:tc>
          <w:tcPr>
            <w:tcW w:w="2268" w:type="dxa"/>
          </w:tcPr>
          <w:p w:rsidR="00F01005" w:rsidRPr="003F55C1" w:rsidRDefault="00F01005" w:rsidP="00F01005">
            <w:r w:rsidRPr="003F55C1">
              <w:t>Group Manager, Strategic Commissioning, ASCH</w:t>
            </w:r>
          </w:p>
        </w:tc>
        <w:tc>
          <w:tcPr>
            <w:tcW w:w="4926" w:type="dxa"/>
          </w:tcPr>
          <w:p w:rsidR="00F01005" w:rsidRPr="003F55C1" w:rsidRDefault="00F01005" w:rsidP="00F01005">
            <w:r>
              <w:t>ASCH Departmental Action Plan</w:t>
            </w:r>
          </w:p>
        </w:tc>
      </w:tr>
      <w:tr w:rsidR="00F01005" w:rsidRPr="003F55C1" w:rsidTr="003671E6">
        <w:tc>
          <w:tcPr>
            <w:tcW w:w="1838" w:type="dxa"/>
          </w:tcPr>
          <w:p w:rsidR="00F01005" w:rsidRDefault="00F01005" w:rsidP="00F01005">
            <w:r>
              <w:t>5.3</w:t>
            </w:r>
          </w:p>
        </w:tc>
        <w:tc>
          <w:tcPr>
            <w:tcW w:w="4961" w:type="dxa"/>
          </w:tcPr>
          <w:p w:rsidR="00F01005" w:rsidRDefault="00F01005" w:rsidP="00F01005">
            <w:r>
              <w:t xml:space="preserve">Organise training and development to improve the support to trans and </w:t>
            </w:r>
            <w:proofErr w:type="gramStart"/>
            <w:r>
              <w:t>non binary</w:t>
            </w:r>
            <w:proofErr w:type="gramEnd"/>
            <w:r>
              <w:t xml:space="preserve"> young people.</w:t>
            </w:r>
          </w:p>
        </w:tc>
        <w:tc>
          <w:tcPr>
            <w:tcW w:w="2268" w:type="dxa"/>
          </w:tcPr>
          <w:p w:rsidR="00F01005" w:rsidRDefault="00F01005" w:rsidP="00F01005">
            <w:r>
              <w:t>Group Manager,</w:t>
            </w:r>
          </w:p>
          <w:p w:rsidR="00F01005" w:rsidRPr="003F55C1" w:rsidRDefault="00F01005" w:rsidP="00F01005">
            <w:r>
              <w:t>CFCS</w:t>
            </w:r>
          </w:p>
        </w:tc>
        <w:tc>
          <w:tcPr>
            <w:tcW w:w="4926" w:type="dxa"/>
          </w:tcPr>
          <w:p w:rsidR="00F01005" w:rsidRPr="003F55C1" w:rsidRDefault="00F01005" w:rsidP="00F01005">
            <w:r>
              <w:t>CFCS Departmental Action Plan</w:t>
            </w:r>
          </w:p>
        </w:tc>
      </w:tr>
      <w:tr w:rsidR="00F01005" w:rsidRPr="003F55C1" w:rsidTr="003671E6">
        <w:tc>
          <w:tcPr>
            <w:tcW w:w="1838" w:type="dxa"/>
          </w:tcPr>
          <w:p w:rsidR="00F01005" w:rsidRDefault="00F01005" w:rsidP="00F01005">
            <w:r>
              <w:t>5.4</w:t>
            </w:r>
          </w:p>
        </w:tc>
        <w:tc>
          <w:tcPr>
            <w:tcW w:w="4961" w:type="dxa"/>
          </w:tcPr>
          <w:p w:rsidR="00F01005" w:rsidRDefault="00F01005" w:rsidP="00F01005">
            <w:r>
              <w:t>Work with the University of Nottingham on research into the experiences of young LGBT people in local authority care.</w:t>
            </w:r>
          </w:p>
        </w:tc>
        <w:tc>
          <w:tcPr>
            <w:tcW w:w="2268" w:type="dxa"/>
          </w:tcPr>
          <w:p w:rsidR="00F01005" w:rsidRDefault="00F01005" w:rsidP="00F01005">
            <w:r>
              <w:t>Group Manager,</w:t>
            </w:r>
          </w:p>
          <w:p w:rsidR="00F01005" w:rsidRDefault="00F01005" w:rsidP="00F01005">
            <w:r>
              <w:t>CFCS</w:t>
            </w:r>
          </w:p>
        </w:tc>
        <w:tc>
          <w:tcPr>
            <w:tcW w:w="4926" w:type="dxa"/>
          </w:tcPr>
          <w:p w:rsidR="00F01005" w:rsidRPr="003F55C1" w:rsidRDefault="00F01005" w:rsidP="00F01005">
            <w:r>
              <w:t>CFCS Departmental Action Plan</w:t>
            </w:r>
          </w:p>
        </w:tc>
      </w:tr>
      <w:tr w:rsidR="00F01005" w:rsidRPr="003F55C1" w:rsidTr="003671E6">
        <w:tc>
          <w:tcPr>
            <w:tcW w:w="1838" w:type="dxa"/>
          </w:tcPr>
          <w:p w:rsidR="00F01005" w:rsidRDefault="00F01005" w:rsidP="00F01005">
            <w:r>
              <w:t>5.5</w:t>
            </w:r>
          </w:p>
        </w:tc>
        <w:tc>
          <w:tcPr>
            <w:tcW w:w="4961" w:type="dxa"/>
          </w:tcPr>
          <w:p w:rsidR="00F01005" w:rsidRDefault="00F01005" w:rsidP="00F01005">
            <w:r>
              <w:t>Recruit more LGBT foster carers and adopters</w:t>
            </w:r>
          </w:p>
        </w:tc>
        <w:tc>
          <w:tcPr>
            <w:tcW w:w="2268" w:type="dxa"/>
          </w:tcPr>
          <w:p w:rsidR="00F01005" w:rsidRDefault="00F01005" w:rsidP="00F01005">
            <w:r>
              <w:t>Group Manager,</w:t>
            </w:r>
          </w:p>
          <w:p w:rsidR="00F01005" w:rsidRDefault="00F01005" w:rsidP="00F01005">
            <w:r>
              <w:t>CFCS</w:t>
            </w:r>
          </w:p>
        </w:tc>
        <w:tc>
          <w:tcPr>
            <w:tcW w:w="4926" w:type="dxa"/>
          </w:tcPr>
          <w:p w:rsidR="00F01005" w:rsidRPr="003F55C1" w:rsidRDefault="00F01005" w:rsidP="00F01005">
            <w:r>
              <w:t>CFCS Departmental Action Plan</w:t>
            </w:r>
          </w:p>
        </w:tc>
      </w:tr>
    </w:tbl>
    <w:p w:rsidR="00281F63" w:rsidRDefault="00281F63" w:rsidP="00A77B5D">
      <w:pPr>
        <w:rPr>
          <w:b/>
          <w:sz w:val="28"/>
          <w:szCs w:val="28"/>
        </w:rPr>
      </w:pPr>
    </w:p>
    <w:sectPr w:rsidR="00281F63" w:rsidSect="00D31EE1">
      <w:type w:val="continuous"/>
      <w:pgSz w:w="16838" w:h="11906" w:orient="landscape" w:code="9"/>
      <w:pgMar w:top="567" w:right="567" w:bottom="851" w:left="567"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480" w:rsidRDefault="001A3480">
      <w:r>
        <w:separator/>
      </w:r>
    </w:p>
  </w:endnote>
  <w:endnote w:type="continuationSeparator" w:id="0">
    <w:p w:rsidR="001A3480" w:rsidRDefault="001A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480" w:rsidRDefault="001A3480">
      <w:r>
        <w:separator/>
      </w:r>
    </w:p>
  </w:footnote>
  <w:footnote w:type="continuationSeparator" w:id="0">
    <w:p w:rsidR="001A3480" w:rsidRDefault="001A34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630C6"/>
    <w:multiLevelType w:val="hybridMultilevel"/>
    <w:tmpl w:val="A906B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F0020"/>
    <w:multiLevelType w:val="hybridMultilevel"/>
    <w:tmpl w:val="13AE46C0"/>
    <w:lvl w:ilvl="0" w:tplc="8C3AF3C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317DF6"/>
    <w:multiLevelType w:val="hybridMultilevel"/>
    <w:tmpl w:val="22AA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9C1534"/>
    <w:multiLevelType w:val="hybridMultilevel"/>
    <w:tmpl w:val="35DA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74972872"/>
    <w:multiLevelType w:val="hybridMultilevel"/>
    <w:tmpl w:val="C2F6E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935CD4"/>
    <w:multiLevelType w:val="hybridMultilevel"/>
    <w:tmpl w:val="1396C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115C9B"/>
    <w:multiLevelType w:val="hybridMultilevel"/>
    <w:tmpl w:val="EB2A3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D2525B"/>
    <w:multiLevelType w:val="hybridMultilevel"/>
    <w:tmpl w:val="8A289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2"/>
  </w:num>
  <w:num w:numId="5">
    <w:abstractNumId w:val="8"/>
  </w:num>
  <w:num w:numId="6">
    <w:abstractNumId w:val="1"/>
  </w:num>
  <w:num w:numId="7">
    <w:abstractNumId w:val="5"/>
  </w:num>
  <w:num w:numId="8">
    <w:abstractNumId w:val="7"/>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E41"/>
    <w:rsid w:val="00007AC8"/>
    <w:rsid w:val="00025E29"/>
    <w:rsid w:val="00036558"/>
    <w:rsid w:val="00050587"/>
    <w:rsid w:val="000736A2"/>
    <w:rsid w:val="000819AB"/>
    <w:rsid w:val="000A0F52"/>
    <w:rsid w:val="000A3D9F"/>
    <w:rsid w:val="000B149E"/>
    <w:rsid w:val="001009E4"/>
    <w:rsid w:val="00106FD9"/>
    <w:rsid w:val="001078B9"/>
    <w:rsid w:val="00107D05"/>
    <w:rsid w:val="0011438D"/>
    <w:rsid w:val="00125C49"/>
    <w:rsid w:val="001504D9"/>
    <w:rsid w:val="00151A5A"/>
    <w:rsid w:val="00157A75"/>
    <w:rsid w:val="001676D0"/>
    <w:rsid w:val="001906BF"/>
    <w:rsid w:val="001A3480"/>
    <w:rsid w:val="001E6302"/>
    <w:rsid w:val="001F5AD6"/>
    <w:rsid w:val="00205D2B"/>
    <w:rsid w:val="00212848"/>
    <w:rsid w:val="00221C7D"/>
    <w:rsid w:val="00246566"/>
    <w:rsid w:val="00246BEF"/>
    <w:rsid w:val="00265C1B"/>
    <w:rsid w:val="00274F1E"/>
    <w:rsid w:val="00281F63"/>
    <w:rsid w:val="00291851"/>
    <w:rsid w:val="002A0E41"/>
    <w:rsid w:val="002A784C"/>
    <w:rsid w:val="002B4596"/>
    <w:rsid w:val="002C254A"/>
    <w:rsid w:val="002D10C8"/>
    <w:rsid w:val="002D27E0"/>
    <w:rsid w:val="002E1D31"/>
    <w:rsid w:val="00312075"/>
    <w:rsid w:val="00312E5A"/>
    <w:rsid w:val="00320675"/>
    <w:rsid w:val="00323DDD"/>
    <w:rsid w:val="0034295F"/>
    <w:rsid w:val="0035546B"/>
    <w:rsid w:val="003749ED"/>
    <w:rsid w:val="003843D1"/>
    <w:rsid w:val="00384A48"/>
    <w:rsid w:val="003A60FE"/>
    <w:rsid w:val="003B695C"/>
    <w:rsid w:val="003E727E"/>
    <w:rsid w:val="003F539D"/>
    <w:rsid w:val="003F55C1"/>
    <w:rsid w:val="00400A30"/>
    <w:rsid w:val="00402AE0"/>
    <w:rsid w:val="0042310C"/>
    <w:rsid w:val="00432BF6"/>
    <w:rsid w:val="00436CD4"/>
    <w:rsid w:val="00454F18"/>
    <w:rsid w:val="004917B1"/>
    <w:rsid w:val="004C28D3"/>
    <w:rsid w:val="004C2F67"/>
    <w:rsid w:val="004D4434"/>
    <w:rsid w:val="005127D3"/>
    <w:rsid w:val="0053489E"/>
    <w:rsid w:val="005452FD"/>
    <w:rsid w:val="00553A86"/>
    <w:rsid w:val="00555974"/>
    <w:rsid w:val="00585E13"/>
    <w:rsid w:val="005951B8"/>
    <w:rsid w:val="005C24F3"/>
    <w:rsid w:val="005D5BE6"/>
    <w:rsid w:val="005D7721"/>
    <w:rsid w:val="005F3D64"/>
    <w:rsid w:val="005F6AF9"/>
    <w:rsid w:val="0062328C"/>
    <w:rsid w:val="006453AB"/>
    <w:rsid w:val="00654476"/>
    <w:rsid w:val="00664842"/>
    <w:rsid w:val="006703E9"/>
    <w:rsid w:val="006B793A"/>
    <w:rsid w:val="006E1D90"/>
    <w:rsid w:val="006F1C86"/>
    <w:rsid w:val="007075CD"/>
    <w:rsid w:val="00726DB7"/>
    <w:rsid w:val="00734418"/>
    <w:rsid w:val="00787BB1"/>
    <w:rsid w:val="007932B6"/>
    <w:rsid w:val="007A26DE"/>
    <w:rsid w:val="007B3F93"/>
    <w:rsid w:val="007D20F0"/>
    <w:rsid w:val="007D459D"/>
    <w:rsid w:val="007E17ED"/>
    <w:rsid w:val="00821847"/>
    <w:rsid w:val="00827204"/>
    <w:rsid w:val="00842735"/>
    <w:rsid w:val="0084287F"/>
    <w:rsid w:val="00863DEE"/>
    <w:rsid w:val="00864420"/>
    <w:rsid w:val="00874C8E"/>
    <w:rsid w:val="00880299"/>
    <w:rsid w:val="008A0178"/>
    <w:rsid w:val="008A732D"/>
    <w:rsid w:val="008D63E8"/>
    <w:rsid w:val="008F1231"/>
    <w:rsid w:val="00900A94"/>
    <w:rsid w:val="009121F5"/>
    <w:rsid w:val="00937402"/>
    <w:rsid w:val="0095259D"/>
    <w:rsid w:val="00952AFB"/>
    <w:rsid w:val="00956DA2"/>
    <w:rsid w:val="00995F47"/>
    <w:rsid w:val="009B1EEA"/>
    <w:rsid w:val="009F5831"/>
    <w:rsid w:val="00A135BC"/>
    <w:rsid w:val="00A3188A"/>
    <w:rsid w:val="00A41080"/>
    <w:rsid w:val="00A43475"/>
    <w:rsid w:val="00A443C8"/>
    <w:rsid w:val="00A77B5D"/>
    <w:rsid w:val="00A9370B"/>
    <w:rsid w:val="00A94996"/>
    <w:rsid w:val="00A973BD"/>
    <w:rsid w:val="00AB4D4D"/>
    <w:rsid w:val="00B123B2"/>
    <w:rsid w:val="00B14658"/>
    <w:rsid w:val="00B14A08"/>
    <w:rsid w:val="00B50178"/>
    <w:rsid w:val="00B61770"/>
    <w:rsid w:val="00B636AB"/>
    <w:rsid w:val="00BA236F"/>
    <w:rsid w:val="00BC07CA"/>
    <w:rsid w:val="00BD731C"/>
    <w:rsid w:val="00BE7211"/>
    <w:rsid w:val="00C27325"/>
    <w:rsid w:val="00C311D7"/>
    <w:rsid w:val="00C514CE"/>
    <w:rsid w:val="00C7124F"/>
    <w:rsid w:val="00C72CB2"/>
    <w:rsid w:val="00CB250F"/>
    <w:rsid w:val="00CC7891"/>
    <w:rsid w:val="00CD661A"/>
    <w:rsid w:val="00CD754F"/>
    <w:rsid w:val="00D31EE1"/>
    <w:rsid w:val="00D67C01"/>
    <w:rsid w:val="00D742DF"/>
    <w:rsid w:val="00D835CC"/>
    <w:rsid w:val="00D97FC0"/>
    <w:rsid w:val="00DB5762"/>
    <w:rsid w:val="00DE6D70"/>
    <w:rsid w:val="00DF0841"/>
    <w:rsid w:val="00DF31C4"/>
    <w:rsid w:val="00E14B88"/>
    <w:rsid w:val="00E16117"/>
    <w:rsid w:val="00E36772"/>
    <w:rsid w:val="00E406C0"/>
    <w:rsid w:val="00E5479A"/>
    <w:rsid w:val="00E950F4"/>
    <w:rsid w:val="00E9685F"/>
    <w:rsid w:val="00EB7599"/>
    <w:rsid w:val="00EF0144"/>
    <w:rsid w:val="00F01005"/>
    <w:rsid w:val="00F12FF8"/>
    <w:rsid w:val="00F217EF"/>
    <w:rsid w:val="00F22A9F"/>
    <w:rsid w:val="00F23CA2"/>
    <w:rsid w:val="00F252C5"/>
    <w:rsid w:val="00F42D14"/>
    <w:rsid w:val="00F4628D"/>
    <w:rsid w:val="00F46A7E"/>
    <w:rsid w:val="00F6122C"/>
    <w:rsid w:val="00F75DA4"/>
    <w:rsid w:val="00FA0339"/>
    <w:rsid w:val="00FB123A"/>
    <w:rsid w:val="00FF28A2"/>
    <w:rsid w:val="00FF6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874A6E5"/>
  <w15:docId w15:val="{10674210-872F-44DA-AF2A-D4FB77371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CB250F"/>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B7599"/>
    <w:rPr>
      <w:rFonts w:ascii="Tahoma" w:hAnsi="Tahoma" w:cs="Tahoma"/>
      <w:sz w:val="16"/>
      <w:szCs w:val="16"/>
    </w:rPr>
  </w:style>
  <w:style w:type="character" w:customStyle="1" w:styleId="BalloonTextChar">
    <w:name w:val="Balloon Text Char"/>
    <w:basedOn w:val="DefaultParagraphFont"/>
    <w:link w:val="BalloonText"/>
    <w:rsid w:val="00EB7599"/>
    <w:rPr>
      <w:rFonts w:ascii="Tahoma" w:hAnsi="Tahoma" w:cs="Tahoma"/>
      <w:sz w:val="16"/>
      <w:szCs w:val="16"/>
    </w:rPr>
  </w:style>
  <w:style w:type="paragraph" w:styleId="ListParagraph">
    <w:name w:val="List Paragraph"/>
    <w:basedOn w:val="Normal"/>
    <w:uiPriority w:val="34"/>
    <w:qFormat/>
    <w:rsid w:val="007D2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jm4\AppData\Local\Microsoft\Windows\Temporary%20Internet%20Files\Low\Content.IE5\1LT2T4AH\Blank_Landscape_(Colour)%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E3EF10-597D-49BF-BEC8-80D862849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Blank_Landscape_(Colour)[1]</Template>
  <TotalTime>0</TotalTime>
  <Pages>3</Pages>
  <Words>591</Words>
  <Characters>3585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Blank Landscape Template (Colour)</vt:lpstr>
    </vt:vector>
  </TitlesOfParts>
  <Company>Nottinghamshire County Council</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Landscape Template (Colour)</dc:title>
  <dc:subject>Information and Communications</dc:subject>
  <dc:creator>Karen Moss</dc:creator>
  <cp:lastModifiedBy>Karen Moss</cp:lastModifiedBy>
  <cp:revision>2</cp:revision>
  <cp:lastPrinted>2018-02-21T10:33:00Z</cp:lastPrinted>
  <dcterms:created xsi:type="dcterms:W3CDTF">2019-05-24T12:05:00Z</dcterms:created>
  <dcterms:modified xsi:type="dcterms:W3CDTF">2019-05-24T12:05:00Z</dcterms:modified>
</cp:coreProperties>
</file>