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44D2C" w14:textId="77777777" w:rsidR="005B4778" w:rsidRDefault="00CD0139" w:rsidP="00CD0139">
      <w:pPr>
        <w:jc w:val="center"/>
        <w:rPr>
          <w:b/>
          <w:sz w:val="24"/>
          <w:szCs w:val="24"/>
        </w:rPr>
      </w:pPr>
      <w:r>
        <w:rPr>
          <w:b/>
          <w:sz w:val="24"/>
          <w:szCs w:val="24"/>
        </w:rPr>
        <w:t>Local Authorities (Data Transparency) Code 2014</w:t>
      </w:r>
    </w:p>
    <w:p w14:paraId="21B13F11" w14:textId="7425FA0A" w:rsidR="00CD0139" w:rsidRDefault="00CD0139" w:rsidP="00B4029C">
      <w:pPr>
        <w:jc w:val="center"/>
        <w:rPr>
          <w:b/>
          <w:sz w:val="24"/>
          <w:szCs w:val="24"/>
        </w:rPr>
      </w:pPr>
      <w:r>
        <w:rPr>
          <w:b/>
          <w:sz w:val="24"/>
          <w:szCs w:val="24"/>
        </w:rPr>
        <w:t xml:space="preserve">Trades Unions Facility Time </w:t>
      </w:r>
      <w:r w:rsidR="00162C59">
        <w:rPr>
          <w:b/>
          <w:sz w:val="24"/>
          <w:szCs w:val="24"/>
        </w:rPr>
        <w:t>31</w:t>
      </w:r>
      <w:r>
        <w:rPr>
          <w:b/>
          <w:sz w:val="24"/>
          <w:szCs w:val="24"/>
        </w:rPr>
        <w:t>/03/20</w:t>
      </w:r>
      <w:r w:rsidR="007D71FF">
        <w:rPr>
          <w:b/>
          <w:sz w:val="24"/>
          <w:szCs w:val="24"/>
        </w:rPr>
        <w:t>2</w:t>
      </w:r>
      <w:r w:rsidR="00C53B43">
        <w:rPr>
          <w:b/>
          <w:sz w:val="24"/>
          <w:szCs w:val="24"/>
        </w:rPr>
        <w:t>2</w:t>
      </w:r>
    </w:p>
    <w:p w14:paraId="27CD3DDA" w14:textId="77777777" w:rsidR="00CD0139" w:rsidRDefault="00CD0139" w:rsidP="00CD0139">
      <w:pPr>
        <w:rPr>
          <w:sz w:val="24"/>
          <w:szCs w:val="24"/>
        </w:rPr>
      </w:pPr>
      <w:r>
        <w:rPr>
          <w:sz w:val="24"/>
          <w:szCs w:val="24"/>
        </w:rPr>
        <w:t xml:space="preserve">Nottinghamshire County Council recognises and values the contribution of the trades unions in building positive employment relations and </w:t>
      </w:r>
      <w:r w:rsidR="00311DF9">
        <w:rPr>
          <w:sz w:val="24"/>
          <w:szCs w:val="24"/>
        </w:rPr>
        <w:t>a positive working environment</w:t>
      </w:r>
      <w:r>
        <w:rPr>
          <w:sz w:val="24"/>
          <w:szCs w:val="24"/>
        </w:rPr>
        <w:t>.</w:t>
      </w:r>
      <w:r w:rsidR="00311DF9">
        <w:rPr>
          <w:sz w:val="24"/>
          <w:szCs w:val="24"/>
        </w:rPr>
        <w:t xml:space="preserve"> We work in partnership on issues that may have an impact on our employees and to promote overall well-being and job satisfaction. </w:t>
      </w:r>
      <w:r w:rsidR="00B4029C">
        <w:rPr>
          <w:sz w:val="24"/>
          <w:szCs w:val="24"/>
        </w:rPr>
        <w:t xml:space="preserve"> </w:t>
      </w:r>
      <w:r>
        <w:rPr>
          <w:sz w:val="24"/>
          <w:szCs w:val="24"/>
        </w:rPr>
        <w:t xml:space="preserve">The Local Authorities (Data Transparency) Code 2014 places duties on local authorities to publish certain information regarding the number of representatives and their estimated cost to the organisation.  This information can </w:t>
      </w:r>
      <w:r w:rsidR="00DC768D">
        <w:rPr>
          <w:sz w:val="24"/>
          <w:szCs w:val="24"/>
        </w:rPr>
        <w:t>b</w:t>
      </w:r>
      <w:r>
        <w:rPr>
          <w:sz w:val="24"/>
          <w:szCs w:val="24"/>
        </w:rPr>
        <w:t>e found in the table below.</w:t>
      </w:r>
    </w:p>
    <w:tbl>
      <w:tblPr>
        <w:tblStyle w:val="TableGrid"/>
        <w:tblW w:w="0" w:type="auto"/>
        <w:tblLook w:val="04A0" w:firstRow="1" w:lastRow="0" w:firstColumn="1" w:lastColumn="0" w:noHBand="0" w:noVBand="1"/>
      </w:tblPr>
      <w:tblGrid>
        <w:gridCol w:w="6980"/>
        <w:gridCol w:w="6968"/>
      </w:tblGrid>
      <w:tr w:rsidR="00CD0139" w14:paraId="711C1A77" w14:textId="77777777" w:rsidTr="00CD0139">
        <w:tc>
          <w:tcPr>
            <w:tcW w:w="7087" w:type="dxa"/>
          </w:tcPr>
          <w:p w14:paraId="07CAA366" w14:textId="77777777" w:rsidR="00CD0139" w:rsidRPr="00CD0139" w:rsidRDefault="00CD0139" w:rsidP="00CD0139">
            <w:pPr>
              <w:rPr>
                <w:b/>
                <w:sz w:val="24"/>
                <w:szCs w:val="24"/>
              </w:rPr>
            </w:pPr>
            <w:r>
              <w:rPr>
                <w:b/>
                <w:sz w:val="24"/>
                <w:szCs w:val="24"/>
              </w:rPr>
              <w:t>Requested Information</w:t>
            </w:r>
          </w:p>
        </w:tc>
        <w:tc>
          <w:tcPr>
            <w:tcW w:w="7087" w:type="dxa"/>
          </w:tcPr>
          <w:p w14:paraId="03EB334F" w14:textId="77777777" w:rsidR="00CD0139" w:rsidRPr="00CD0139" w:rsidRDefault="00CD0139" w:rsidP="00CD0139">
            <w:pPr>
              <w:rPr>
                <w:b/>
                <w:sz w:val="24"/>
                <w:szCs w:val="24"/>
              </w:rPr>
            </w:pPr>
            <w:r w:rsidRPr="00CD0139">
              <w:rPr>
                <w:b/>
                <w:sz w:val="24"/>
                <w:szCs w:val="24"/>
              </w:rPr>
              <w:t>Nottinghamshire County Council’s Response</w:t>
            </w:r>
          </w:p>
        </w:tc>
      </w:tr>
      <w:tr w:rsidR="00CD0139" w14:paraId="49BC951F" w14:textId="77777777" w:rsidTr="00CD0139">
        <w:tc>
          <w:tcPr>
            <w:tcW w:w="7087" w:type="dxa"/>
          </w:tcPr>
          <w:p w14:paraId="5E302CFB" w14:textId="77777777" w:rsidR="00CD0139" w:rsidRPr="00CD0139" w:rsidRDefault="00CD0139" w:rsidP="00CD0139">
            <w:pPr>
              <w:pStyle w:val="ListParagraph"/>
              <w:numPr>
                <w:ilvl w:val="0"/>
                <w:numId w:val="1"/>
              </w:numPr>
              <w:rPr>
                <w:sz w:val="24"/>
                <w:szCs w:val="24"/>
              </w:rPr>
            </w:pPr>
            <w:r>
              <w:rPr>
                <w:sz w:val="24"/>
                <w:szCs w:val="24"/>
              </w:rPr>
              <w:t>Total number of staff who are trade union representatives including general, learning and health and safety representatives</w:t>
            </w:r>
          </w:p>
        </w:tc>
        <w:tc>
          <w:tcPr>
            <w:tcW w:w="7087" w:type="dxa"/>
          </w:tcPr>
          <w:p w14:paraId="793A8CCB" w14:textId="77777777" w:rsidR="00CD0139" w:rsidRDefault="00CD0139" w:rsidP="00CD0139">
            <w:pPr>
              <w:jc w:val="center"/>
              <w:rPr>
                <w:b/>
                <w:sz w:val="24"/>
                <w:szCs w:val="24"/>
              </w:rPr>
            </w:pPr>
          </w:p>
          <w:p w14:paraId="5638525D" w14:textId="072B10FA" w:rsidR="00CD0139" w:rsidRPr="00557935" w:rsidRDefault="00C53B43" w:rsidP="003D7124">
            <w:pPr>
              <w:jc w:val="center"/>
              <w:rPr>
                <w:b/>
                <w:sz w:val="24"/>
                <w:szCs w:val="24"/>
              </w:rPr>
            </w:pPr>
            <w:r>
              <w:rPr>
                <w:b/>
                <w:sz w:val="24"/>
                <w:szCs w:val="24"/>
              </w:rPr>
              <w:t>44</w:t>
            </w:r>
            <w:r w:rsidR="0068580E">
              <w:rPr>
                <w:b/>
                <w:sz w:val="24"/>
                <w:szCs w:val="24"/>
              </w:rPr>
              <w:t xml:space="preserve"> </w:t>
            </w:r>
            <w:r w:rsidR="00A91AEA">
              <w:rPr>
                <w:b/>
                <w:sz w:val="24"/>
                <w:szCs w:val="24"/>
              </w:rPr>
              <w:br/>
            </w:r>
          </w:p>
        </w:tc>
      </w:tr>
      <w:tr w:rsidR="00CD0139" w14:paraId="7B3F07B3" w14:textId="77777777" w:rsidTr="00CD0139">
        <w:tc>
          <w:tcPr>
            <w:tcW w:w="7087" w:type="dxa"/>
          </w:tcPr>
          <w:p w14:paraId="62B1B035" w14:textId="77777777" w:rsidR="00CD0139" w:rsidRPr="00CD0139" w:rsidRDefault="008F3E2D" w:rsidP="00CD0139">
            <w:pPr>
              <w:pStyle w:val="ListParagraph"/>
              <w:numPr>
                <w:ilvl w:val="0"/>
                <w:numId w:val="1"/>
              </w:numPr>
              <w:rPr>
                <w:sz w:val="24"/>
                <w:szCs w:val="24"/>
              </w:rPr>
            </w:pPr>
            <w:r>
              <w:rPr>
                <w:sz w:val="24"/>
                <w:szCs w:val="24"/>
              </w:rPr>
              <w:t>Total full time equivalent (FTE) of staff who are trade union representatives</w:t>
            </w:r>
          </w:p>
        </w:tc>
        <w:tc>
          <w:tcPr>
            <w:tcW w:w="7087" w:type="dxa"/>
          </w:tcPr>
          <w:p w14:paraId="55C1DB50" w14:textId="77777777" w:rsidR="00CD0139" w:rsidRDefault="00CD0139" w:rsidP="00CD0139">
            <w:pPr>
              <w:rPr>
                <w:sz w:val="24"/>
                <w:szCs w:val="24"/>
              </w:rPr>
            </w:pPr>
          </w:p>
          <w:p w14:paraId="090761C9" w14:textId="2F2985B9" w:rsidR="001D12E4" w:rsidRPr="008F3E2D" w:rsidRDefault="00C53B43" w:rsidP="001D12E4">
            <w:pPr>
              <w:jc w:val="center"/>
              <w:rPr>
                <w:b/>
                <w:sz w:val="24"/>
                <w:szCs w:val="24"/>
              </w:rPr>
            </w:pPr>
            <w:r>
              <w:rPr>
                <w:b/>
                <w:sz w:val="24"/>
                <w:szCs w:val="24"/>
              </w:rPr>
              <w:t>37.8</w:t>
            </w:r>
            <w:r w:rsidR="0068580E">
              <w:rPr>
                <w:b/>
                <w:sz w:val="24"/>
                <w:szCs w:val="24"/>
              </w:rPr>
              <w:t xml:space="preserve"> </w:t>
            </w:r>
            <w:r w:rsidR="00A91AEA">
              <w:rPr>
                <w:b/>
                <w:sz w:val="24"/>
                <w:szCs w:val="24"/>
              </w:rPr>
              <w:br/>
            </w:r>
          </w:p>
        </w:tc>
      </w:tr>
      <w:tr w:rsidR="00CD0139" w14:paraId="60A163C9" w14:textId="77777777" w:rsidTr="00CD0139">
        <w:tc>
          <w:tcPr>
            <w:tcW w:w="7087" w:type="dxa"/>
          </w:tcPr>
          <w:p w14:paraId="3C175A42" w14:textId="77777777" w:rsidR="00CD0139" w:rsidRPr="008F3E2D" w:rsidRDefault="008F3E2D" w:rsidP="008F3E2D">
            <w:pPr>
              <w:pStyle w:val="ListParagraph"/>
              <w:numPr>
                <w:ilvl w:val="0"/>
                <w:numId w:val="1"/>
              </w:numPr>
              <w:rPr>
                <w:sz w:val="24"/>
                <w:szCs w:val="24"/>
              </w:rPr>
            </w:pPr>
            <w:r>
              <w:rPr>
                <w:sz w:val="24"/>
                <w:szCs w:val="24"/>
              </w:rPr>
              <w:t>Total number of staff who devote at least 50% of their time to trade union duties</w:t>
            </w:r>
          </w:p>
        </w:tc>
        <w:tc>
          <w:tcPr>
            <w:tcW w:w="7087" w:type="dxa"/>
          </w:tcPr>
          <w:p w14:paraId="66EE761C" w14:textId="77777777" w:rsidR="00CD0139" w:rsidRDefault="00CD0139" w:rsidP="008F3E2D">
            <w:pPr>
              <w:jc w:val="center"/>
              <w:rPr>
                <w:sz w:val="24"/>
                <w:szCs w:val="24"/>
              </w:rPr>
            </w:pPr>
          </w:p>
          <w:p w14:paraId="6535EBBB" w14:textId="3A44B7D6" w:rsidR="008F3E2D" w:rsidRPr="008F3E2D" w:rsidRDefault="00872A5F" w:rsidP="008F3E2D">
            <w:pPr>
              <w:jc w:val="center"/>
              <w:rPr>
                <w:b/>
                <w:sz w:val="24"/>
                <w:szCs w:val="24"/>
              </w:rPr>
            </w:pPr>
            <w:r>
              <w:rPr>
                <w:b/>
                <w:sz w:val="24"/>
                <w:szCs w:val="24"/>
              </w:rPr>
              <w:t>5</w:t>
            </w:r>
            <w:r w:rsidR="0068580E">
              <w:rPr>
                <w:b/>
                <w:sz w:val="24"/>
                <w:szCs w:val="24"/>
              </w:rPr>
              <w:t xml:space="preserve"> </w:t>
            </w:r>
            <w:r w:rsidR="00A91AEA">
              <w:rPr>
                <w:b/>
                <w:sz w:val="24"/>
                <w:szCs w:val="24"/>
              </w:rPr>
              <w:br/>
            </w:r>
          </w:p>
        </w:tc>
      </w:tr>
      <w:tr w:rsidR="00CD0139" w14:paraId="7A59D0A0" w14:textId="77777777" w:rsidTr="00CD0139">
        <w:tc>
          <w:tcPr>
            <w:tcW w:w="7087" w:type="dxa"/>
          </w:tcPr>
          <w:p w14:paraId="2A7E03B7" w14:textId="77777777" w:rsidR="00CD0139" w:rsidRPr="008F3E2D" w:rsidRDefault="008F3E2D" w:rsidP="008F3E2D">
            <w:pPr>
              <w:pStyle w:val="ListParagraph"/>
              <w:numPr>
                <w:ilvl w:val="0"/>
                <w:numId w:val="1"/>
              </w:numPr>
              <w:rPr>
                <w:sz w:val="24"/>
                <w:szCs w:val="24"/>
              </w:rPr>
            </w:pPr>
            <w:r>
              <w:rPr>
                <w:sz w:val="24"/>
                <w:szCs w:val="24"/>
              </w:rPr>
              <w:t>Total FTE of staff who devote at least 50% of their time to trade union duties</w:t>
            </w:r>
          </w:p>
        </w:tc>
        <w:tc>
          <w:tcPr>
            <w:tcW w:w="7087" w:type="dxa"/>
          </w:tcPr>
          <w:p w14:paraId="14D2E9A3" w14:textId="67012232" w:rsidR="00CD0139" w:rsidRPr="008F3E2D" w:rsidRDefault="00872A5F" w:rsidP="004D6C01">
            <w:pPr>
              <w:jc w:val="center"/>
              <w:rPr>
                <w:b/>
                <w:sz w:val="24"/>
                <w:szCs w:val="24"/>
              </w:rPr>
            </w:pPr>
            <w:r>
              <w:rPr>
                <w:b/>
                <w:sz w:val="24"/>
                <w:szCs w:val="24"/>
              </w:rPr>
              <w:t>4</w:t>
            </w:r>
            <w:r w:rsidR="00B03A2E">
              <w:rPr>
                <w:b/>
                <w:sz w:val="24"/>
                <w:szCs w:val="24"/>
              </w:rPr>
              <w:t>.</w:t>
            </w:r>
            <w:r w:rsidR="00C53B43">
              <w:rPr>
                <w:b/>
                <w:sz w:val="24"/>
                <w:szCs w:val="24"/>
              </w:rPr>
              <w:t>1</w:t>
            </w:r>
            <w:r w:rsidR="0068580E">
              <w:rPr>
                <w:b/>
                <w:sz w:val="24"/>
                <w:szCs w:val="24"/>
              </w:rPr>
              <w:t xml:space="preserve"> </w:t>
            </w:r>
            <w:r w:rsidR="00A91AEA">
              <w:rPr>
                <w:b/>
                <w:sz w:val="24"/>
                <w:szCs w:val="24"/>
              </w:rPr>
              <w:br/>
            </w:r>
          </w:p>
        </w:tc>
      </w:tr>
      <w:tr w:rsidR="00CD0139" w14:paraId="29461E49" w14:textId="77777777" w:rsidTr="00CD0139">
        <w:tc>
          <w:tcPr>
            <w:tcW w:w="7087" w:type="dxa"/>
          </w:tcPr>
          <w:p w14:paraId="62A59617" w14:textId="77777777" w:rsidR="00B4029C" w:rsidRDefault="008F3E2D" w:rsidP="00B4029C">
            <w:pPr>
              <w:pStyle w:val="ListParagraph"/>
              <w:numPr>
                <w:ilvl w:val="0"/>
                <w:numId w:val="1"/>
              </w:numPr>
              <w:rPr>
                <w:sz w:val="24"/>
                <w:szCs w:val="24"/>
              </w:rPr>
            </w:pPr>
            <w:r w:rsidRPr="00B4029C">
              <w:rPr>
                <w:sz w:val="24"/>
                <w:szCs w:val="24"/>
              </w:rPr>
              <w:t>Names of the recognised trades unions</w:t>
            </w:r>
            <w:r w:rsidR="00B4029C" w:rsidRPr="00B4029C">
              <w:rPr>
                <w:sz w:val="24"/>
                <w:szCs w:val="24"/>
              </w:rPr>
              <w:t xml:space="preserve">.  </w:t>
            </w:r>
          </w:p>
          <w:p w14:paraId="057BD5E3" w14:textId="77777777" w:rsidR="00B4029C" w:rsidRPr="00B4029C" w:rsidRDefault="00B4029C" w:rsidP="00B4029C">
            <w:pPr>
              <w:pStyle w:val="ListParagraph"/>
              <w:rPr>
                <w:sz w:val="24"/>
                <w:szCs w:val="24"/>
              </w:rPr>
            </w:pPr>
          </w:p>
          <w:p w14:paraId="7AC91DA8" w14:textId="77777777" w:rsidR="008F3E2D" w:rsidRPr="008F3E2D" w:rsidRDefault="008F3E2D" w:rsidP="00B4029C">
            <w:pPr>
              <w:rPr>
                <w:sz w:val="24"/>
                <w:szCs w:val="24"/>
              </w:rPr>
            </w:pPr>
          </w:p>
        </w:tc>
        <w:tc>
          <w:tcPr>
            <w:tcW w:w="7087" w:type="dxa"/>
          </w:tcPr>
          <w:p w14:paraId="1083BF14" w14:textId="7A593041" w:rsidR="00B4029C" w:rsidRPr="00867758" w:rsidRDefault="008F3E2D" w:rsidP="003C28B5">
            <w:pPr>
              <w:rPr>
                <w:b/>
                <w:sz w:val="24"/>
                <w:szCs w:val="24"/>
              </w:rPr>
            </w:pPr>
            <w:r w:rsidRPr="00481DEE">
              <w:rPr>
                <w:b/>
                <w:sz w:val="24"/>
                <w:szCs w:val="24"/>
              </w:rPr>
              <w:t xml:space="preserve">Unison, GMB, </w:t>
            </w:r>
            <w:r w:rsidR="003D7124" w:rsidRPr="00481DEE">
              <w:rPr>
                <w:b/>
                <w:sz w:val="24"/>
                <w:szCs w:val="24"/>
              </w:rPr>
              <w:t>Unite</w:t>
            </w:r>
            <w:r w:rsidRPr="00481DEE">
              <w:rPr>
                <w:b/>
                <w:sz w:val="24"/>
                <w:szCs w:val="24"/>
              </w:rPr>
              <w:t xml:space="preserve">, </w:t>
            </w:r>
            <w:r w:rsidR="00B4029C" w:rsidRPr="00481DEE">
              <w:rPr>
                <w:b/>
                <w:sz w:val="24"/>
                <w:szCs w:val="24"/>
              </w:rPr>
              <w:t>National</w:t>
            </w:r>
            <w:r w:rsidR="00112F96" w:rsidRPr="00481DEE">
              <w:rPr>
                <w:b/>
                <w:sz w:val="24"/>
                <w:szCs w:val="24"/>
              </w:rPr>
              <w:t xml:space="preserve"> Education Union (NEU)</w:t>
            </w:r>
            <w:r w:rsidR="00B4029C" w:rsidRPr="00481DEE">
              <w:rPr>
                <w:b/>
                <w:sz w:val="24"/>
                <w:szCs w:val="24"/>
              </w:rPr>
              <w:t>, National Association of Schoolmasters, Union of Women Teachers (NASUWT), National Ass</w:t>
            </w:r>
            <w:r w:rsidR="003C28B5">
              <w:rPr>
                <w:b/>
                <w:sz w:val="24"/>
                <w:szCs w:val="24"/>
              </w:rPr>
              <w:t xml:space="preserve">ociation </w:t>
            </w:r>
            <w:r w:rsidR="00B4029C" w:rsidRPr="00481DEE">
              <w:rPr>
                <w:b/>
                <w:sz w:val="24"/>
                <w:szCs w:val="24"/>
              </w:rPr>
              <w:t>of Head Teachers (NAHT)</w:t>
            </w:r>
            <w:r w:rsidR="00542AC0">
              <w:rPr>
                <w:b/>
                <w:sz w:val="24"/>
                <w:szCs w:val="24"/>
              </w:rPr>
              <w:t xml:space="preserve">, </w:t>
            </w:r>
            <w:r w:rsidR="00542AC0" w:rsidRPr="004D6C01">
              <w:rPr>
                <w:b/>
                <w:sz w:val="24"/>
                <w:szCs w:val="24"/>
              </w:rPr>
              <w:t>Association of School and College Leaders (ASCL)</w:t>
            </w:r>
          </w:p>
        </w:tc>
      </w:tr>
      <w:tr w:rsidR="00CD0139" w14:paraId="5FAB7FDF" w14:textId="77777777" w:rsidTr="00CD0139">
        <w:tc>
          <w:tcPr>
            <w:tcW w:w="7087" w:type="dxa"/>
          </w:tcPr>
          <w:p w14:paraId="02049CF5" w14:textId="77777777" w:rsidR="008F3E2D" w:rsidRPr="00B4029C" w:rsidRDefault="00B4029C" w:rsidP="00B4029C">
            <w:pPr>
              <w:pStyle w:val="ListParagraph"/>
              <w:numPr>
                <w:ilvl w:val="0"/>
                <w:numId w:val="1"/>
              </w:numPr>
              <w:rPr>
                <w:sz w:val="24"/>
                <w:szCs w:val="24"/>
              </w:rPr>
            </w:pPr>
            <w:r>
              <w:rPr>
                <w:sz w:val="24"/>
                <w:szCs w:val="24"/>
              </w:rPr>
              <w:t>Basic estimate of spending on unions (FTE X median salary)</w:t>
            </w:r>
          </w:p>
        </w:tc>
        <w:tc>
          <w:tcPr>
            <w:tcW w:w="7087" w:type="dxa"/>
          </w:tcPr>
          <w:p w14:paraId="311DCF6E" w14:textId="54D03A2F" w:rsidR="0068791C" w:rsidRPr="00FE2D77" w:rsidRDefault="00C53B43" w:rsidP="004D6C01">
            <w:pPr>
              <w:jc w:val="center"/>
              <w:rPr>
                <w:b/>
                <w:bCs/>
                <w:sz w:val="24"/>
                <w:szCs w:val="24"/>
              </w:rPr>
            </w:pPr>
            <w:r w:rsidRPr="00C53B43">
              <w:rPr>
                <w:rFonts w:ascii="Calibri" w:hAnsi="Calibri"/>
                <w:b/>
                <w:bCs/>
                <w:color w:val="000000"/>
                <w:sz w:val="24"/>
                <w:szCs w:val="24"/>
              </w:rPr>
              <w:t>£106,103.60</w:t>
            </w:r>
            <w:r w:rsidR="00A91AEA">
              <w:rPr>
                <w:rFonts w:ascii="Calibri" w:hAnsi="Calibri"/>
                <w:b/>
                <w:bCs/>
                <w:color w:val="000000"/>
                <w:sz w:val="24"/>
                <w:szCs w:val="24"/>
              </w:rPr>
              <w:br/>
            </w:r>
          </w:p>
        </w:tc>
      </w:tr>
      <w:tr w:rsidR="00CD0139" w14:paraId="49429AC0" w14:textId="77777777" w:rsidTr="00CD0139">
        <w:tc>
          <w:tcPr>
            <w:tcW w:w="7087" w:type="dxa"/>
          </w:tcPr>
          <w:p w14:paraId="5155858F" w14:textId="77777777" w:rsidR="00CD0139" w:rsidRPr="00B4029C" w:rsidRDefault="00B4029C" w:rsidP="001B0681">
            <w:pPr>
              <w:pStyle w:val="ListParagraph"/>
              <w:numPr>
                <w:ilvl w:val="0"/>
                <w:numId w:val="1"/>
              </w:numPr>
              <w:rPr>
                <w:sz w:val="24"/>
                <w:szCs w:val="24"/>
              </w:rPr>
            </w:pPr>
            <w:r>
              <w:rPr>
                <w:sz w:val="24"/>
                <w:szCs w:val="24"/>
              </w:rPr>
              <w:t xml:space="preserve">Basic estimate of spending on unions (FTE </w:t>
            </w:r>
            <w:r w:rsidR="001B0681">
              <w:rPr>
                <w:sz w:val="24"/>
                <w:szCs w:val="24"/>
              </w:rPr>
              <w:t>X</w:t>
            </w:r>
            <w:r>
              <w:rPr>
                <w:sz w:val="24"/>
                <w:szCs w:val="24"/>
              </w:rPr>
              <w:t xml:space="preserve"> median salary) as % of pay bill</w:t>
            </w:r>
          </w:p>
        </w:tc>
        <w:tc>
          <w:tcPr>
            <w:tcW w:w="7087" w:type="dxa"/>
          </w:tcPr>
          <w:p w14:paraId="58F1A48D" w14:textId="7FF58521" w:rsidR="00CD0139" w:rsidRPr="004D6C01" w:rsidRDefault="002B552A" w:rsidP="005E4194">
            <w:pPr>
              <w:jc w:val="center"/>
              <w:rPr>
                <w:bCs/>
                <w:sz w:val="24"/>
                <w:szCs w:val="24"/>
              </w:rPr>
            </w:pPr>
            <w:r w:rsidRPr="00FE2D77">
              <w:rPr>
                <w:b/>
                <w:sz w:val="24"/>
                <w:szCs w:val="24"/>
              </w:rPr>
              <w:t>0.0</w:t>
            </w:r>
            <w:r w:rsidR="00C53B43">
              <w:rPr>
                <w:b/>
                <w:sz w:val="24"/>
                <w:szCs w:val="24"/>
              </w:rPr>
              <w:t>5</w:t>
            </w:r>
            <w:r w:rsidRPr="00FE2D77">
              <w:rPr>
                <w:b/>
                <w:sz w:val="24"/>
                <w:szCs w:val="24"/>
              </w:rPr>
              <w:t>%</w:t>
            </w:r>
            <w:r w:rsidR="004D6C01">
              <w:rPr>
                <w:b/>
                <w:sz w:val="24"/>
                <w:szCs w:val="24"/>
              </w:rPr>
              <w:t xml:space="preserve"> </w:t>
            </w:r>
            <w:r w:rsidR="004D6C01">
              <w:rPr>
                <w:b/>
                <w:sz w:val="24"/>
                <w:szCs w:val="24"/>
              </w:rPr>
              <w:br/>
            </w:r>
          </w:p>
        </w:tc>
      </w:tr>
    </w:tbl>
    <w:p w14:paraId="1B379650" w14:textId="77777777" w:rsidR="00CD0139" w:rsidRPr="00CD0139" w:rsidRDefault="00CD0139" w:rsidP="009707FD">
      <w:pPr>
        <w:rPr>
          <w:b/>
          <w:sz w:val="24"/>
          <w:szCs w:val="24"/>
        </w:rPr>
      </w:pPr>
    </w:p>
    <w:sectPr w:rsidR="00CD0139" w:rsidRPr="00CD0139" w:rsidSect="009707FD">
      <w:pgSz w:w="16838" w:h="11906" w:orient="landscape"/>
      <w:pgMar w:top="113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591F2A"/>
    <w:multiLevelType w:val="hybridMultilevel"/>
    <w:tmpl w:val="EA0EB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139"/>
    <w:rsid w:val="00086DB1"/>
    <w:rsid w:val="00112F96"/>
    <w:rsid w:val="00162C59"/>
    <w:rsid w:val="001B0681"/>
    <w:rsid w:val="001D12E4"/>
    <w:rsid w:val="00295040"/>
    <w:rsid w:val="002A4954"/>
    <w:rsid w:val="002B552A"/>
    <w:rsid w:val="00311DF9"/>
    <w:rsid w:val="0033169E"/>
    <w:rsid w:val="00333F74"/>
    <w:rsid w:val="003C28B5"/>
    <w:rsid w:val="003D7124"/>
    <w:rsid w:val="00422AE1"/>
    <w:rsid w:val="00481DEE"/>
    <w:rsid w:val="00483F0A"/>
    <w:rsid w:val="004D6C01"/>
    <w:rsid w:val="00542AC0"/>
    <w:rsid w:val="00557935"/>
    <w:rsid w:val="00573D6A"/>
    <w:rsid w:val="005B4778"/>
    <w:rsid w:val="005E144E"/>
    <w:rsid w:val="005E3E15"/>
    <w:rsid w:val="005E4194"/>
    <w:rsid w:val="005F3C31"/>
    <w:rsid w:val="0068351B"/>
    <w:rsid w:val="0068580E"/>
    <w:rsid w:val="0068791C"/>
    <w:rsid w:val="006C186E"/>
    <w:rsid w:val="00755665"/>
    <w:rsid w:val="0076264F"/>
    <w:rsid w:val="007D71FF"/>
    <w:rsid w:val="00867758"/>
    <w:rsid w:val="00872A5F"/>
    <w:rsid w:val="008F3E2D"/>
    <w:rsid w:val="00902182"/>
    <w:rsid w:val="009707FD"/>
    <w:rsid w:val="009A7B11"/>
    <w:rsid w:val="00A23FBB"/>
    <w:rsid w:val="00A91AEA"/>
    <w:rsid w:val="00B03A2E"/>
    <w:rsid w:val="00B4029C"/>
    <w:rsid w:val="00B93F47"/>
    <w:rsid w:val="00C53B43"/>
    <w:rsid w:val="00CD0139"/>
    <w:rsid w:val="00D121D7"/>
    <w:rsid w:val="00D46F39"/>
    <w:rsid w:val="00DB11E4"/>
    <w:rsid w:val="00DC768D"/>
    <w:rsid w:val="00E26A91"/>
    <w:rsid w:val="00E90B24"/>
    <w:rsid w:val="00EC069A"/>
    <w:rsid w:val="00EF29B5"/>
    <w:rsid w:val="00FE2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F668B"/>
  <w15:docId w15:val="{5CB8580D-9F79-46C3-A92A-241F98010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0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0139"/>
    <w:pPr>
      <w:ind w:left="720"/>
      <w:contextualSpacing/>
    </w:pPr>
  </w:style>
  <w:style w:type="paragraph" w:styleId="BalloonText">
    <w:name w:val="Balloon Text"/>
    <w:basedOn w:val="Normal"/>
    <w:link w:val="BalloonTextChar"/>
    <w:uiPriority w:val="99"/>
    <w:semiHidden/>
    <w:unhideWhenUsed/>
    <w:rsid w:val="009707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7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808846">
      <w:bodyDiv w:val="1"/>
      <w:marLeft w:val="0"/>
      <w:marRight w:val="0"/>
      <w:marTop w:val="0"/>
      <w:marBottom w:val="0"/>
      <w:divBdr>
        <w:top w:val="none" w:sz="0" w:space="0" w:color="auto"/>
        <w:left w:val="none" w:sz="0" w:space="0" w:color="auto"/>
        <w:bottom w:val="none" w:sz="0" w:space="0" w:color="auto"/>
        <w:right w:val="none" w:sz="0" w:space="0" w:color="auto"/>
      </w:divBdr>
    </w:div>
    <w:div w:id="1376614577">
      <w:bodyDiv w:val="1"/>
      <w:marLeft w:val="0"/>
      <w:marRight w:val="0"/>
      <w:marTop w:val="0"/>
      <w:marBottom w:val="0"/>
      <w:divBdr>
        <w:top w:val="none" w:sz="0" w:space="0" w:color="auto"/>
        <w:left w:val="none" w:sz="0" w:space="0" w:color="auto"/>
        <w:bottom w:val="none" w:sz="0" w:space="0" w:color="auto"/>
        <w:right w:val="none" w:sz="0" w:space="0" w:color="auto"/>
      </w:divBdr>
    </w:div>
    <w:div w:id="182893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Elder</dc:creator>
  <cp:lastModifiedBy>Michelle Robinson</cp:lastModifiedBy>
  <cp:revision>3</cp:revision>
  <cp:lastPrinted>2020-03-12T15:19:00Z</cp:lastPrinted>
  <dcterms:created xsi:type="dcterms:W3CDTF">2022-03-31T14:43:00Z</dcterms:created>
  <dcterms:modified xsi:type="dcterms:W3CDTF">2022-03-31T14:48:00Z</dcterms:modified>
</cp:coreProperties>
</file>