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440"/>
        <w:gridCol w:w="1082"/>
        <w:gridCol w:w="2876"/>
        <w:gridCol w:w="1399"/>
      </w:tblGrid>
      <w:tr w:rsidR="002D2352" w:rsidRPr="002D2352" w14:paraId="6818D4F3" w14:textId="77777777" w:rsidTr="00884BA4">
        <w:trPr>
          <w:trHeight w:val="555"/>
        </w:trPr>
        <w:tc>
          <w:tcPr>
            <w:tcW w:w="8522" w:type="dxa"/>
            <w:gridSpan w:val="5"/>
            <w:shd w:val="clear" w:color="auto" w:fill="auto"/>
          </w:tcPr>
          <w:p w14:paraId="0AF97438" w14:textId="77777777" w:rsidR="002D2352" w:rsidRPr="002D2352" w:rsidRDefault="002D2352" w:rsidP="002D2352">
            <w:pPr>
              <w:spacing w:after="0" w:line="300" w:lineRule="atLeast"/>
              <w:jc w:val="both"/>
              <w:rPr>
                <w:rFonts w:ascii="Times New Roman" w:eastAsia="Times New Roman" w:hAnsi="Times New Roman" w:cs="Times New Roman"/>
                <w:b/>
                <w:szCs w:val="20"/>
              </w:rPr>
            </w:pPr>
            <w:bookmarkStart w:id="0" w:name="_GoBack"/>
            <w:bookmarkEnd w:id="0"/>
            <w:r w:rsidRPr="002D2352">
              <w:rPr>
                <w:rFonts w:ascii="Times New Roman" w:eastAsia="Times New Roman" w:hAnsi="Times New Roman" w:cs="Times New Roman"/>
                <w:b/>
                <w:szCs w:val="20"/>
              </w:rPr>
              <w:t xml:space="preserve">Policy Library Pro Forma </w:t>
            </w:r>
          </w:p>
          <w:p w14:paraId="1EEC3E25"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szCs w:val="20"/>
              </w:rPr>
              <w:t>This information will be used to add a policy, procedure, guidance or strategy to the Policy Library.</w:t>
            </w:r>
          </w:p>
        </w:tc>
      </w:tr>
      <w:tr w:rsidR="002D2352" w:rsidRPr="002D2352" w14:paraId="0BDA2CFE" w14:textId="77777777" w:rsidTr="00884BA4">
        <w:trPr>
          <w:gridBefore w:val="3"/>
          <w:wBefore w:w="4247" w:type="dxa"/>
        </w:trPr>
        <w:tc>
          <w:tcPr>
            <w:tcW w:w="4275" w:type="dxa"/>
            <w:gridSpan w:val="2"/>
            <w:tcBorders>
              <w:left w:val="nil"/>
              <w:right w:val="nil"/>
            </w:tcBorders>
            <w:shd w:val="clear" w:color="auto" w:fill="auto"/>
          </w:tcPr>
          <w:p w14:paraId="1BAE615F"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391BA885" w14:textId="77777777" w:rsidTr="00884BA4">
        <w:trPr>
          <w:trHeight w:val="554"/>
        </w:trPr>
        <w:tc>
          <w:tcPr>
            <w:tcW w:w="8522" w:type="dxa"/>
            <w:gridSpan w:val="5"/>
            <w:shd w:val="clear" w:color="auto" w:fill="E6E6E6"/>
          </w:tcPr>
          <w:p w14:paraId="4BFCB795" w14:textId="6FA89A00" w:rsidR="002D2352" w:rsidRPr="002D2352" w:rsidRDefault="002D2352" w:rsidP="002D2352">
            <w:pPr>
              <w:keepNext/>
              <w:spacing w:after="240"/>
              <w:outlineLvl w:val="0"/>
              <w:rPr>
                <w:rFonts w:ascii="Arial" w:hAnsi="Arial" w:cs="Arial"/>
                <w:b/>
                <w:bCs/>
                <w:sz w:val="24"/>
                <w:szCs w:val="24"/>
              </w:rPr>
            </w:pPr>
            <w:r w:rsidRPr="002D2352">
              <w:rPr>
                <w:rFonts w:ascii="Times New Roman" w:eastAsia="Times New Roman" w:hAnsi="Times New Roman" w:cs="Times New Roman"/>
                <w:b/>
                <w:szCs w:val="20"/>
              </w:rPr>
              <w:t>Title:</w:t>
            </w:r>
            <w:r w:rsidRPr="002D2352">
              <w:rPr>
                <w:rFonts w:ascii="Times New Roman" w:eastAsia="Times New Roman" w:hAnsi="Times New Roman" w:cs="Times New Roman"/>
                <w:szCs w:val="20"/>
              </w:rPr>
              <w:t xml:space="preserve"> </w:t>
            </w:r>
            <w:r w:rsidRPr="002D2352">
              <w:rPr>
                <w:rFonts w:ascii="Times New Roman" w:hAnsi="Times New Roman" w:cs="Times New Roman"/>
                <w:bCs/>
                <w:sz w:val="24"/>
                <w:szCs w:val="24"/>
              </w:rPr>
              <w:t>Information Management and Data Quality Policy</w:t>
            </w:r>
          </w:p>
        </w:tc>
      </w:tr>
      <w:tr w:rsidR="002D2352" w:rsidRPr="002D2352" w14:paraId="6057674D" w14:textId="77777777" w:rsidTr="00884BA4">
        <w:tc>
          <w:tcPr>
            <w:tcW w:w="4247" w:type="dxa"/>
            <w:gridSpan w:val="3"/>
            <w:tcBorders>
              <w:top w:val="nil"/>
              <w:left w:val="nil"/>
              <w:right w:val="nil"/>
            </w:tcBorders>
            <w:shd w:val="clear" w:color="auto" w:fill="auto"/>
          </w:tcPr>
          <w:p w14:paraId="751CC48A"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4275" w:type="dxa"/>
            <w:gridSpan w:val="2"/>
            <w:tcBorders>
              <w:left w:val="nil"/>
              <w:right w:val="nil"/>
            </w:tcBorders>
            <w:shd w:val="clear" w:color="auto" w:fill="auto"/>
          </w:tcPr>
          <w:p w14:paraId="6BACD43F"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30BE41A2" w14:textId="77777777" w:rsidTr="00884BA4">
        <w:trPr>
          <w:trHeight w:val="796"/>
        </w:trPr>
        <w:tc>
          <w:tcPr>
            <w:tcW w:w="8522" w:type="dxa"/>
            <w:gridSpan w:val="5"/>
            <w:tcBorders>
              <w:bottom w:val="single" w:sz="4" w:space="0" w:color="auto"/>
            </w:tcBorders>
            <w:shd w:val="clear" w:color="auto" w:fill="E6E6E6"/>
          </w:tcPr>
          <w:p w14:paraId="1422DCE7" w14:textId="6E3B0A62"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b/>
                <w:szCs w:val="20"/>
              </w:rPr>
              <w:t>Aim / Summary:</w:t>
            </w:r>
            <w:r w:rsidRPr="002D2352">
              <w:rPr>
                <w:rFonts w:ascii="Times New Roman" w:eastAsia="Times New Roman" w:hAnsi="Times New Roman" w:cs="Times New Roman"/>
                <w:szCs w:val="20"/>
              </w:rPr>
              <w:t xml:space="preserve"> To maximise the effectiveness of Nottinghamshire County Council by managing data, information and records as strategic corporate assets in support of our values, priorities and plans and ensure compliance with relevant legislation.  . </w:t>
            </w:r>
          </w:p>
          <w:p w14:paraId="18813AEC"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1DEF4DFB" w14:textId="77777777" w:rsidTr="00884BA4">
        <w:tc>
          <w:tcPr>
            <w:tcW w:w="4247" w:type="dxa"/>
            <w:gridSpan w:val="3"/>
            <w:tcBorders>
              <w:left w:val="nil"/>
              <w:right w:val="nil"/>
            </w:tcBorders>
            <w:shd w:val="clear" w:color="auto" w:fill="auto"/>
          </w:tcPr>
          <w:p w14:paraId="0DE8ABC9"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4275" w:type="dxa"/>
            <w:gridSpan w:val="2"/>
            <w:tcBorders>
              <w:left w:val="nil"/>
              <w:right w:val="nil"/>
            </w:tcBorders>
            <w:shd w:val="clear" w:color="auto" w:fill="auto"/>
          </w:tcPr>
          <w:p w14:paraId="3212FFE2"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16205204" w14:textId="77777777" w:rsidTr="00884BA4">
        <w:trPr>
          <w:trHeight w:val="240"/>
        </w:trPr>
        <w:tc>
          <w:tcPr>
            <w:tcW w:w="8522" w:type="dxa"/>
            <w:gridSpan w:val="5"/>
            <w:shd w:val="clear" w:color="auto" w:fill="E6E6E6"/>
          </w:tcPr>
          <w:p w14:paraId="008F579A"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b/>
                <w:szCs w:val="20"/>
              </w:rPr>
              <w:t>Document type</w:t>
            </w:r>
            <w:r w:rsidRPr="002D2352">
              <w:rPr>
                <w:rFonts w:ascii="Times New Roman" w:eastAsia="Times New Roman" w:hAnsi="Times New Roman" w:cs="Times New Roman"/>
                <w:szCs w:val="20"/>
              </w:rPr>
              <w:t xml:space="preserve"> (please choose one) </w:t>
            </w:r>
          </w:p>
        </w:tc>
      </w:tr>
      <w:tr w:rsidR="002D2352" w:rsidRPr="002D2352" w14:paraId="74F0728C" w14:textId="77777777" w:rsidTr="00884BA4">
        <w:trPr>
          <w:trHeight w:val="330"/>
        </w:trPr>
        <w:tc>
          <w:tcPr>
            <w:tcW w:w="1725" w:type="dxa"/>
            <w:shd w:val="clear" w:color="auto" w:fill="E6E6E6"/>
          </w:tcPr>
          <w:p w14:paraId="70F7173A"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Policy</w:t>
            </w:r>
          </w:p>
        </w:tc>
        <w:tc>
          <w:tcPr>
            <w:tcW w:w="2522" w:type="dxa"/>
            <w:gridSpan w:val="2"/>
            <w:shd w:val="clear" w:color="auto" w:fill="E6E6E6"/>
          </w:tcPr>
          <w:p w14:paraId="5243051E"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X</w:t>
            </w:r>
          </w:p>
        </w:tc>
        <w:tc>
          <w:tcPr>
            <w:tcW w:w="2876" w:type="dxa"/>
            <w:shd w:val="clear" w:color="auto" w:fill="E6E6E6"/>
          </w:tcPr>
          <w:p w14:paraId="7028277D"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Guidance</w:t>
            </w:r>
          </w:p>
        </w:tc>
        <w:tc>
          <w:tcPr>
            <w:tcW w:w="1399" w:type="dxa"/>
            <w:shd w:val="clear" w:color="auto" w:fill="E6E6E6"/>
          </w:tcPr>
          <w:p w14:paraId="4F7FCD36"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505F499F" w14:textId="77777777" w:rsidTr="00884BA4">
        <w:trPr>
          <w:trHeight w:val="345"/>
        </w:trPr>
        <w:tc>
          <w:tcPr>
            <w:tcW w:w="1725" w:type="dxa"/>
            <w:tcBorders>
              <w:bottom w:val="single" w:sz="4" w:space="0" w:color="auto"/>
            </w:tcBorders>
            <w:shd w:val="clear" w:color="auto" w:fill="E6E6E6"/>
          </w:tcPr>
          <w:p w14:paraId="47674E35"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Strategy</w:t>
            </w:r>
          </w:p>
        </w:tc>
        <w:tc>
          <w:tcPr>
            <w:tcW w:w="2522" w:type="dxa"/>
            <w:gridSpan w:val="2"/>
            <w:tcBorders>
              <w:bottom w:val="single" w:sz="4" w:space="0" w:color="auto"/>
            </w:tcBorders>
            <w:shd w:val="clear" w:color="auto" w:fill="E6E6E6"/>
          </w:tcPr>
          <w:p w14:paraId="61303014"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2876" w:type="dxa"/>
            <w:tcBorders>
              <w:bottom w:val="single" w:sz="4" w:space="0" w:color="auto"/>
            </w:tcBorders>
            <w:shd w:val="clear" w:color="auto" w:fill="E6E6E6"/>
          </w:tcPr>
          <w:p w14:paraId="10B14D87"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Procedure</w:t>
            </w:r>
          </w:p>
        </w:tc>
        <w:tc>
          <w:tcPr>
            <w:tcW w:w="1399" w:type="dxa"/>
            <w:tcBorders>
              <w:bottom w:val="single" w:sz="4" w:space="0" w:color="auto"/>
            </w:tcBorders>
            <w:shd w:val="clear" w:color="auto" w:fill="E6E6E6"/>
          </w:tcPr>
          <w:p w14:paraId="7CF7FAD9"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3E17E2A2" w14:textId="77777777" w:rsidTr="00884BA4">
        <w:tc>
          <w:tcPr>
            <w:tcW w:w="4247" w:type="dxa"/>
            <w:gridSpan w:val="3"/>
            <w:tcBorders>
              <w:left w:val="nil"/>
              <w:right w:val="nil"/>
            </w:tcBorders>
            <w:shd w:val="clear" w:color="auto" w:fill="auto"/>
          </w:tcPr>
          <w:p w14:paraId="72983D17"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4275" w:type="dxa"/>
            <w:gridSpan w:val="2"/>
            <w:tcBorders>
              <w:left w:val="nil"/>
              <w:right w:val="nil"/>
            </w:tcBorders>
            <w:shd w:val="clear" w:color="auto" w:fill="auto"/>
          </w:tcPr>
          <w:p w14:paraId="556C7D83"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569D1CE2" w14:textId="77777777" w:rsidTr="00884BA4">
        <w:trPr>
          <w:trHeight w:val="270"/>
        </w:trPr>
        <w:tc>
          <w:tcPr>
            <w:tcW w:w="4247" w:type="dxa"/>
            <w:gridSpan w:val="3"/>
            <w:shd w:val="clear" w:color="auto" w:fill="E6E6E6"/>
          </w:tcPr>
          <w:p w14:paraId="355E24BD"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Approved by: Policy committee</w:t>
            </w:r>
          </w:p>
        </w:tc>
        <w:tc>
          <w:tcPr>
            <w:tcW w:w="4275" w:type="dxa"/>
            <w:gridSpan w:val="2"/>
            <w:shd w:val="clear" w:color="auto" w:fill="E6E6E6"/>
          </w:tcPr>
          <w:p w14:paraId="77B42FDD"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Version number: 2.0</w:t>
            </w:r>
          </w:p>
        </w:tc>
      </w:tr>
      <w:tr w:rsidR="002D2352" w:rsidRPr="002D2352" w14:paraId="1CEBA647" w14:textId="77777777" w:rsidTr="00884BA4">
        <w:trPr>
          <w:trHeight w:val="360"/>
        </w:trPr>
        <w:tc>
          <w:tcPr>
            <w:tcW w:w="4247" w:type="dxa"/>
            <w:gridSpan w:val="3"/>
            <w:tcBorders>
              <w:bottom w:val="single" w:sz="4" w:space="0" w:color="auto"/>
            </w:tcBorders>
            <w:shd w:val="clear" w:color="auto" w:fill="E6E6E6"/>
          </w:tcPr>
          <w:p w14:paraId="6469DDA5"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Date approved: 20</w:t>
            </w:r>
            <w:r w:rsidRPr="002D2352">
              <w:rPr>
                <w:rFonts w:ascii="Times New Roman" w:eastAsia="Times New Roman" w:hAnsi="Times New Roman" w:cs="Times New Roman"/>
                <w:b/>
                <w:szCs w:val="20"/>
                <w:vertAlign w:val="superscript"/>
              </w:rPr>
              <w:t>th</w:t>
            </w:r>
            <w:r w:rsidRPr="002D2352">
              <w:rPr>
                <w:rFonts w:ascii="Times New Roman" w:eastAsia="Times New Roman" w:hAnsi="Times New Roman" w:cs="Times New Roman"/>
                <w:b/>
                <w:szCs w:val="20"/>
              </w:rPr>
              <w:t xml:space="preserve"> April 2016</w:t>
            </w:r>
          </w:p>
        </w:tc>
        <w:tc>
          <w:tcPr>
            <w:tcW w:w="4275" w:type="dxa"/>
            <w:gridSpan w:val="2"/>
            <w:tcBorders>
              <w:bottom w:val="single" w:sz="4" w:space="0" w:color="auto"/>
            </w:tcBorders>
            <w:shd w:val="clear" w:color="auto" w:fill="E6E6E6"/>
          </w:tcPr>
          <w:p w14:paraId="4C68F116" w14:textId="72171BC9"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Proposed review date: April 201</w:t>
            </w:r>
            <w:r>
              <w:rPr>
                <w:rFonts w:ascii="Times New Roman" w:eastAsia="Times New Roman" w:hAnsi="Times New Roman" w:cs="Times New Roman"/>
                <w:b/>
                <w:szCs w:val="20"/>
              </w:rPr>
              <w:t>7</w:t>
            </w:r>
          </w:p>
          <w:p w14:paraId="70F5B347"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18C40DCF" w14:textId="77777777" w:rsidTr="00884BA4">
        <w:tc>
          <w:tcPr>
            <w:tcW w:w="4247" w:type="dxa"/>
            <w:gridSpan w:val="3"/>
            <w:tcBorders>
              <w:left w:val="nil"/>
              <w:right w:val="nil"/>
            </w:tcBorders>
            <w:shd w:val="clear" w:color="auto" w:fill="auto"/>
          </w:tcPr>
          <w:p w14:paraId="1756B275"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4275" w:type="dxa"/>
            <w:gridSpan w:val="2"/>
            <w:tcBorders>
              <w:left w:val="nil"/>
              <w:right w:val="nil"/>
            </w:tcBorders>
            <w:shd w:val="clear" w:color="auto" w:fill="auto"/>
          </w:tcPr>
          <w:p w14:paraId="740902F9"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625D9659" w14:textId="77777777" w:rsidTr="00884BA4">
        <w:trPr>
          <w:trHeight w:val="554"/>
        </w:trPr>
        <w:tc>
          <w:tcPr>
            <w:tcW w:w="8522" w:type="dxa"/>
            <w:gridSpan w:val="5"/>
            <w:tcBorders>
              <w:bottom w:val="single" w:sz="4" w:space="0" w:color="auto"/>
            </w:tcBorders>
            <w:shd w:val="clear" w:color="auto" w:fill="E6E6E6"/>
          </w:tcPr>
          <w:p w14:paraId="345281B6"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b/>
                <w:szCs w:val="20"/>
              </w:rPr>
              <w:t>Subject Areas</w:t>
            </w:r>
            <w:r w:rsidRPr="002D2352">
              <w:rPr>
                <w:rFonts w:ascii="Times New Roman" w:eastAsia="Times New Roman" w:hAnsi="Times New Roman" w:cs="Times New Roman"/>
                <w:szCs w:val="20"/>
              </w:rPr>
              <w:t xml:space="preserve"> (choose all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100"/>
              <w:gridCol w:w="2865"/>
              <w:gridCol w:w="1281"/>
            </w:tblGrid>
            <w:tr w:rsidR="002D2352" w:rsidRPr="002D2352" w14:paraId="0F3C2C25" w14:textId="77777777" w:rsidTr="00884BA4">
              <w:tc>
                <w:tcPr>
                  <w:tcW w:w="3045" w:type="dxa"/>
                  <w:shd w:val="clear" w:color="auto" w:fill="auto"/>
                </w:tcPr>
                <w:p w14:paraId="5C46EFD8"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About the Council</w:t>
                  </w:r>
                </w:p>
              </w:tc>
              <w:tc>
                <w:tcPr>
                  <w:tcW w:w="1100" w:type="dxa"/>
                  <w:shd w:val="clear" w:color="auto" w:fill="auto"/>
                </w:tcPr>
                <w:p w14:paraId="286C0B4F"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X</w:t>
                  </w:r>
                </w:p>
              </w:tc>
              <w:tc>
                <w:tcPr>
                  <w:tcW w:w="2865" w:type="dxa"/>
                  <w:shd w:val="clear" w:color="auto" w:fill="auto"/>
                </w:tcPr>
                <w:p w14:paraId="53FAA75F"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Older people</w:t>
                  </w:r>
                </w:p>
              </w:tc>
              <w:tc>
                <w:tcPr>
                  <w:tcW w:w="1281" w:type="dxa"/>
                  <w:shd w:val="clear" w:color="auto" w:fill="auto"/>
                </w:tcPr>
                <w:p w14:paraId="51F3C0E7"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02FF891D" w14:textId="77777777" w:rsidTr="00884BA4">
              <w:tc>
                <w:tcPr>
                  <w:tcW w:w="3045" w:type="dxa"/>
                  <w:shd w:val="clear" w:color="auto" w:fill="auto"/>
                </w:tcPr>
                <w:p w14:paraId="12765332"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Births, Deaths, Marriages</w:t>
                  </w:r>
                </w:p>
              </w:tc>
              <w:tc>
                <w:tcPr>
                  <w:tcW w:w="1100" w:type="dxa"/>
                  <w:shd w:val="clear" w:color="auto" w:fill="auto"/>
                </w:tcPr>
                <w:p w14:paraId="60627124"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3B9B52F6"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Parking</w:t>
                  </w:r>
                </w:p>
              </w:tc>
              <w:tc>
                <w:tcPr>
                  <w:tcW w:w="1281" w:type="dxa"/>
                  <w:shd w:val="clear" w:color="auto" w:fill="auto"/>
                </w:tcPr>
                <w:p w14:paraId="50CA7BE3"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10CD680B" w14:textId="77777777" w:rsidTr="00884BA4">
              <w:tc>
                <w:tcPr>
                  <w:tcW w:w="3045" w:type="dxa"/>
                  <w:shd w:val="clear" w:color="auto" w:fill="auto"/>
                </w:tcPr>
                <w:p w14:paraId="203BC241"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Business</w:t>
                  </w:r>
                </w:p>
              </w:tc>
              <w:tc>
                <w:tcPr>
                  <w:tcW w:w="1100" w:type="dxa"/>
                  <w:shd w:val="clear" w:color="auto" w:fill="auto"/>
                </w:tcPr>
                <w:p w14:paraId="2F97EB3E"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722879C5"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Recycling and Waste</w:t>
                  </w:r>
                </w:p>
              </w:tc>
              <w:tc>
                <w:tcPr>
                  <w:tcW w:w="1281" w:type="dxa"/>
                  <w:shd w:val="clear" w:color="auto" w:fill="auto"/>
                </w:tcPr>
                <w:p w14:paraId="15D46903"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5442B6B1" w14:textId="77777777" w:rsidTr="00884BA4">
              <w:tc>
                <w:tcPr>
                  <w:tcW w:w="3045" w:type="dxa"/>
                  <w:shd w:val="clear" w:color="auto" w:fill="auto"/>
                </w:tcPr>
                <w:p w14:paraId="331D1A34"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Children and Families</w:t>
                  </w:r>
                </w:p>
              </w:tc>
              <w:tc>
                <w:tcPr>
                  <w:tcW w:w="1100" w:type="dxa"/>
                  <w:shd w:val="clear" w:color="auto" w:fill="auto"/>
                </w:tcPr>
                <w:p w14:paraId="7E831D2C"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07030A7D"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Roads</w:t>
                  </w:r>
                </w:p>
              </w:tc>
              <w:tc>
                <w:tcPr>
                  <w:tcW w:w="1281" w:type="dxa"/>
                  <w:shd w:val="clear" w:color="auto" w:fill="auto"/>
                </w:tcPr>
                <w:p w14:paraId="1AB6074C"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54E221A5" w14:textId="77777777" w:rsidTr="00884BA4">
              <w:tc>
                <w:tcPr>
                  <w:tcW w:w="3045" w:type="dxa"/>
                  <w:shd w:val="clear" w:color="auto" w:fill="auto"/>
                </w:tcPr>
                <w:p w14:paraId="1E67741A"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 xml:space="preserve">Countryside &amp; Environment        </w:t>
                  </w:r>
                </w:p>
              </w:tc>
              <w:tc>
                <w:tcPr>
                  <w:tcW w:w="1100" w:type="dxa"/>
                  <w:shd w:val="clear" w:color="auto" w:fill="auto"/>
                </w:tcPr>
                <w:p w14:paraId="01DDCE15"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3537BDCB"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Schools</w:t>
                  </w:r>
                </w:p>
              </w:tc>
              <w:tc>
                <w:tcPr>
                  <w:tcW w:w="1281" w:type="dxa"/>
                  <w:shd w:val="clear" w:color="auto" w:fill="auto"/>
                </w:tcPr>
                <w:p w14:paraId="3678D723"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151FF920" w14:textId="77777777" w:rsidTr="00884BA4">
              <w:tc>
                <w:tcPr>
                  <w:tcW w:w="3045" w:type="dxa"/>
                  <w:shd w:val="clear" w:color="auto" w:fill="auto"/>
                </w:tcPr>
                <w:p w14:paraId="02319F2C"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History and Heritage</w:t>
                  </w:r>
                </w:p>
              </w:tc>
              <w:tc>
                <w:tcPr>
                  <w:tcW w:w="1100" w:type="dxa"/>
                  <w:shd w:val="clear" w:color="auto" w:fill="auto"/>
                </w:tcPr>
                <w:p w14:paraId="44B4017F"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48AA4CEA"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Social Care</w:t>
                  </w:r>
                </w:p>
              </w:tc>
              <w:tc>
                <w:tcPr>
                  <w:tcW w:w="1281" w:type="dxa"/>
                  <w:shd w:val="clear" w:color="auto" w:fill="auto"/>
                </w:tcPr>
                <w:p w14:paraId="48558D71"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039C912F" w14:textId="77777777" w:rsidTr="00884BA4">
              <w:tc>
                <w:tcPr>
                  <w:tcW w:w="3045" w:type="dxa"/>
                  <w:shd w:val="clear" w:color="auto" w:fill="auto"/>
                </w:tcPr>
                <w:p w14:paraId="06A508A3"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Jobs</w:t>
                  </w:r>
                </w:p>
              </w:tc>
              <w:tc>
                <w:tcPr>
                  <w:tcW w:w="1100" w:type="dxa"/>
                  <w:shd w:val="clear" w:color="auto" w:fill="auto"/>
                </w:tcPr>
                <w:p w14:paraId="0448F7B0"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7E52BD53"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Staff</w:t>
                  </w:r>
                </w:p>
              </w:tc>
              <w:tc>
                <w:tcPr>
                  <w:tcW w:w="1281" w:type="dxa"/>
                  <w:shd w:val="clear" w:color="auto" w:fill="auto"/>
                </w:tcPr>
                <w:p w14:paraId="473627AA"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2A445573" w14:textId="77777777" w:rsidTr="00884BA4">
              <w:tc>
                <w:tcPr>
                  <w:tcW w:w="3045" w:type="dxa"/>
                  <w:shd w:val="clear" w:color="auto" w:fill="auto"/>
                </w:tcPr>
                <w:p w14:paraId="287A652F"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Leisure</w:t>
                  </w:r>
                </w:p>
              </w:tc>
              <w:tc>
                <w:tcPr>
                  <w:tcW w:w="1100" w:type="dxa"/>
                  <w:shd w:val="clear" w:color="auto" w:fill="auto"/>
                </w:tcPr>
                <w:p w14:paraId="7A887CE2"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612BEEDF"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Travel and Transport</w:t>
                  </w:r>
                </w:p>
              </w:tc>
              <w:tc>
                <w:tcPr>
                  <w:tcW w:w="1281" w:type="dxa"/>
                  <w:shd w:val="clear" w:color="auto" w:fill="auto"/>
                </w:tcPr>
                <w:p w14:paraId="6D77DC1E"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74D93AB8" w14:textId="77777777" w:rsidTr="00884BA4">
              <w:tc>
                <w:tcPr>
                  <w:tcW w:w="3045" w:type="dxa"/>
                  <w:shd w:val="clear" w:color="auto" w:fill="auto"/>
                </w:tcPr>
                <w:p w14:paraId="1A8EDBA5" w14:textId="77777777"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libraries</w:t>
                  </w:r>
                </w:p>
              </w:tc>
              <w:tc>
                <w:tcPr>
                  <w:tcW w:w="1100" w:type="dxa"/>
                  <w:shd w:val="clear" w:color="auto" w:fill="auto"/>
                </w:tcPr>
                <w:p w14:paraId="758D0BA0"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2865" w:type="dxa"/>
                  <w:shd w:val="clear" w:color="auto" w:fill="auto"/>
                </w:tcPr>
                <w:p w14:paraId="3F03EC4A"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c>
                <w:tcPr>
                  <w:tcW w:w="1281" w:type="dxa"/>
                  <w:shd w:val="clear" w:color="auto" w:fill="auto"/>
                </w:tcPr>
                <w:p w14:paraId="148CB3C5"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bl>
          <w:p w14:paraId="4CAEA0DA" w14:textId="77777777" w:rsidR="002D2352" w:rsidRPr="002D2352" w:rsidRDefault="002D2352" w:rsidP="002D2352">
            <w:pPr>
              <w:spacing w:after="0" w:line="300" w:lineRule="atLeast"/>
              <w:jc w:val="both"/>
              <w:rPr>
                <w:rFonts w:ascii="Times New Roman" w:eastAsia="Times New Roman" w:hAnsi="Times New Roman" w:cs="Times New Roman"/>
                <w:bCs/>
                <w:szCs w:val="20"/>
              </w:rPr>
            </w:pPr>
          </w:p>
        </w:tc>
      </w:tr>
      <w:tr w:rsidR="002D2352" w:rsidRPr="002D2352" w14:paraId="56EE1508" w14:textId="77777777" w:rsidTr="00884BA4">
        <w:tc>
          <w:tcPr>
            <w:tcW w:w="4247" w:type="dxa"/>
            <w:gridSpan w:val="3"/>
            <w:tcBorders>
              <w:left w:val="nil"/>
              <w:right w:val="nil"/>
            </w:tcBorders>
            <w:shd w:val="clear" w:color="auto" w:fill="auto"/>
          </w:tcPr>
          <w:p w14:paraId="3B5DB54A"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4275" w:type="dxa"/>
            <w:gridSpan w:val="2"/>
            <w:tcBorders>
              <w:left w:val="nil"/>
              <w:right w:val="nil"/>
            </w:tcBorders>
            <w:shd w:val="clear" w:color="auto" w:fill="auto"/>
          </w:tcPr>
          <w:p w14:paraId="1500B360"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0AD957DB" w14:textId="77777777" w:rsidTr="00884BA4">
        <w:trPr>
          <w:trHeight w:val="360"/>
        </w:trPr>
        <w:tc>
          <w:tcPr>
            <w:tcW w:w="4247" w:type="dxa"/>
            <w:gridSpan w:val="3"/>
            <w:shd w:val="clear" w:color="auto" w:fill="E6E6E6"/>
          </w:tcPr>
          <w:p w14:paraId="06A9C5BA"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 xml:space="preserve">Author:  </w:t>
            </w:r>
            <w:r w:rsidRPr="002D2352">
              <w:rPr>
                <w:rFonts w:ascii="Times New Roman" w:eastAsia="Times New Roman" w:hAnsi="Times New Roman" w:cs="Times New Roman"/>
                <w:szCs w:val="20"/>
              </w:rPr>
              <w:t>Information Manager</w:t>
            </w:r>
          </w:p>
        </w:tc>
        <w:tc>
          <w:tcPr>
            <w:tcW w:w="4275" w:type="dxa"/>
            <w:gridSpan w:val="2"/>
            <w:shd w:val="clear" w:color="auto" w:fill="E6E6E6"/>
          </w:tcPr>
          <w:p w14:paraId="3A1320AD"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 xml:space="preserve">Responsible team: </w:t>
            </w:r>
            <w:r w:rsidRPr="002D2352">
              <w:rPr>
                <w:rFonts w:ascii="Times New Roman" w:eastAsia="Times New Roman" w:hAnsi="Times New Roman" w:cs="Times New Roman"/>
                <w:szCs w:val="20"/>
              </w:rPr>
              <w:t>Information</w:t>
            </w:r>
          </w:p>
        </w:tc>
      </w:tr>
      <w:tr w:rsidR="002D2352" w:rsidRPr="002D2352" w14:paraId="3AAFB4E4" w14:textId="77777777" w:rsidTr="00884BA4">
        <w:trPr>
          <w:trHeight w:val="465"/>
        </w:trPr>
        <w:tc>
          <w:tcPr>
            <w:tcW w:w="4247" w:type="dxa"/>
            <w:gridSpan w:val="3"/>
            <w:tcBorders>
              <w:bottom w:val="single" w:sz="4" w:space="0" w:color="auto"/>
            </w:tcBorders>
            <w:shd w:val="clear" w:color="auto" w:fill="E6E6E6"/>
          </w:tcPr>
          <w:p w14:paraId="4F0C1937" w14:textId="77777777" w:rsidR="002D2352" w:rsidRPr="002D2352" w:rsidRDefault="002D2352" w:rsidP="002D2352">
            <w:pPr>
              <w:spacing w:after="0" w:line="300" w:lineRule="atLeast"/>
              <w:jc w:val="both"/>
              <w:rPr>
                <w:rFonts w:ascii="Times New Roman" w:eastAsia="Times New Roman" w:hAnsi="Times New Roman" w:cs="Times New Roman"/>
                <w:b/>
                <w:bCs/>
                <w:szCs w:val="20"/>
              </w:rPr>
            </w:pPr>
            <w:r w:rsidRPr="002D2352">
              <w:rPr>
                <w:rFonts w:ascii="Times New Roman" w:eastAsia="Times New Roman" w:hAnsi="Times New Roman" w:cs="Times New Roman"/>
                <w:b/>
                <w:bCs/>
                <w:szCs w:val="20"/>
              </w:rPr>
              <w:t xml:space="preserve">Contact number: </w:t>
            </w:r>
            <w:r w:rsidRPr="002D2352">
              <w:rPr>
                <w:rFonts w:ascii="Times New Roman" w:eastAsia="Times New Roman" w:hAnsi="Times New Roman" w:cs="Times New Roman"/>
                <w:szCs w:val="20"/>
              </w:rPr>
              <w:t>0115 9774173</w:t>
            </w:r>
          </w:p>
        </w:tc>
        <w:tc>
          <w:tcPr>
            <w:tcW w:w="4275" w:type="dxa"/>
            <w:gridSpan w:val="2"/>
            <w:tcBorders>
              <w:bottom w:val="single" w:sz="4" w:space="0" w:color="auto"/>
            </w:tcBorders>
            <w:shd w:val="clear" w:color="auto" w:fill="E6E6E6"/>
          </w:tcPr>
          <w:p w14:paraId="1E3036B6"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 xml:space="preserve">Contact email: </w:t>
            </w:r>
            <w:r w:rsidRPr="002D2352">
              <w:rPr>
                <w:rFonts w:ascii="Times New Roman" w:eastAsia="Times New Roman" w:hAnsi="Times New Roman" w:cs="Times New Roman"/>
                <w:szCs w:val="20"/>
              </w:rPr>
              <w:t>william.smith@nottscc.gov.uk</w:t>
            </w:r>
          </w:p>
        </w:tc>
      </w:tr>
      <w:tr w:rsidR="002D2352" w:rsidRPr="002D2352" w14:paraId="45E070DA" w14:textId="77777777" w:rsidTr="00884BA4">
        <w:tc>
          <w:tcPr>
            <w:tcW w:w="4247" w:type="dxa"/>
            <w:gridSpan w:val="3"/>
            <w:tcBorders>
              <w:left w:val="nil"/>
              <w:right w:val="nil"/>
            </w:tcBorders>
            <w:shd w:val="clear" w:color="auto" w:fill="auto"/>
          </w:tcPr>
          <w:p w14:paraId="01BB6154"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c>
          <w:tcPr>
            <w:tcW w:w="4275" w:type="dxa"/>
            <w:gridSpan w:val="2"/>
            <w:tcBorders>
              <w:left w:val="nil"/>
              <w:right w:val="nil"/>
            </w:tcBorders>
            <w:shd w:val="clear" w:color="auto" w:fill="auto"/>
          </w:tcPr>
          <w:p w14:paraId="0C918678" w14:textId="77777777" w:rsidR="002D2352" w:rsidRPr="002D2352" w:rsidRDefault="002D2352" w:rsidP="002D2352">
            <w:pPr>
              <w:spacing w:after="0" w:line="300" w:lineRule="atLeast"/>
              <w:jc w:val="both"/>
              <w:rPr>
                <w:rFonts w:ascii="Times New Roman" w:eastAsia="Times New Roman" w:hAnsi="Times New Roman" w:cs="Times New Roman"/>
                <w:szCs w:val="20"/>
              </w:rPr>
            </w:pPr>
          </w:p>
        </w:tc>
      </w:tr>
      <w:tr w:rsidR="002D2352" w:rsidRPr="002D2352" w14:paraId="5E31396D" w14:textId="77777777" w:rsidTr="00884BA4">
        <w:trPr>
          <w:trHeight w:val="330"/>
        </w:trPr>
        <w:tc>
          <w:tcPr>
            <w:tcW w:w="8522" w:type="dxa"/>
            <w:gridSpan w:val="5"/>
            <w:shd w:val="clear" w:color="auto" w:fill="E6E6E6"/>
          </w:tcPr>
          <w:p w14:paraId="4E564210"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 xml:space="preserve">Please include any supporting documents </w:t>
            </w:r>
          </w:p>
        </w:tc>
      </w:tr>
      <w:tr w:rsidR="002D2352" w:rsidRPr="002D2352" w14:paraId="1DD0DE53" w14:textId="77777777" w:rsidTr="00884BA4">
        <w:trPr>
          <w:trHeight w:val="360"/>
        </w:trPr>
        <w:tc>
          <w:tcPr>
            <w:tcW w:w="8522" w:type="dxa"/>
            <w:gridSpan w:val="5"/>
            <w:shd w:val="clear" w:color="auto" w:fill="E6E6E6"/>
          </w:tcPr>
          <w:p w14:paraId="2174EDBB" w14:textId="77777777" w:rsidR="002D2352" w:rsidRPr="002D2352" w:rsidRDefault="002D2352" w:rsidP="002D235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 xml:space="preserve">1. </w:t>
            </w:r>
            <w:hyperlink r:id="rId13" w:history="1">
              <w:r w:rsidRPr="002D2352">
                <w:rPr>
                  <w:rFonts w:ascii="Times New Roman" w:eastAsia="Times New Roman" w:hAnsi="Times New Roman" w:cs="Times New Roman"/>
                  <w:color w:val="0000FF"/>
                  <w:szCs w:val="20"/>
                  <w:u w:val="single"/>
                </w:rPr>
                <w:t>Data Protection Act 1998</w:t>
              </w:r>
            </w:hyperlink>
          </w:p>
        </w:tc>
      </w:tr>
      <w:tr w:rsidR="002D2352" w:rsidRPr="002D2352" w14:paraId="71340AEE" w14:textId="77777777" w:rsidTr="00884BA4">
        <w:trPr>
          <w:trHeight w:val="345"/>
        </w:trPr>
        <w:tc>
          <w:tcPr>
            <w:tcW w:w="8522" w:type="dxa"/>
            <w:gridSpan w:val="5"/>
            <w:shd w:val="clear" w:color="auto" w:fill="E6E6E6"/>
          </w:tcPr>
          <w:p w14:paraId="70EDE340" w14:textId="25196C7D" w:rsidR="002D2352" w:rsidRPr="002D2352" w:rsidRDefault="002D2352" w:rsidP="002D2352">
            <w:pPr>
              <w:spacing w:after="0" w:line="300" w:lineRule="atLeast"/>
              <w:jc w:val="both"/>
              <w:rPr>
                <w:rFonts w:ascii="Times New Roman" w:eastAsia="Times New Roman" w:hAnsi="Times New Roman" w:cs="Times New Roman"/>
                <w:bCs/>
                <w:szCs w:val="20"/>
              </w:rPr>
            </w:pPr>
            <w:r w:rsidRPr="002D2352">
              <w:rPr>
                <w:rFonts w:ascii="Times New Roman" w:eastAsia="Times New Roman" w:hAnsi="Times New Roman" w:cs="Times New Roman"/>
                <w:bCs/>
                <w:szCs w:val="20"/>
              </w:rPr>
              <w:t xml:space="preserve">2. </w:t>
            </w:r>
            <w:hyperlink r:id="rId14" w:history="1">
              <w:r>
                <w:rPr>
                  <w:rFonts w:ascii="Times New Roman" w:eastAsia="Times New Roman" w:hAnsi="Times New Roman" w:cs="Times New Roman"/>
                  <w:bCs/>
                  <w:color w:val="0000FF"/>
                  <w:szCs w:val="20"/>
                  <w:u w:val="single"/>
                </w:rPr>
                <w:t>Data Protection policy</w:t>
              </w:r>
            </w:hyperlink>
          </w:p>
        </w:tc>
      </w:tr>
      <w:tr w:rsidR="002D2352" w:rsidRPr="002D2352" w14:paraId="76184A47" w14:textId="77777777" w:rsidTr="00884BA4">
        <w:trPr>
          <w:trHeight w:val="357"/>
        </w:trPr>
        <w:tc>
          <w:tcPr>
            <w:tcW w:w="3165" w:type="dxa"/>
            <w:gridSpan w:val="2"/>
            <w:shd w:val="clear" w:color="auto" w:fill="E6E6E6"/>
          </w:tcPr>
          <w:p w14:paraId="74942FE3"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Review date</w:t>
            </w:r>
          </w:p>
        </w:tc>
        <w:tc>
          <w:tcPr>
            <w:tcW w:w="5357" w:type="dxa"/>
            <w:gridSpan w:val="3"/>
            <w:shd w:val="clear" w:color="auto" w:fill="E6E6E6"/>
          </w:tcPr>
          <w:p w14:paraId="73FE192A" w14:textId="77777777" w:rsidR="002D2352" w:rsidRPr="002D2352" w:rsidRDefault="002D2352" w:rsidP="002D2352">
            <w:pPr>
              <w:spacing w:after="0" w:line="300" w:lineRule="atLeast"/>
              <w:jc w:val="both"/>
              <w:rPr>
                <w:rFonts w:ascii="Times New Roman" w:eastAsia="Times New Roman" w:hAnsi="Times New Roman" w:cs="Times New Roman"/>
                <w:b/>
                <w:szCs w:val="20"/>
              </w:rPr>
            </w:pPr>
            <w:r w:rsidRPr="002D2352">
              <w:rPr>
                <w:rFonts w:ascii="Times New Roman" w:eastAsia="Times New Roman" w:hAnsi="Times New Roman" w:cs="Times New Roman"/>
                <w:b/>
                <w:szCs w:val="20"/>
              </w:rPr>
              <w:t xml:space="preserve">Amendments </w:t>
            </w:r>
          </w:p>
        </w:tc>
      </w:tr>
      <w:tr w:rsidR="002D2352" w:rsidRPr="002D2352" w14:paraId="5751DBA5" w14:textId="77777777" w:rsidTr="00884BA4">
        <w:trPr>
          <w:trHeight w:val="357"/>
        </w:trPr>
        <w:tc>
          <w:tcPr>
            <w:tcW w:w="3165" w:type="dxa"/>
            <w:gridSpan w:val="2"/>
            <w:tcBorders>
              <w:bottom w:val="single" w:sz="4" w:space="0" w:color="auto"/>
            </w:tcBorders>
            <w:shd w:val="clear" w:color="auto" w:fill="E6E6E6"/>
          </w:tcPr>
          <w:p w14:paraId="1CE686E6" w14:textId="45FDB0F3" w:rsidR="002D2352" w:rsidRPr="002D2352" w:rsidRDefault="00113862" w:rsidP="002D2352">
            <w:pPr>
              <w:spacing w:after="0" w:line="300" w:lineRule="atLeast"/>
              <w:jc w:val="both"/>
              <w:rPr>
                <w:rFonts w:ascii="Times New Roman" w:eastAsia="Times New Roman" w:hAnsi="Times New Roman" w:cs="Times New Roman"/>
                <w:szCs w:val="20"/>
              </w:rPr>
            </w:pPr>
            <w:r>
              <w:rPr>
                <w:rFonts w:ascii="Times New Roman" w:eastAsia="Times New Roman" w:hAnsi="Times New Roman" w:cs="Times New Roman"/>
                <w:szCs w:val="20"/>
              </w:rPr>
              <w:t>18</w:t>
            </w:r>
            <w:r w:rsidRPr="00113862">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September 2013</w:t>
            </w:r>
          </w:p>
        </w:tc>
        <w:tc>
          <w:tcPr>
            <w:tcW w:w="5357" w:type="dxa"/>
            <w:gridSpan w:val="3"/>
            <w:shd w:val="clear" w:color="auto" w:fill="E6E6E6"/>
          </w:tcPr>
          <w:p w14:paraId="52D1D7D5" w14:textId="5D3D3E95" w:rsidR="002D2352" w:rsidRPr="002D2352" w:rsidRDefault="00113862" w:rsidP="002D2352">
            <w:pPr>
              <w:spacing w:after="0" w:line="300" w:lineRule="atLeast"/>
              <w:jc w:val="both"/>
              <w:rPr>
                <w:rFonts w:ascii="Times New Roman" w:eastAsia="Times New Roman" w:hAnsi="Times New Roman" w:cs="Times New Roman"/>
                <w:szCs w:val="20"/>
              </w:rPr>
            </w:pPr>
            <w:r>
              <w:rPr>
                <w:rFonts w:ascii="Times New Roman" w:eastAsia="Times New Roman" w:hAnsi="Times New Roman" w:cs="Times New Roman"/>
                <w:szCs w:val="20"/>
              </w:rPr>
              <w:t>1</w:t>
            </w:r>
            <w:r w:rsidRPr="00113862">
              <w:rPr>
                <w:rFonts w:ascii="Times New Roman" w:eastAsia="Times New Roman" w:hAnsi="Times New Roman" w:cs="Times New Roman"/>
                <w:szCs w:val="20"/>
                <w:vertAlign w:val="superscript"/>
              </w:rPr>
              <w:t>st</w:t>
            </w:r>
            <w:r>
              <w:rPr>
                <w:rFonts w:ascii="Times New Roman" w:eastAsia="Times New Roman" w:hAnsi="Times New Roman" w:cs="Times New Roman"/>
                <w:szCs w:val="20"/>
              </w:rPr>
              <w:t xml:space="preserve"> version approved by Policy </w:t>
            </w:r>
            <w:r w:rsidR="00B80B4D">
              <w:rPr>
                <w:rFonts w:ascii="Times New Roman" w:eastAsia="Times New Roman" w:hAnsi="Times New Roman" w:cs="Times New Roman"/>
                <w:szCs w:val="20"/>
              </w:rPr>
              <w:t>committee</w:t>
            </w:r>
          </w:p>
        </w:tc>
      </w:tr>
      <w:tr w:rsidR="00113862" w:rsidRPr="002D2352" w14:paraId="26EB4054" w14:textId="77777777" w:rsidTr="00E11379">
        <w:trPr>
          <w:trHeight w:val="357"/>
        </w:trPr>
        <w:tc>
          <w:tcPr>
            <w:tcW w:w="3165" w:type="dxa"/>
            <w:gridSpan w:val="2"/>
            <w:tcBorders>
              <w:bottom w:val="single" w:sz="4" w:space="0" w:color="auto"/>
            </w:tcBorders>
            <w:shd w:val="clear" w:color="auto" w:fill="E6E6E6"/>
          </w:tcPr>
          <w:p w14:paraId="7A643DE7" w14:textId="339B72E8" w:rsidR="00113862" w:rsidRPr="002D2352" w:rsidRDefault="00113862" w:rsidP="0011386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20</w:t>
            </w:r>
            <w:r w:rsidRPr="002D2352">
              <w:rPr>
                <w:rFonts w:ascii="Times New Roman" w:eastAsia="Times New Roman" w:hAnsi="Times New Roman" w:cs="Times New Roman"/>
                <w:szCs w:val="20"/>
                <w:vertAlign w:val="superscript"/>
              </w:rPr>
              <w:t>th</w:t>
            </w:r>
            <w:r w:rsidRPr="002D2352">
              <w:rPr>
                <w:rFonts w:ascii="Times New Roman" w:eastAsia="Times New Roman" w:hAnsi="Times New Roman" w:cs="Times New Roman"/>
                <w:szCs w:val="20"/>
              </w:rPr>
              <w:t xml:space="preserve"> April 2016</w:t>
            </w:r>
          </w:p>
        </w:tc>
        <w:tc>
          <w:tcPr>
            <w:tcW w:w="5357" w:type="dxa"/>
            <w:gridSpan w:val="3"/>
            <w:shd w:val="clear" w:color="auto" w:fill="E6E6E6"/>
          </w:tcPr>
          <w:p w14:paraId="72A7B582" w14:textId="6D93F05E" w:rsidR="00113862" w:rsidRPr="002D2352" w:rsidRDefault="00113862" w:rsidP="00113862">
            <w:pPr>
              <w:spacing w:after="0" w:line="300" w:lineRule="atLeast"/>
              <w:jc w:val="both"/>
              <w:rPr>
                <w:rFonts w:ascii="Times New Roman" w:eastAsia="Times New Roman" w:hAnsi="Times New Roman" w:cs="Times New Roman"/>
                <w:szCs w:val="20"/>
              </w:rPr>
            </w:pPr>
            <w:r w:rsidRPr="002D2352">
              <w:rPr>
                <w:rFonts w:ascii="Times New Roman" w:eastAsia="Times New Roman" w:hAnsi="Times New Roman" w:cs="Times New Roman"/>
                <w:szCs w:val="20"/>
              </w:rPr>
              <w:t>Policy updated to reflect new reporting requirements and includes new sections on information sharing, privacy notices and training.</w:t>
            </w:r>
          </w:p>
        </w:tc>
      </w:tr>
    </w:tbl>
    <w:p w14:paraId="4246595C" w14:textId="77777777" w:rsidR="00AB767C" w:rsidRPr="00024392" w:rsidRDefault="00AB767C" w:rsidP="00AB767C">
      <w:pPr>
        <w:keepNext/>
        <w:spacing w:after="240"/>
        <w:outlineLvl w:val="0"/>
        <w:rPr>
          <w:rFonts w:ascii="Arial" w:hAnsi="Arial" w:cs="Arial"/>
          <w:b/>
          <w:bCs/>
          <w:sz w:val="24"/>
          <w:szCs w:val="24"/>
        </w:rPr>
      </w:pPr>
      <w:r w:rsidRPr="00024392">
        <w:rPr>
          <w:rFonts w:ascii="Arial" w:hAnsi="Arial" w:cs="Arial"/>
          <w:b/>
          <w:bCs/>
          <w:sz w:val="24"/>
          <w:szCs w:val="24"/>
        </w:rPr>
        <w:lastRenderedPageBreak/>
        <w:t xml:space="preserve">Information Management and Data Quality Policy </w:t>
      </w:r>
    </w:p>
    <w:p w14:paraId="1FDEFDCF" w14:textId="77777777" w:rsidR="00AB767C" w:rsidRPr="00024392" w:rsidRDefault="00AB767C" w:rsidP="0044096D">
      <w:pPr>
        <w:pStyle w:val="Heading1"/>
        <w:numPr>
          <w:ilvl w:val="0"/>
          <w:numId w:val="0"/>
        </w:numPr>
        <w:ind w:left="720" w:hanging="720"/>
        <w:jc w:val="left"/>
        <w:rPr>
          <w:rFonts w:cs="Arial"/>
        </w:rPr>
      </w:pPr>
      <w:r w:rsidRPr="00024392">
        <w:rPr>
          <w:rFonts w:cs="Arial"/>
        </w:rPr>
        <w:t xml:space="preserve">Context </w:t>
      </w:r>
    </w:p>
    <w:p w14:paraId="48BBC172" w14:textId="01FD9189" w:rsidR="00AB767C" w:rsidRPr="00024392" w:rsidRDefault="00AB767C" w:rsidP="00AB767C">
      <w:pPr>
        <w:pStyle w:val="ListParagraph"/>
        <w:numPr>
          <w:ilvl w:val="0"/>
          <w:numId w:val="4"/>
        </w:numPr>
        <w:ind w:hanging="720"/>
        <w:rPr>
          <w:rFonts w:eastAsiaTheme="minorHAnsi" w:cs="Arial"/>
          <w:lang w:eastAsia="en-US"/>
        </w:rPr>
      </w:pPr>
      <w:r w:rsidRPr="00024392">
        <w:rPr>
          <w:rFonts w:cs="Arial"/>
        </w:rPr>
        <w:t xml:space="preserve">The overall purpose of this policy is to maximise the effectiveness of Nottinghamshire County Council by managing data, information and records as strategic corporate assets </w:t>
      </w:r>
      <w:r w:rsidR="008C4996" w:rsidRPr="00024392">
        <w:rPr>
          <w:rFonts w:cs="Arial"/>
        </w:rPr>
        <w:t xml:space="preserve">in support of our values, priorities and plans </w:t>
      </w:r>
      <w:r w:rsidRPr="00024392">
        <w:rPr>
          <w:rFonts w:cs="Arial"/>
        </w:rPr>
        <w:t xml:space="preserve">and ensure compliance with relevant legislation.  </w:t>
      </w:r>
    </w:p>
    <w:p w14:paraId="65F904AF" w14:textId="77777777" w:rsidR="00AB767C" w:rsidRPr="00024392" w:rsidRDefault="00AB767C" w:rsidP="00AB767C">
      <w:pPr>
        <w:spacing w:after="0" w:line="240" w:lineRule="auto"/>
        <w:rPr>
          <w:rFonts w:ascii="Arial" w:hAnsi="Arial" w:cs="Arial"/>
          <w:sz w:val="24"/>
          <w:szCs w:val="24"/>
        </w:rPr>
      </w:pPr>
    </w:p>
    <w:p w14:paraId="1D359859" w14:textId="77777777" w:rsidR="00AB767C" w:rsidRPr="00024392" w:rsidRDefault="00AB767C" w:rsidP="00AB767C">
      <w:pPr>
        <w:pStyle w:val="ListParagraph"/>
        <w:numPr>
          <w:ilvl w:val="0"/>
          <w:numId w:val="4"/>
        </w:numPr>
        <w:ind w:hanging="720"/>
        <w:rPr>
          <w:rFonts w:cs="Arial"/>
        </w:rPr>
      </w:pPr>
      <w:r w:rsidRPr="00024392">
        <w:rPr>
          <w:rFonts w:cs="Arial"/>
        </w:rPr>
        <w:t xml:space="preserve">Effective data and information management (IM) makes service delivery more efficient, and supports transparency, collaboration across departments, and informed decision making in County Council operations. It also preserves historically valuable information and records. </w:t>
      </w:r>
    </w:p>
    <w:p w14:paraId="2C2261F4" w14:textId="77777777" w:rsidR="00AB767C" w:rsidRPr="00024392" w:rsidRDefault="00AB767C" w:rsidP="00AB767C">
      <w:pPr>
        <w:spacing w:after="0" w:line="240" w:lineRule="auto"/>
        <w:rPr>
          <w:rFonts w:ascii="Arial" w:hAnsi="Arial" w:cs="Arial"/>
          <w:sz w:val="24"/>
          <w:szCs w:val="24"/>
        </w:rPr>
      </w:pPr>
    </w:p>
    <w:p w14:paraId="3E149C64" w14:textId="5DF4E473" w:rsidR="00AB767C" w:rsidRPr="00024392" w:rsidRDefault="00AB767C" w:rsidP="00AB767C">
      <w:pPr>
        <w:pStyle w:val="ListParagraph"/>
        <w:numPr>
          <w:ilvl w:val="0"/>
          <w:numId w:val="4"/>
        </w:numPr>
        <w:ind w:hanging="720"/>
        <w:rPr>
          <w:rFonts w:cs="Arial"/>
        </w:rPr>
      </w:pPr>
      <w:r w:rsidRPr="00024392">
        <w:rPr>
          <w:rFonts w:cs="Arial"/>
        </w:rPr>
        <w:t>The introduction of standardised I</w:t>
      </w:r>
      <w:r w:rsidR="00207105" w:rsidRPr="00024392">
        <w:rPr>
          <w:rFonts w:cs="Arial"/>
        </w:rPr>
        <w:t xml:space="preserve">nformation </w:t>
      </w:r>
      <w:r w:rsidRPr="00024392">
        <w:rPr>
          <w:rFonts w:cs="Arial"/>
        </w:rPr>
        <w:t>M</w:t>
      </w:r>
      <w:r w:rsidR="00207105" w:rsidRPr="00024392">
        <w:rPr>
          <w:rFonts w:cs="Arial"/>
        </w:rPr>
        <w:t>anagement</w:t>
      </w:r>
      <w:r w:rsidRPr="00024392">
        <w:rPr>
          <w:rFonts w:cs="Arial"/>
        </w:rPr>
        <w:t xml:space="preserve"> systems and data quality will enable the County Council to deliver reductions in bureaucracy and raise the performance of all key business processes.  It will also help to keep the information that we hold safe and secure.</w:t>
      </w:r>
    </w:p>
    <w:p w14:paraId="37C07E7F" w14:textId="77777777" w:rsidR="00AB767C" w:rsidRPr="00024392" w:rsidRDefault="00AB767C" w:rsidP="00AB767C">
      <w:pPr>
        <w:spacing w:after="0" w:line="240" w:lineRule="auto"/>
        <w:rPr>
          <w:rFonts w:ascii="Arial" w:hAnsi="Arial" w:cs="Arial"/>
          <w:b/>
          <w:sz w:val="24"/>
          <w:szCs w:val="24"/>
        </w:rPr>
      </w:pPr>
    </w:p>
    <w:p w14:paraId="6EC1A3A1" w14:textId="77777777" w:rsidR="00AB767C" w:rsidRPr="00024392" w:rsidRDefault="00AB767C" w:rsidP="00FC6DBA">
      <w:pPr>
        <w:pStyle w:val="Heading1"/>
        <w:numPr>
          <w:ilvl w:val="0"/>
          <w:numId w:val="0"/>
        </w:numPr>
        <w:ind w:left="720" w:hanging="720"/>
        <w:jc w:val="left"/>
        <w:rPr>
          <w:rFonts w:cs="Arial"/>
        </w:rPr>
      </w:pPr>
      <w:r w:rsidRPr="00024392">
        <w:rPr>
          <w:rFonts w:cs="Arial"/>
        </w:rPr>
        <w:t xml:space="preserve">Scope of this policy </w:t>
      </w:r>
    </w:p>
    <w:p w14:paraId="15AF3AFF" w14:textId="77777777" w:rsidR="00AB767C" w:rsidRPr="00024392" w:rsidRDefault="00AB767C" w:rsidP="00AB767C">
      <w:pPr>
        <w:pStyle w:val="ListParagraph"/>
        <w:numPr>
          <w:ilvl w:val="0"/>
          <w:numId w:val="4"/>
        </w:numPr>
        <w:ind w:hanging="720"/>
        <w:rPr>
          <w:rFonts w:cs="Arial"/>
        </w:rPr>
      </w:pPr>
      <w:r w:rsidRPr="00024392">
        <w:rPr>
          <w:rFonts w:cs="Arial"/>
        </w:rPr>
        <w:t>Data, information and records are corporate resources owned by the County Council. All data, information, documents and records must be managed in accordance with this policy and associated documents.</w:t>
      </w:r>
    </w:p>
    <w:p w14:paraId="7E770480" w14:textId="77777777" w:rsidR="00AB767C" w:rsidRPr="00024392" w:rsidRDefault="00AB767C" w:rsidP="00AB767C">
      <w:pPr>
        <w:spacing w:after="0" w:line="240" w:lineRule="auto"/>
        <w:rPr>
          <w:rFonts w:ascii="Arial" w:hAnsi="Arial" w:cs="Arial"/>
          <w:color w:val="000000"/>
          <w:sz w:val="24"/>
          <w:szCs w:val="24"/>
        </w:rPr>
      </w:pPr>
    </w:p>
    <w:p w14:paraId="36F4A7B9" w14:textId="4DCC96FC" w:rsidR="00AB767C" w:rsidRPr="00024392" w:rsidRDefault="00AB767C" w:rsidP="00AB767C">
      <w:pPr>
        <w:pStyle w:val="ListParagraph"/>
        <w:numPr>
          <w:ilvl w:val="0"/>
          <w:numId w:val="4"/>
        </w:numPr>
        <w:ind w:hanging="720"/>
        <w:rPr>
          <w:rFonts w:cs="Arial"/>
        </w:rPr>
      </w:pPr>
      <w:r w:rsidRPr="00024392">
        <w:rPr>
          <w:rFonts w:cs="Arial"/>
        </w:rPr>
        <w:t xml:space="preserve">This policy applies to all data, information and records held by the County Council, regardless of format. This includes documents and records in electronic or digital form as well </w:t>
      </w:r>
      <w:r w:rsidR="00A923FA">
        <w:rPr>
          <w:rFonts w:cs="Arial"/>
        </w:rPr>
        <w:t xml:space="preserve">as </w:t>
      </w:r>
      <w:r w:rsidRPr="00024392">
        <w:rPr>
          <w:rFonts w:cs="Arial"/>
        </w:rPr>
        <w:t>physical form (hardcopy).</w:t>
      </w:r>
    </w:p>
    <w:p w14:paraId="62D33C8C" w14:textId="77777777" w:rsidR="00AB767C" w:rsidRPr="00024392" w:rsidRDefault="00AB767C" w:rsidP="00AB767C">
      <w:pPr>
        <w:spacing w:after="0" w:line="240" w:lineRule="auto"/>
        <w:rPr>
          <w:rFonts w:ascii="Arial" w:hAnsi="Arial" w:cs="Arial"/>
          <w:sz w:val="24"/>
          <w:szCs w:val="24"/>
        </w:rPr>
      </w:pPr>
    </w:p>
    <w:p w14:paraId="5CC6A69E" w14:textId="5513F94F" w:rsidR="00AB767C" w:rsidRPr="00024392" w:rsidRDefault="00AB767C" w:rsidP="00AB767C">
      <w:pPr>
        <w:pStyle w:val="ListParagraph"/>
        <w:numPr>
          <w:ilvl w:val="0"/>
          <w:numId w:val="4"/>
        </w:numPr>
        <w:ind w:hanging="720"/>
        <w:rPr>
          <w:rFonts w:cs="Arial"/>
        </w:rPr>
      </w:pPr>
      <w:r w:rsidRPr="00024392">
        <w:rPr>
          <w:rFonts w:cs="Arial"/>
        </w:rPr>
        <w:t>This policy applies to all elected members</w:t>
      </w:r>
      <w:r w:rsidR="00A922C3" w:rsidRPr="00024392">
        <w:rPr>
          <w:rFonts w:cs="Arial"/>
        </w:rPr>
        <w:t>,</w:t>
      </w:r>
      <w:r w:rsidRPr="00024392">
        <w:rPr>
          <w:rFonts w:cs="Arial"/>
        </w:rPr>
        <w:t xml:space="preserve"> officers and through commissioning and agreements, partners, volunteers, contractors and consultants.</w:t>
      </w:r>
    </w:p>
    <w:p w14:paraId="4BF2DA7B" w14:textId="57A42F58" w:rsidR="00AB767C" w:rsidRPr="00024392" w:rsidRDefault="00AB767C" w:rsidP="00AB767C">
      <w:pPr>
        <w:spacing w:after="0" w:line="240" w:lineRule="auto"/>
        <w:rPr>
          <w:rFonts w:ascii="Arial" w:hAnsi="Arial" w:cs="Arial"/>
          <w:i/>
          <w:color w:val="333333"/>
          <w:sz w:val="24"/>
          <w:szCs w:val="24"/>
        </w:rPr>
      </w:pPr>
    </w:p>
    <w:p w14:paraId="3EB48DC8" w14:textId="77777777" w:rsidR="00AB767C" w:rsidRDefault="00AB767C" w:rsidP="00FC6DBA">
      <w:pPr>
        <w:pStyle w:val="Heading1"/>
        <w:numPr>
          <w:ilvl w:val="0"/>
          <w:numId w:val="0"/>
        </w:numPr>
        <w:ind w:left="720" w:hanging="720"/>
        <w:jc w:val="left"/>
        <w:rPr>
          <w:rFonts w:cs="Arial"/>
        </w:rPr>
      </w:pPr>
      <w:r w:rsidRPr="00024392">
        <w:rPr>
          <w:rFonts w:cs="Arial"/>
        </w:rPr>
        <w:t xml:space="preserve">Principles and Commitments </w:t>
      </w:r>
    </w:p>
    <w:p w14:paraId="2FAFF71E" w14:textId="0AA6F1DF" w:rsidR="00AB767C" w:rsidRPr="00024392" w:rsidRDefault="00AB767C" w:rsidP="00AB767C">
      <w:pPr>
        <w:pStyle w:val="ListParagraph"/>
        <w:numPr>
          <w:ilvl w:val="0"/>
          <w:numId w:val="4"/>
        </w:numPr>
        <w:ind w:hanging="720"/>
        <w:rPr>
          <w:rFonts w:cs="Arial"/>
        </w:rPr>
      </w:pPr>
      <w:r w:rsidRPr="00024392">
        <w:rPr>
          <w:rFonts w:cs="Arial"/>
        </w:rPr>
        <w:t>Information must be managed using sound processes. The County Council therefore commits to the following :</w:t>
      </w:r>
    </w:p>
    <w:p w14:paraId="0CA7FBFD"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Cs/>
          <w:color w:val="000000"/>
          <w:sz w:val="24"/>
          <w:szCs w:val="24"/>
        </w:rPr>
        <w:t>To be compliant with all relevant legislation  and statutory requirements</w:t>
      </w:r>
    </w:p>
    <w:p w14:paraId="237AD455" w14:textId="5BFBE9A8"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Cs/>
          <w:color w:val="000000"/>
          <w:sz w:val="24"/>
          <w:szCs w:val="24"/>
        </w:rPr>
        <w:t>T</w:t>
      </w:r>
      <w:r w:rsidR="00207105" w:rsidRPr="00024392">
        <w:rPr>
          <w:rFonts w:ascii="Arial" w:hAnsi="Arial" w:cs="Arial"/>
          <w:bCs/>
          <w:color w:val="000000"/>
          <w:sz w:val="24"/>
          <w:szCs w:val="24"/>
        </w:rPr>
        <w:t>o</w:t>
      </w:r>
      <w:r w:rsidR="0091781C" w:rsidRPr="00024392">
        <w:rPr>
          <w:rFonts w:ascii="Arial" w:hAnsi="Arial" w:cs="Arial"/>
          <w:bCs/>
          <w:color w:val="000000"/>
          <w:sz w:val="24"/>
          <w:szCs w:val="24"/>
        </w:rPr>
        <w:t xml:space="preserve"> maint</w:t>
      </w:r>
      <w:r w:rsidR="00207105" w:rsidRPr="00024392">
        <w:rPr>
          <w:rFonts w:ascii="Arial" w:hAnsi="Arial" w:cs="Arial"/>
          <w:bCs/>
          <w:color w:val="000000"/>
          <w:sz w:val="24"/>
          <w:szCs w:val="24"/>
        </w:rPr>
        <w:t>ain</w:t>
      </w:r>
      <w:r w:rsidRPr="00024392">
        <w:rPr>
          <w:rFonts w:ascii="Arial" w:hAnsi="Arial" w:cs="Arial"/>
          <w:bCs/>
          <w:color w:val="000000"/>
          <w:sz w:val="24"/>
          <w:szCs w:val="24"/>
        </w:rPr>
        <w:t xml:space="preserve"> accurate business information, data and records </w:t>
      </w:r>
    </w:p>
    <w:p w14:paraId="3A3075EE"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Cs/>
          <w:color w:val="000000"/>
          <w:sz w:val="24"/>
          <w:szCs w:val="24"/>
        </w:rPr>
        <w:t>To review and appropriately dispose of information, data and records that are no longer required</w:t>
      </w:r>
    </w:p>
    <w:p w14:paraId="7028F603"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Cs/>
          <w:color w:val="000000"/>
          <w:sz w:val="24"/>
          <w:szCs w:val="24"/>
        </w:rPr>
        <w:t>To ensure information security through robust technical and organisational controls.</w:t>
      </w:r>
    </w:p>
    <w:p w14:paraId="6E72C706"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Cs/>
          <w:sz w:val="24"/>
          <w:szCs w:val="24"/>
        </w:rPr>
        <w:t>To ensure that all staff have been made aware of their duty of care and appropriately trained in order to deliver the commitments of this policy.</w:t>
      </w:r>
    </w:p>
    <w:p w14:paraId="1C5A797B" w14:textId="4AF8AEFE" w:rsidR="00FD2F98" w:rsidRPr="00024392" w:rsidRDefault="00FD2F98" w:rsidP="00FD2F98">
      <w:pPr>
        <w:numPr>
          <w:ilvl w:val="0"/>
          <w:numId w:val="2"/>
        </w:numPr>
        <w:spacing w:after="0" w:line="240" w:lineRule="auto"/>
        <w:outlineLvl w:val="1"/>
        <w:rPr>
          <w:rFonts w:ascii="Arial" w:hAnsi="Arial" w:cs="Arial"/>
          <w:bCs/>
          <w:color w:val="000000"/>
          <w:sz w:val="24"/>
          <w:szCs w:val="24"/>
        </w:rPr>
      </w:pPr>
      <w:r w:rsidRPr="00024392">
        <w:rPr>
          <w:rFonts w:ascii="Arial" w:hAnsi="Arial" w:cs="Arial"/>
          <w:bCs/>
          <w:color w:val="000000"/>
          <w:sz w:val="24"/>
          <w:szCs w:val="24"/>
        </w:rPr>
        <w:t xml:space="preserve">To only collect information that is necessary for the delivery of services. </w:t>
      </w:r>
    </w:p>
    <w:p w14:paraId="6CCB548E" w14:textId="60AEC6DA" w:rsidR="00AB767C" w:rsidRPr="00024392" w:rsidRDefault="00AB767C" w:rsidP="00AB767C">
      <w:pPr>
        <w:numPr>
          <w:ilvl w:val="0"/>
          <w:numId w:val="2"/>
        </w:numPr>
        <w:spacing w:after="0" w:line="240" w:lineRule="auto"/>
        <w:outlineLvl w:val="1"/>
        <w:rPr>
          <w:rFonts w:ascii="Arial" w:hAnsi="Arial" w:cs="Arial"/>
          <w:bCs/>
          <w:sz w:val="24"/>
          <w:szCs w:val="24"/>
        </w:rPr>
      </w:pPr>
      <w:r w:rsidRPr="00024392">
        <w:rPr>
          <w:rFonts w:ascii="Arial" w:hAnsi="Arial" w:cs="Arial"/>
          <w:bCs/>
          <w:sz w:val="24"/>
          <w:szCs w:val="24"/>
        </w:rPr>
        <w:t>To collect information once</w:t>
      </w:r>
      <w:r w:rsidR="008C4996" w:rsidRPr="00024392">
        <w:rPr>
          <w:rFonts w:ascii="Arial" w:hAnsi="Arial" w:cs="Arial"/>
          <w:bCs/>
          <w:sz w:val="24"/>
          <w:szCs w:val="24"/>
        </w:rPr>
        <w:t xml:space="preserve"> </w:t>
      </w:r>
      <w:r w:rsidR="00207105" w:rsidRPr="00024392">
        <w:rPr>
          <w:rFonts w:ascii="Arial" w:hAnsi="Arial" w:cs="Arial"/>
          <w:bCs/>
          <w:sz w:val="24"/>
          <w:szCs w:val="24"/>
        </w:rPr>
        <w:t xml:space="preserve">wherever possible </w:t>
      </w:r>
      <w:r w:rsidR="008C4996" w:rsidRPr="00024392">
        <w:rPr>
          <w:rFonts w:ascii="Arial" w:hAnsi="Arial" w:cs="Arial"/>
          <w:bCs/>
          <w:sz w:val="24"/>
          <w:szCs w:val="24"/>
        </w:rPr>
        <w:t>and develop</w:t>
      </w:r>
      <w:r w:rsidRPr="00024392">
        <w:rPr>
          <w:rFonts w:ascii="Arial" w:hAnsi="Arial" w:cs="Arial"/>
          <w:bCs/>
          <w:sz w:val="24"/>
          <w:szCs w:val="24"/>
        </w:rPr>
        <w:t xml:space="preserve"> a single business intelligence architecture </w:t>
      </w:r>
      <w:r w:rsidR="008C4996" w:rsidRPr="00024392">
        <w:rPr>
          <w:rFonts w:ascii="Arial" w:hAnsi="Arial" w:cs="Arial"/>
          <w:bCs/>
          <w:sz w:val="24"/>
          <w:szCs w:val="24"/>
        </w:rPr>
        <w:t xml:space="preserve">to manage </w:t>
      </w:r>
      <w:r w:rsidRPr="00024392">
        <w:rPr>
          <w:rFonts w:ascii="Arial" w:hAnsi="Arial" w:cs="Arial"/>
          <w:bCs/>
          <w:sz w:val="24"/>
          <w:szCs w:val="24"/>
        </w:rPr>
        <w:t xml:space="preserve">it appropriately to deliver a range of services, </w:t>
      </w:r>
      <w:r w:rsidR="008C4996" w:rsidRPr="00024392">
        <w:rPr>
          <w:rFonts w:ascii="Arial" w:hAnsi="Arial" w:cs="Arial"/>
          <w:bCs/>
          <w:sz w:val="24"/>
          <w:szCs w:val="24"/>
        </w:rPr>
        <w:t xml:space="preserve">inform </w:t>
      </w:r>
      <w:r w:rsidRPr="00024392">
        <w:rPr>
          <w:rFonts w:ascii="Arial" w:hAnsi="Arial" w:cs="Arial"/>
          <w:bCs/>
          <w:sz w:val="24"/>
          <w:szCs w:val="24"/>
        </w:rPr>
        <w:t>management decisions at service/operational, strategic levels and in partnership</w:t>
      </w:r>
    </w:p>
    <w:p w14:paraId="72A1DA3E" w14:textId="415E35D8" w:rsidR="00995AEB" w:rsidRPr="00024392" w:rsidRDefault="00995AEB">
      <w:pPr>
        <w:spacing w:after="160" w:line="259" w:lineRule="auto"/>
        <w:rPr>
          <w:rFonts w:ascii="Arial" w:eastAsia="Times New Roman" w:hAnsi="Arial" w:cs="Arial"/>
          <w:b/>
          <w:sz w:val="24"/>
          <w:szCs w:val="24"/>
          <w:lang w:eastAsia="en-GB"/>
        </w:rPr>
      </w:pPr>
    </w:p>
    <w:p w14:paraId="0C7C0810" w14:textId="2858D2F5" w:rsidR="00AB767C" w:rsidRPr="00024392" w:rsidRDefault="00AB767C" w:rsidP="0044096D">
      <w:pPr>
        <w:pStyle w:val="Heading1"/>
        <w:numPr>
          <w:ilvl w:val="0"/>
          <w:numId w:val="0"/>
        </w:numPr>
        <w:ind w:left="720" w:hanging="720"/>
        <w:jc w:val="left"/>
        <w:rPr>
          <w:rFonts w:cs="Arial"/>
        </w:rPr>
      </w:pPr>
      <w:r w:rsidRPr="00024392">
        <w:rPr>
          <w:rFonts w:cs="Arial"/>
        </w:rPr>
        <w:t>Responsibilities in relation to the Principles and Commitments</w:t>
      </w:r>
    </w:p>
    <w:p w14:paraId="0D4E01E4" w14:textId="77777777" w:rsidR="00AB767C" w:rsidRPr="005C2EE7" w:rsidRDefault="00AB767C" w:rsidP="00AB767C">
      <w:pPr>
        <w:pStyle w:val="ListParagraph"/>
        <w:numPr>
          <w:ilvl w:val="0"/>
          <w:numId w:val="4"/>
        </w:numPr>
        <w:ind w:hanging="720"/>
        <w:rPr>
          <w:rFonts w:cs="Arial"/>
        </w:rPr>
      </w:pPr>
      <w:r w:rsidRPr="005C2EE7">
        <w:rPr>
          <w:rFonts w:cs="Arial"/>
        </w:rPr>
        <w:t>This policy establishes responsibilities which include;</w:t>
      </w:r>
    </w:p>
    <w:p w14:paraId="04AB4486" w14:textId="77777777" w:rsidR="00AB767C" w:rsidRPr="00024392" w:rsidRDefault="00AB767C" w:rsidP="00AB767C">
      <w:pPr>
        <w:spacing w:after="0" w:line="240" w:lineRule="auto"/>
        <w:rPr>
          <w:rFonts w:ascii="Arial" w:hAnsi="Arial" w:cs="Arial"/>
          <w:b/>
          <w:bCs/>
          <w:sz w:val="24"/>
          <w:szCs w:val="24"/>
          <w:lang w:val="en-ZA"/>
        </w:rPr>
      </w:pPr>
    </w:p>
    <w:p w14:paraId="3970811A" w14:textId="39612F1E"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Corporate leadership team</w:t>
      </w:r>
      <w:r w:rsidRPr="00024392">
        <w:rPr>
          <w:rFonts w:ascii="Arial" w:hAnsi="Arial" w:cs="Arial"/>
          <w:bCs/>
          <w:color w:val="000000"/>
          <w:sz w:val="24"/>
          <w:szCs w:val="24"/>
        </w:rPr>
        <w:t xml:space="preserve">; the corporate leadership team will be responsible for ensuring that this policy </w:t>
      </w:r>
      <w:r w:rsidR="00A923FA">
        <w:rPr>
          <w:rFonts w:ascii="Arial" w:hAnsi="Arial" w:cs="Arial"/>
          <w:bCs/>
          <w:color w:val="000000"/>
          <w:sz w:val="24"/>
          <w:szCs w:val="24"/>
        </w:rPr>
        <w:t xml:space="preserve">is </w:t>
      </w:r>
      <w:r w:rsidRPr="00024392">
        <w:rPr>
          <w:rFonts w:ascii="Arial" w:hAnsi="Arial" w:cs="Arial"/>
          <w:bCs/>
          <w:color w:val="000000"/>
          <w:sz w:val="24"/>
          <w:szCs w:val="24"/>
        </w:rPr>
        <w:t>implemented at all levels within the County Council.</w:t>
      </w:r>
    </w:p>
    <w:p w14:paraId="2C1593AB" w14:textId="77777777" w:rsidR="00AB767C" w:rsidRPr="00024392" w:rsidRDefault="00AB767C" w:rsidP="00AB767C">
      <w:pPr>
        <w:spacing w:after="0" w:line="240" w:lineRule="auto"/>
        <w:ind w:left="1080"/>
        <w:outlineLvl w:val="1"/>
        <w:rPr>
          <w:rFonts w:ascii="Arial" w:hAnsi="Arial" w:cs="Arial"/>
          <w:bCs/>
          <w:color w:val="000000"/>
          <w:sz w:val="24"/>
          <w:szCs w:val="24"/>
        </w:rPr>
      </w:pPr>
    </w:p>
    <w:p w14:paraId="52CEDD10" w14:textId="1C25F929"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SIRO</w:t>
      </w:r>
      <w:r w:rsidRPr="00024392">
        <w:rPr>
          <w:rFonts w:ascii="Arial" w:hAnsi="Arial" w:cs="Arial"/>
          <w:bCs/>
          <w:color w:val="000000"/>
          <w:sz w:val="24"/>
          <w:szCs w:val="24"/>
        </w:rPr>
        <w:t xml:space="preserve">; the Senior Information Risk Owner is responsible for leading and fostering the organisational culture that values, protects and uses information for the public good.  </w:t>
      </w:r>
      <w:r w:rsidRPr="00024392">
        <w:rPr>
          <w:rFonts w:ascii="Arial" w:hAnsi="Arial" w:cs="Arial"/>
          <w:bCs/>
          <w:color w:val="000000"/>
          <w:sz w:val="24"/>
          <w:szCs w:val="24"/>
        </w:rPr>
        <w:lastRenderedPageBreak/>
        <w:t>The SIRO is responsible for the overall information risk policy and risk assessment process.</w:t>
      </w:r>
    </w:p>
    <w:p w14:paraId="650395C3" w14:textId="77777777" w:rsidR="00AB767C" w:rsidRPr="00024392" w:rsidRDefault="00AB767C" w:rsidP="00AB767C">
      <w:pPr>
        <w:spacing w:after="0" w:line="240" w:lineRule="auto"/>
        <w:outlineLvl w:val="1"/>
        <w:rPr>
          <w:rFonts w:ascii="Arial" w:hAnsi="Arial" w:cs="Arial"/>
          <w:bCs/>
          <w:color w:val="000000"/>
          <w:sz w:val="24"/>
          <w:szCs w:val="24"/>
        </w:rPr>
      </w:pPr>
    </w:p>
    <w:p w14:paraId="559549B5"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Information Asset Owners;</w:t>
      </w:r>
      <w:r w:rsidRPr="00024392">
        <w:rPr>
          <w:rFonts w:ascii="Arial" w:hAnsi="Arial" w:cs="Arial"/>
          <w:bCs/>
          <w:color w:val="000000"/>
          <w:sz w:val="24"/>
          <w:szCs w:val="24"/>
        </w:rPr>
        <w:t xml:space="preserve"> are responsible for promoting and supporting the organisational culture as determined by the SIRO. They are also responsible for managing the information assets within their  remit from the perspective of access, risk and lifecycle</w:t>
      </w:r>
    </w:p>
    <w:p w14:paraId="5B3985DC" w14:textId="77777777" w:rsidR="00AB767C" w:rsidRPr="00024392" w:rsidRDefault="00AB767C" w:rsidP="00AB767C">
      <w:pPr>
        <w:spacing w:after="0" w:line="240" w:lineRule="auto"/>
        <w:outlineLvl w:val="1"/>
        <w:rPr>
          <w:rFonts w:ascii="Arial" w:hAnsi="Arial" w:cs="Arial"/>
          <w:bCs/>
          <w:color w:val="000000"/>
          <w:sz w:val="24"/>
          <w:szCs w:val="24"/>
        </w:rPr>
      </w:pPr>
    </w:p>
    <w:p w14:paraId="48D13259"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Departmental management teams</w:t>
      </w:r>
      <w:r w:rsidRPr="00024392">
        <w:rPr>
          <w:rFonts w:ascii="Arial" w:hAnsi="Arial" w:cs="Arial"/>
          <w:bCs/>
          <w:color w:val="000000"/>
          <w:sz w:val="24"/>
          <w:szCs w:val="24"/>
        </w:rPr>
        <w:t>; Responsibilities of departmental management teams include promoting a culture that values information and its effective management; and allocating appropriate resources to support information management, and support the work of the Information asset owners</w:t>
      </w:r>
    </w:p>
    <w:p w14:paraId="1C85499D" w14:textId="77777777" w:rsidR="00AB767C" w:rsidRPr="00024392" w:rsidRDefault="00AB767C" w:rsidP="00AB767C">
      <w:pPr>
        <w:spacing w:after="0" w:line="240" w:lineRule="auto"/>
        <w:outlineLvl w:val="1"/>
        <w:rPr>
          <w:rFonts w:ascii="Arial" w:hAnsi="Arial" w:cs="Arial"/>
          <w:bCs/>
          <w:color w:val="000000"/>
          <w:sz w:val="24"/>
          <w:szCs w:val="24"/>
        </w:rPr>
      </w:pPr>
    </w:p>
    <w:p w14:paraId="4065D83D"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Team managers</w:t>
      </w:r>
      <w:r w:rsidRPr="00024392">
        <w:rPr>
          <w:rFonts w:ascii="Arial" w:hAnsi="Arial" w:cs="Arial"/>
          <w:bCs/>
          <w:color w:val="000000"/>
          <w:sz w:val="24"/>
          <w:szCs w:val="24"/>
        </w:rPr>
        <w:t>; Responsibilities of team managers accountable for implementing this policy include ensuring that the effectiveness of IM policy implementations are periodically assessed; and ensuring implementation of this policy and associated guidance.</w:t>
      </w:r>
    </w:p>
    <w:p w14:paraId="1E256B96" w14:textId="77777777" w:rsidR="00AB767C" w:rsidRPr="00024392" w:rsidRDefault="00AB767C" w:rsidP="00AB767C">
      <w:pPr>
        <w:spacing w:after="0" w:line="240" w:lineRule="auto"/>
        <w:outlineLvl w:val="1"/>
        <w:rPr>
          <w:rFonts w:ascii="Arial" w:hAnsi="Arial" w:cs="Arial"/>
          <w:bCs/>
          <w:color w:val="000000"/>
          <w:sz w:val="24"/>
          <w:szCs w:val="24"/>
        </w:rPr>
      </w:pPr>
    </w:p>
    <w:p w14:paraId="1C9D21A7"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 xml:space="preserve">All </w:t>
      </w:r>
      <w:r w:rsidRPr="00024392">
        <w:rPr>
          <w:rFonts w:ascii="Arial" w:hAnsi="Arial" w:cs="Arial"/>
          <w:bCs/>
          <w:color w:val="000000"/>
          <w:sz w:val="24"/>
          <w:szCs w:val="24"/>
        </w:rPr>
        <w:t>officers, partners, volunteers, contractors, consultants and agency staff are responsible for applying IM principles, standards, and practices in the performance of their duties.</w:t>
      </w:r>
    </w:p>
    <w:p w14:paraId="5320B412" w14:textId="77777777" w:rsidR="00AB767C" w:rsidRPr="00024392" w:rsidRDefault="00AB767C" w:rsidP="00AB767C">
      <w:pPr>
        <w:pStyle w:val="ListParagraph"/>
        <w:rPr>
          <w:rFonts w:cs="Arial"/>
          <w:bCs/>
          <w:color w:val="000000"/>
        </w:rPr>
      </w:pPr>
    </w:p>
    <w:p w14:paraId="28A8FD6B" w14:textId="6059732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Elected Members</w:t>
      </w:r>
      <w:r w:rsidRPr="00024392">
        <w:rPr>
          <w:rFonts w:ascii="Arial" w:hAnsi="Arial" w:cs="Arial"/>
          <w:bCs/>
          <w:color w:val="000000"/>
          <w:sz w:val="24"/>
          <w:szCs w:val="24"/>
        </w:rPr>
        <w:t>; members of the County Council</w:t>
      </w:r>
      <w:r w:rsidR="00A923FA">
        <w:rPr>
          <w:rFonts w:ascii="Arial" w:hAnsi="Arial" w:cs="Arial"/>
          <w:bCs/>
          <w:color w:val="000000"/>
          <w:sz w:val="24"/>
          <w:szCs w:val="24"/>
        </w:rPr>
        <w:t xml:space="preserve"> including co-opted members</w:t>
      </w:r>
      <w:r w:rsidRPr="00024392">
        <w:rPr>
          <w:rFonts w:ascii="Arial" w:hAnsi="Arial" w:cs="Arial"/>
          <w:bCs/>
          <w:color w:val="000000"/>
          <w:sz w:val="24"/>
          <w:szCs w:val="24"/>
        </w:rPr>
        <w:t xml:space="preserve"> are responsible for protecting the information and data which they have access to or are exposed to in the course of their County Council activities in accordance with this policy, its supporting documents and relevant legislation.</w:t>
      </w:r>
    </w:p>
    <w:p w14:paraId="760EB468" w14:textId="77777777" w:rsidR="00AB767C" w:rsidRPr="00024392" w:rsidRDefault="00AB767C" w:rsidP="00AB767C">
      <w:pPr>
        <w:spacing w:after="0" w:line="240" w:lineRule="auto"/>
        <w:ind w:left="1080"/>
        <w:outlineLvl w:val="1"/>
        <w:rPr>
          <w:rFonts w:ascii="Arial" w:hAnsi="Arial" w:cs="Arial"/>
          <w:bCs/>
          <w:color w:val="000000"/>
          <w:sz w:val="24"/>
          <w:szCs w:val="24"/>
        </w:rPr>
      </w:pPr>
    </w:p>
    <w:p w14:paraId="2D2BDF03"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Information manager</w:t>
      </w:r>
      <w:r w:rsidRPr="00024392">
        <w:rPr>
          <w:rFonts w:ascii="Arial" w:hAnsi="Arial" w:cs="Arial"/>
          <w:bCs/>
          <w:color w:val="000000"/>
          <w:sz w:val="24"/>
          <w:szCs w:val="24"/>
        </w:rPr>
        <w:t>; the information manager has specific roles and responsibilities related to the management of information, which include developing and promoting a framework for the management of information, including standards, guidelines, tools, and best practices that support this policy; and providing advice to departments.</w:t>
      </w:r>
    </w:p>
    <w:p w14:paraId="071738DB" w14:textId="77777777" w:rsidR="00AB767C" w:rsidRPr="00024392" w:rsidRDefault="00AB767C" w:rsidP="00AB767C">
      <w:pPr>
        <w:spacing w:after="0" w:line="240" w:lineRule="auto"/>
        <w:ind w:left="1080"/>
        <w:outlineLvl w:val="1"/>
        <w:rPr>
          <w:rFonts w:ascii="Arial" w:hAnsi="Arial" w:cs="Arial"/>
          <w:bCs/>
          <w:color w:val="000000"/>
          <w:sz w:val="24"/>
          <w:szCs w:val="24"/>
        </w:rPr>
      </w:pPr>
    </w:p>
    <w:p w14:paraId="20ECD6F8"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sz w:val="24"/>
          <w:szCs w:val="24"/>
        </w:rPr>
        <w:t>Business Intelligence Manager</w:t>
      </w:r>
      <w:r w:rsidRPr="00024392">
        <w:rPr>
          <w:rFonts w:ascii="Arial" w:hAnsi="Arial" w:cs="Arial"/>
          <w:bCs/>
          <w:color w:val="000000"/>
          <w:sz w:val="24"/>
          <w:szCs w:val="24"/>
        </w:rPr>
        <w:t>; has specific responsibilities related to the management and quality of the Council’s data and business intelligence, which include developing and promoting standards for the provision and use of business intelligence, management information and analysis and co-ordinating service process and business system change and its impact on BI infrastructure.</w:t>
      </w:r>
    </w:p>
    <w:p w14:paraId="38FF9E6B" w14:textId="77777777" w:rsidR="00AB767C" w:rsidRPr="00024392" w:rsidRDefault="00AB767C" w:rsidP="00AB767C">
      <w:pPr>
        <w:pStyle w:val="ListParagraph"/>
        <w:rPr>
          <w:rFonts w:cs="Arial"/>
          <w:bCs/>
          <w:color w:val="000000"/>
        </w:rPr>
      </w:pPr>
    </w:p>
    <w:p w14:paraId="416D3CCC"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ICT Services</w:t>
      </w:r>
      <w:r w:rsidRPr="00024392">
        <w:rPr>
          <w:rFonts w:ascii="Arial" w:hAnsi="Arial" w:cs="Arial"/>
          <w:bCs/>
          <w:color w:val="000000"/>
          <w:sz w:val="24"/>
          <w:szCs w:val="24"/>
        </w:rPr>
        <w:t xml:space="preserve">; are responsible for ensuring that information and data management facilities are appropriate; effective and secure in accordance with legislative and statutory requirements.  This will include the undertaking, and documentation, of appropriate risk assessments in respect of system and database security.  ICT services are also responsible for ensuring that information security policies are maintained and adhered to in conjunction with the information manager. </w:t>
      </w:r>
    </w:p>
    <w:p w14:paraId="16C2345B" w14:textId="77777777" w:rsidR="00AB767C" w:rsidRPr="00024392" w:rsidRDefault="00AB767C" w:rsidP="00AB767C">
      <w:pPr>
        <w:pStyle w:val="ListParagraph"/>
        <w:rPr>
          <w:rFonts w:cs="Arial"/>
          <w:bCs/>
          <w:color w:val="000000"/>
        </w:rPr>
      </w:pPr>
    </w:p>
    <w:p w14:paraId="335F3D28" w14:textId="77777777" w:rsidR="00AB767C" w:rsidRPr="00024392" w:rsidRDefault="00AB767C" w:rsidP="00AB767C">
      <w:pPr>
        <w:numPr>
          <w:ilvl w:val="0"/>
          <w:numId w:val="2"/>
        </w:numPr>
        <w:spacing w:after="0" w:line="240" w:lineRule="auto"/>
        <w:outlineLvl w:val="1"/>
        <w:rPr>
          <w:rFonts w:ascii="Arial" w:hAnsi="Arial" w:cs="Arial"/>
          <w:bCs/>
          <w:color w:val="000000"/>
          <w:sz w:val="24"/>
          <w:szCs w:val="24"/>
        </w:rPr>
      </w:pPr>
      <w:r w:rsidRPr="00024392">
        <w:rPr>
          <w:rFonts w:ascii="Arial" w:hAnsi="Arial" w:cs="Arial"/>
          <w:b/>
          <w:bCs/>
          <w:color w:val="000000"/>
          <w:sz w:val="24"/>
          <w:szCs w:val="24"/>
        </w:rPr>
        <w:t>Internal Audit</w:t>
      </w:r>
      <w:r w:rsidRPr="00024392">
        <w:rPr>
          <w:rFonts w:ascii="Arial" w:hAnsi="Arial" w:cs="Arial"/>
          <w:bCs/>
          <w:color w:val="000000"/>
          <w:sz w:val="24"/>
          <w:szCs w:val="24"/>
        </w:rPr>
        <w:t>; The team will be responsible for ensuring that data quality meets the appropriate standard and that each audit undertaken has an element of challenge to ensure that information management and data quality are addressed in accordance with this policy and supporting documents.</w:t>
      </w:r>
    </w:p>
    <w:p w14:paraId="67BA06EA" w14:textId="77777777" w:rsidR="00AB767C" w:rsidRPr="00024392" w:rsidRDefault="00AB767C" w:rsidP="00AB767C">
      <w:pPr>
        <w:pStyle w:val="ListParagraph"/>
        <w:rPr>
          <w:rFonts w:cs="Arial"/>
          <w:bCs/>
          <w:color w:val="000000"/>
        </w:rPr>
      </w:pPr>
    </w:p>
    <w:p w14:paraId="01CCB6B2" w14:textId="77777777" w:rsidR="005448B4" w:rsidRPr="00024392" w:rsidRDefault="005448B4" w:rsidP="0044096D">
      <w:pPr>
        <w:pStyle w:val="Heading1"/>
        <w:numPr>
          <w:ilvl w:val="0"/>
          <w:numId w:val="0"/>
        </w:numPr>
        <w:ind w:left="720" w:hanging="720"/>
        <w:jc w:val="left"/>
        <w:rPr>
          <w:rFonts w:cs="Arial"/>
        </w:rPr>
      </w:pPr>
      <w:r w:rsidRPr="00024392">
        <w:rPr>
          <w:rFonts w:cs="Arial"/>
        </w:rPr>
        <w:t>Implementation</w:t>
      </w:r>
    </w:p>
    <w:p w14:paraId="6B42B887" w14:textId="77777777" w:rsidR="0044096D" w:rsidRPr="00024392" w:rsidRDefault="0044096D" w:rsidP="0044096D">
      <w:pPr>
        <w:spacing w:after="0"/>
        <w:rPr>
          <w:rFonts w:ascii="Arial" w:hAnsi="Arial" w:cs="Arial"/>
          <w:sz w:val="24"/>
          <w:szCs w:val="24"/>
          <w:lang w:eastAsia="en-GB"/>
        </w:rPr>
      </w:pPr>
    </w:p>
    <w:p w14:paraId="258977EC" w14:textId="6396362B" w:rsidR="005448B4" w:rsidRPr="00024392" w:rsidRDefault="005448B4" w:rsidP="0044096D">
      <w:pPr>
        <w:pStyle w:val="ListParagraph"/>
        <w:numPr>
          <w:ilvl w:val="0"/>
          <w:numId w:val="4"/>
        </w:numPr>
        <w:ind w:hanging="720"/>
        <w:rPr>
          <w:rFonts w:cs="Arial"/>
        </w:rPr>
      </w:pPr>
      <w:r w:rsidRPr="00024392">
        <w:rPr>
          <w:rFonts w:cs="Arial"/>
        </w:rPr>
        <w:lastRenderedPageBreak/>
        <w:t xml:space="preserve">Awareness of this policy will be </w:t>
      </w:r>
      <w:r w:rsidR="0044096D" w:rsidRPr="00024392">
        <w:rPr>
          <w:rFonts w:cs="Arial"/>
        </w:rPr>
        <w:t xml:space="preserve">promoted </w:t>
      </w:r>
      <w:r w:rsidRPr="00024392">
        <w:rPr>
          <w:rFonts w:cs="Arial"/>
        </w:rPr>
        <w:t>through</w:t>
      </w:r>
      <w:r w:rsidR="00207105" w:rsidRPr="00024392">
        <w:rPr>
          <w:rFonts w:cs="Arial"/>
        </w:rPr>
        <w:t xml:space="preserve"> </w:t>
      </w:r>
      <w:r w:rsidRPr="00024392">
        <w:rPr>
          <w:rFonts w:cs="Arial"/>
        </w:rPr>
        <w:t xml:space="preserve">news on the Council’s intranet home page, </w:t>
      </w:r>
      <w:r w:rsidR="00207105" w:rsidRPr="00024392">
        <w:rPr>
          <w:rFonts w:cs="Arial"/>
        </w:rPr>
        <w:t xml:space="preserve">at team meetings </w:t>
      </w:r>
      <w:r w:rsidRPr="00024392">
        <w:rPr>
          <w:rFonts w:cs="Arial"/>
        </w:rPr>
        <w:t xml:space="preserve">by discussion at appropriate performance </w:t>
      </w:r>
      <w:r w:rsidR="0044096D" w:rsidRPr="00024392">
        <w:rPr>
          <w:rFonts w:cs="Arial"/>
        </w:rPr>
        <w:t xml:space="preserve">reviews </w:t>
      </w:r>
      <w:r w:rsidRPr="00024392">
        <w:rPr>
          <w:rFonts w:cs="Arial"/>
        </w:rPr>
        <w:t>and other relevant meetings and by inclusion in appropriate training modules</w:t>
      </w:r>
      <w:r w:rsidR="00207105" w:rsidRPr="00024392">
        <w:rPr>
          <w:rFonts w:cs="Arial"/>
        </w:rPr>
        <w:t xml:space="preserve"> and in appropriate publications</w:t>
      </w:r>
      <w:r w:rsidRPr="00024392">
        <w:rPr>
          <w:rFonts w:cs="Arial"/>
        </w:rPr>
        <w:t>.</w:t>
      </w:r>
    </w:p>
    <w:p w14:paraId="718342F8" w14:textId="77777777" w:rsidR="0044096D" w:rsidRPr="00024392" w:rsidRDefault="0044096D" w:rsidP="0044096D">
      <w:pPr>
        <w:pStyle w:val="ListParagraph"/>
        <w:rPr>
          <w:rFonts w:cs="Arial"/>
        </w:rPr>
      </w:pPr>
    </w:p>
    <w:p w14:paraId="25CA677D" w14:textId="77777777" w:rsidR="005448B4" w:rsidRPr="00024392" w:rsidRDefault="005448B4" w:rsidP="0044096D">
      <w:pPr>
        <w:pStyle w:val="Heading1"/>
        <w:numPr>
          <w:ilvl w:val="0"/>
          <w:numId w:val="0"/>
        </w:numPr>
        <w:ind w:left="720" w:hanging="720"/>
        <w:jc w:val="left"/>
        <w:rPr>
          <w:rFonts w:cs="Arial"/>
        </w:rPr>
      </w:pPr>
      <w:r w:rsidRPr="00024392">
        <w:rPr>
          <w:rFonts w:cs="Arial"/>
        </w:rPr>
        <w:t>Review</w:t>
      </w:r>
    </w:p>
    <w:p w14:paraId="441E0D5E" w14:textId="77777777" w:rsidR="0044096D" w:rsidRPr="00024392" w:rsidRDefault="0044096D" w:rsidP="0044096D">
      <w:pPr>
        <w:spacing w:after="0"/>
        <w:rPr>
          <w:rFonts w:ascii="Arial" w:hAnsi="Arial" w:cs="Arial"/>
          <w:sz w:val="24"/>
          <w:szCs w:val="24"/>
          <w:lang w:eastAsia="en-GB"/>
        </w:rPr>
      </w:pPr>
    </w:p>
    <w:p w14:paraId="60F0ED37" w14:textId="7AE64D22" w:rsidR="005448B4" w:rsidRPr="00024392" w:rsidRDefault="005448B4" w:rsidP="0044096D">
      <w:pPr>
        <w:pStyle w:val="ListParagraph"/>
        <w:numPr>
          <w:ilvl w:val="0"/>
          <w:numId w:val="4"/>
        </w:numPr>
        <w:ind w:hanging="720"/>
        <w:rPr>
          <w:rFonts w:cs="Arial"/>
        </w:rPr>
      </w:pPr>
      <w:r w:rsidRPr="00024392">
        <w:rPr>
          <w:rFonts w:cs="Arial"/>
        </w:rPr>
        <w:t xml:space="preserve">The policy will be reviewed in </w:t>
      </w:r>
      <w:r w:rsidR="0091781C" w:rsidRPr="00024392">
        <w:rPr>
          <w:rFonts w:cs="Arial"/>
        </w:rPr>
        <w:t xml:space="preserve">April </w:t>
      </w:r>
      <w:r w:rsidRPr="00024392">
        <w:rPr>
          <w:rFonts w:cs="Arial"/>
        </w:rPr>
        <w:t>2017</w:t>
      </w:r>
      <w:r w:rsidR="0091781C" w:rsidRPr="00024392">
        <w:rPr>
          <w:rFonts w:cs="Arial"/>
        </w:rPr>
        <w:t xml:space="preserve"> and annually thereafter</w:t>
      </w:r>
      <w:r w:rsidRPr="00024392">
        <w:rPr>
          <w:rFonts w:cs="Arial"/>
        </w:rPr>
        <w:t xml:space="preserve">. </w:t>
      </w:r>
    </w:p>
    <w:p w14:paraId="15C949C6" w14:textId="77777777" w:rsidR="005448B4" w:rsidRPr="00024392" w:rsidRDefault="005448B4" w:rsidP="00AB767C">
      <w:pPr>
        <w:rPr>
          <w:rFonts w:ascii="Arial" w:hAnsi="Arial" w:cs="Arial"/>
          <w:b/>
          <w:sz w:val="24"/>
          <w:szCs w:val="24"/>
        </w:rPr>
      </w:pPr>
    </w:p>
    <w:p w14:paraId="165631B2" w14:textId="77777777" w:rsidR="00BA14BA" w:rsidRPr="00024392" w:rsidRDefault="00BA14BA" w:rsidP="00C9211C">
      <w:pPr>
        <w:rPr>
          <w:rFonts w:ascii="Arial" w:hAnsi="Arial" w:cs="Arial"/>
          <w:sz w:val="24"/>
          <w:szCs w:val="24"/>
        </w:rPr>
      </w:pPr>
    </w:p>
    <w:sectPr w:rsidR="00BA14BA" w:rsidRPr="00024392" w:rsidSect="002D2352">
      <w:headerReference w:type="default" r:id="rId15"/>
      <w:footerReference w:type="default" r:id="rId16"/>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118F" w14:textId="77777777" w:rsidR="00E9480B" w:rsidRDefault="00E9480B" w:rsidP="005448B4">
      <w:pPr>
        <w:spacing w:after="0" w:line="240" w:lineRule="auto"/>
      </w:pPr>
      <w:r>
        <w:separator/>
      </w:r>
    </w:p>
  </w:endnote>
  <w:endnote w:type="continuationSeparator" w:id="0">
    <w:p w14:paraId="36DF32C7" w14:textId="77777777" w:rsidR="00E9480B" w:rsidRDefault="00E9480B" w:rsidP="0054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27FA" w14:textId="26A9205F" w:rsidR="002D2352" w:rsidRPr="002D2352" w:rsidRDefault="002D2352" w:rsidP="002D2352">
    <w:pPr>
      <w:pStyle w:val="Footer"/>
      <w:tabs>
        <w:tab w:val="left" w:pos="900"/>
        <w:tab w:val="left" w:pos="2520"/>
        <w:tab w:val="right" w:pos="8460"/>
      </w:tabs>
      <w:ind w:right="360"/>
      <w:rPr>
        <w:rFonts w:ascii="Times New Roman" w:eastAsia="Times New Roman" w:hAnsi="Times New Roman" w:cs="Times New Roman"/>
        <w:sz w:val="16"/>
        <w:szCs w:val="16"/>
      </w:rPr>
    </w:pPr>
    <w:r w:rsidRPr="002D2352">
      <w:rPr>
        <w:rFonts w:ascii="Times New Roman" w:eastAsia="Times New Roman" w:hAnsi="Times New Roman" w:cs="Times New Roman"/>
        <w:sz w:val="16"/>
        <w:szCs w:val="16"/>
      </w:rPr>
      <w:t xml:space="preserve">Page: </w:t>
    </w:r>
    <w:r w:rsidRPr="002D2352">
      <w:rPr>
        <w:rFonts w:ascii="Times New Roman" w:eastAsia="Times New Roman" w:hAnsi="Times New Roman" w:cs="Times New Roman"/>
        <w:sz w:val="16"/>
        <w:szCs w:val="16"/>
      </w:rPr>
      <w:fldChar w:fldCharType="begin"/>
    </w:r>
    <w:r w:rsidRPr="002D2352">
      <w:rPr>
        <w:rFonts w:ascii="Times New Roman" w:eastAsia="Times New Roman" w:hAnsi="Times New Roman" w:cs="Times New Roman"/>
        <w:sz w:val="16"/>
        <w:szCs w:val="16"/>
      </w:rPr>
      <w:instrText xml:space="preserve"> PAGE </w:instrText>
    </w:r>
    <w:r w:rsidRPr="002D2352">
      <w:rPr>
        <w:rFonts w:ascii="Times New Roman" w:eastAsia="Times New Roman" w:hAnsi="Times New Roman" w:cs="Times New Roman"/>
        <w:sz w:val="16"/>
        <w:szCs w:val="16"/>
      </w:rPr>
      <w:fldChar w:fldCharType="separate"/>
    </w:r>
    <w:r w:rsidR="00951108">
      <w:rPr>
        <w:rFonts w:ascii="Times New Roman" w:eastAsia="Times New Roman" w:hAnsi="Times New Roman" w:cs="Times New Roman"/>
        <w:noProof/>
        <w:sz w:val="16"/>
        <w:szCs w:val="16"/>
      </w:rPr>
      <w:t>4</w:t>
    </w:r>
    <w:r w:rsidRPr="002D2352">
      <w:rPr>
        <w:rFonts w:ascii="Times New Roman" w:eastAsia="Times New Roman" w:hAnsi="Times New Roman" w:cs="Times New Roman"/>
        <w:sz w:val="16"/>
        <w:szCs w:val="16"/>
      </w:rPr>
      <w:fldChar w:fldCharType="end"/>
    </w:r>
    <w:r w:rsidRPr="002D2352">
      <w:rPr>
        <w:rFonts w:ascii="Times New Roman" w:eastAsia="Times New Roman" w:hAnsi="Times New Roman" w:cs="Times New Roman"/>
        <w:sz w:val="16"/>
        <w:szCs w:val="16"/>
      </w:rPr>
      <w:t xml:space="preserve"> </w:t>
    </w:r>
    <w:r w:rsidRPr="002D2352">
      <w:rPr>
        <w:rFonts w:ascii="Times New Roman" w:eastAsia="Times New Roman" w:hAnsi="Times New Roman" w:cs="Times New Roman"/>
        <w:sz w:val="16"/>
        <w:szCs w:val="16"/>
      </w:rPr>
      <w:tab/>
    </w:r>
    <w:r w:rsidRPr="002D2352">
      <w:rPr>
        <w:rFonts w:ascii="Times New Roman" w:eastAsia="Times New Roman" w:hAnsi="Times New Roman" w:cs="Times New Roman"/>
        <w:sz w:val="16"/>
        <w:szCs w:val="16"/>
      </w:rPr>
      <w:tab/>
      <w:t>Policy Adopted: 20.04.2016</w:t>
    </w:r>
    <w:r w:rsidRPr="002D2352">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r>
    <w:r w:rsidRPr="002D2352">
      <w:rPr>
        <w:rFonts w:ascii="Times New Roman" w:eastAsia="Times New Roman" w:hAnsi="Times New Roman" w:cs="Times New Roman"/>
        <w:sz w:val="16"/>
        <w:szCs w:val="16"/>
      </w:rPr>
      <w:t>Version: 2.0</w:t>
    </w:r>
  </w:p>
  <w:p w14:paraId="204BBA25" w14:textId="4AAF9B4D" w:rsidR="005448B4" w:rsidRDefault="005448B4" w:rsidP="002D23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8370" w14:textId="77777777" w:rsidR="00E9480B" w:rsidRDefault="00E9480B" w:rsidP="005448B4">
      <w:pPr>
        <w:spacing w:after="0" w:line="240" w:lineRule="auto"/>
      </w:pPr>
      <w:r>
        <w:separator/>
      </w:r>
    </w:p>
  </w:footnote>
  <w:footnote w:type="continuationSeparator" w:id="0">
    <w:p w14:paraId="68938166" w14:textId="77777777" w:rsidR="00E9480B" w:rsidRDefault="00E9480B" w:rsidP="0054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2DBA" w14:textId="65D0A8A8" w:rsidR="00995AEB" w:rsidRDefault="00B37901" w:rsidP="002D2352">
    <w:pPr>
      <w:pStyle w:val="Header"/>
      <w:tabs>
        <w:tab w:val="clear" w:pos="9026"/>
        <w:tab w:val="right" w:pos="10348"/>
      </w:tabs>
      <w:jc w:val="right"/>
    </w:pPr>
    <w:r>
      <w:tab/>
    </w:r>
    <w:r w:rsidR="002D2352" w:rsidRPr="002D2352">
      <w:t>Information Management and Data Quality Policy</w:t>
    </w:r>
  </w:p>
  <w:p w14:paraId="784F05F3" w14:textId="77777777" w:rsidR="00995AEB" w:rsidRDefault="00995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65C" w14:textId="7521CE98" w:rsidR="002D2352" w:rsidRPr="002D2352" w:rsidRDefault="002D2352" w:rsidP="002D2352">
    <w:pPr>
      <w:pStyle w:val="Header"/>
    </w:pPr>
    <w:r>
      <w:rPr>
        <w:noProof/>
        <w:lang w:eastAsia="en-GB"/>
      </w:rPr>
      <w:drawing>
        <wp:inline distT="0" distB="0" distL="0" distR="0" wp14:anchorId="2CFF8106" wp14:editId="61059AEB">
          <wp:extent cx="2952750" cy="495300"/>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01B3"/>
    <w:multiLevelType w:val="hybridMultilevel"/>
    <w:tmpl w:val="C22459BE"/>
    <w:lvl w:ilvl="0" w:tplc="67606756">
      <w:start w:val="1"/>
      <w:numFmt w:val="bullet"/>
      <w:lvlText w:val=""/>
      <w:lvlJc w:val="left"/>
      <w:pPr>
        <w:tabs>
          <w:tab w:val="num" w:pos="1080"/>
        </w:tabs>
        <w:ind w:left="1080" w:hanging="360"/>
      </w:pPr>
      <w:rPr>
        <w:rFonts w:ascii="Wingdings" w:hAnsi="Wingdings"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1127B4"/>
    <w:multiLevelType w:val="multilevel"/>
    <w:tmpl w:val="4C04BE26"/>
    <w:lvl w:ilvl="0">
      <w:start w:val="1"/>
      <w:numFmt w:val="decimal"/>
      <w:pStyle w:val="Heading1"/>
      <w:lvlText w:val="%1"/>
      <w:lvlJc w:val="left"/>
      <w:pPr>
        <w:tabs>
          <w:tab w:val="num" w:pos="0"/>
        </w:tabs>
        <w:ind w:left="720" w:hanging="72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B3F782C"/>
    <w:multiLevelType w:val="hybridMultilevel"/>
    <w:tmpl w:val="1F903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70E5C"/>
    <w:multiLevelType w:val="hybridMultilevel"/>
    <w:tmpl w:val="87621A76"/>
    <w:lvl w:ilvl="0" w:tplc="748EEE92">
      <w:start w:val="1"/>
      <w:numFmt w:val="bullet"/>
      <w:lvlText w:val=""/>
      <w:lvlJc w:val="left"/>
      <w:pPr>
        <w:tabs>
          <w:tab w:val="num" w:pos="1069"/>
        </w:tabs>
        <w:ind w:left="1069" w:hanging="360"/>
      </w:pPr>
      <w:rPr>
        <w:rFonts w:ascii="Wingdings" w:hAnsi="Wingdings" w:hint="default"/>
        <w:sz w:val="22"/>
        <w:szCs w:val="22"/>
      </w:rPr>
    </w:lvl>
    <w:lvl w:ilvl="1" w:tplc="08090003" w:tentative="1">
      <w:start w:val="1"/>
      <w:numFmt w:val="bullet"/>
      <w:lvlText w:val="o"/>
      <w:lvlJc w:val="left"/>
      <w:pPr>
        <w:tabs>
          <w:tab w:val="num" w:pos="1789"/>
        </w:tabs>
        <w:ind w:left="1789" w:hanging="360"/>
      </w:pPr>
      <w:rPr>
        <w:rFonts w:ascii="Courier New" w:hAnsi="Courier New" w:cs="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Wingdings"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Wingdings" w:hint="default"/>
      </w:rPr>
    </w:lvl>
    <w:lvl w:ilvl="8" w:tplc="080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7C"/>
    <w:rsid w:val="00024392"/>
    <w:rsid w:val="00113862"/>
    <w:rsid w:val="00207105"/>
    <w:rsid w:val="002546BE"/>
    <w:rsid w:val="002D2352"/>
    <w:rsid w:val="003928AE"/>
    <w:rsid w:val="00396458"/>
    <w:rsid w:val="0044096D"/>
    <w:rsid w:val="004462F9"/>
    <w:rsid w:val="005448B4"/>
    <w:rsid w:val="00586F88"/>
    <w:rsid w:val="005C2EE7"/>
    <w:rsid w:val="005E57EF"/>
    <w:rsid w:val="00757683"/>
    <w:rsid w:val="008C4996"/>
    <w:rsid w:val="008E5EF4"/>
    <w:rsid w:val="0091781C"/>
    <w:rsid w:val="00923CA0"/>
    <w:rsid w:val="00951108"/>
    <w:rsid w:val="00995AEB"/>
    <w:rsid w:val="00A922C3"/>
    <w:rsid w:val="00A923FA"/>
    <w:rsid w:val="00AB767C"/>
    <w:rsid w:val="00B37901"/>
    <w:rsid w:val="00B80B4D"/>
    <w:rsid w:val="00B82ABD"/>
    <w:rsid w:val="00BA14BA"/>
    <w:rsid w:val="00C13D5A"/>
    <w:rsid w:val="00C9211C"/>
    <w:rsid w:val="00D6722A"/>
    <w:rsid w:val="00E9480B"/>
    <w:rsid w:val="00EC5117"/>
    <w:rsid w:val="00FC6DBA"/>
    <w:rsid w:val="00FD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F21BB"/>
  <w15:chartTrackingRefBased/>
  <w15:docId w15:val="{87C57277-1DE1-43D8-BA67-006C598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7C"/>
    <w:pPr>
      <w:spacing w:after="200" w:line="276" w:lineRule="auto"/>
    </w:pPr>
  </w:style>
  <w:style w:type="paragraph" w:styleId="Heading1">
    <w:name w:val="heading 1"/>
    <w:basedOn w:val="Normal"/>
    <w:next w:val="Normal"/>
    <w:link w:val="Heading1Char"/>
    <w:qFormat/>
    <w:rsid w:val="00AB767C"/>
    <w:pPr>
      <w:keepNext/>
      <w:numPr>
        <w:numId w:val="1"/>
      </w:numPr>
      <w:spacing w:after="0" w:line="240" w:lineRule="auto"/>
      <w:jc w:val="both"/>
      <w:outlineLvl w:val="0"/>
    </w:pPr>
    <w:rPr>
      <w:rFonts w:ascii="Arial" w:eastAsia="Times New Roman" w:hAnsi="Arial" w:cs="Times New Roman"/>
      <w:b/>
      <w:sz w:val="24"/>
      <w:szCs w:val="24"/>
      <w:lang w:eastAsia="en-GB"/>
    </w:rPr>
  </w:style>
  <w:style w:type="paragraph" w:styleId="Heading3">
    <w:name w:val="heading 3"/>
    <w:basedOn w:val="Normal"/>
    <w:next w:val="Normal"/>
    <w:link w:val="Heading3Char"/>
    <w:uiPriority w:val="9"/>
    <w:semiHidden/>
    <w:unhideWhenUsed/>
    <w:qFormat/>
    <w:rsid w:val="00EC5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67C"/>
    <w:rPr>
      <w:rFonts w:ascii="Arial" w:eastAsia="Times New Roman" w:hAnsi="Arial" w:cs="Times New Roman"/>
      <w:b/>
      <w:sz w:val="24"/>
      <w:szCs w:val="24"/>
      <w:lang w:eastAsia="en-GB"/>
    </w:rPr>
  </w:style>
  <w:style w:type="paragraph" w:styleId="ListParagraph">
    <w:name w:val="List Paragraph"/>
    <w:basedOn w:val="Normal"/>
    <w:uiPriority w:val="34"/>
    <w:qFormat/>
    <w:rsid w:val="00AB767C"/>
    <w:pPr>
      <w:spacing w:after="0" w:line="240" w:lineRule="auto"/>
      <w:ind w:left="720"/>
    </w:pPr>
    <w:rPr>
      <w:rFonts w:ascii="Arial" w:eastAsia="Times New Roman" w:hAnsi="Arial" w:cs="Times New Roman"/>
      <w:sz w:val="24"/>
      <w:szCs w:val="24"/>
      <w:lang w:eastAsia="en-GB"/>
    </w:rPr>
  </w:style>
  <w:style w:type="character" w:customStyle="1" w:styleId="organisation-logo">
    <w:name w:val="organisation-logo"/>
    <w:rsid w:val="00AB767C"/>
  </w:style>
  <w:style w:type="character" w:styleId="CommentReference">
    <w:name w:val="annotation reference"/>
    <w:basedOn w:val="DefaultParagraphFont"/>
    <w:uiPriority w:val="99"/>
    <w:semiHidden/>
    <w:unhideWhenUsed/>
    <w:rsid w:val="00AB767C"/>
    <w:rPr>
      <w:sz w:val="16"/>
      <w:szCs w:val="16"/>
    </w:rPr>
  </w:style>
  <w:style w:type="paragraph" w:styleId="CommentText">
    <w:name w:val="annotation text"/>
    <w:basedOn w:val="Normal"/>
    <w:link w:val="CommentTextChar"/>
    <w:uiPriority w:val="99"/>
    <w:semiHidden/>
    <w:unhideWhenUsed/>
    <w:rsid w:val="00AB767C"/>
    <w:pPr>
      <w:spacing w:line="240" w:lineRule="auto"/>
    </w:pPr>
    <w:rPr>
      <w:sz w:val="20"/>
      <w:szCs w:val="20"/>
    </w:rPr>
  </w:style>
  <w:style w:type="character" w:customStyle="1" w:styleId="CommentTextChar">
    <w:name w:val="Comment Text Char"/>
    <w:basedOn w:val="DefaultParagraphFont"/>
    <w:link w:val="CommentText"/>
    <w:uiPriority w:val="99"/>
    <w:semiHidden/>
    <w:rsid w:val="00AB767C"/>
    <w:rPr>
      <w:sz w:val="20"/>
      <w:szCs w:val="20"/>
    </w:rPr>
  </w:style>
  <w:style w:type="paragraph" w:styleId="PlainText">
    <w:name w:val="Plain Text"/>
    <w:basedOn w:val="Normal"/>
    <w:link w:val="PlainTextChar"/>
    <w:uiPriority w:val="99"/>
    <w:semiHidden/>
    <w:unhideWhenUsed/>
    <w:rsid w:val="00AB767C"/>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semiHidden/>
    <w:rsid w:val="00AB767C"/>
    <w:rPr>
      <w:rFonts w:ascii="Calibri" w:eastAsiaTheme="minorEastAsia" w:hAnsi="Calibri" w:cs="Consolas"/>
      <w:szCs w:val="21"/>
      <w:lang w:eastAsia="en-GB"/>
    </w:rPr>
  </w:style>
  <w:style w:type="paragraph" w:styleId="BalloonText">
    <w:name w:val="Balloon Text"/>
    <w:basedOn w:val="Normal"/>
    <w:link w:val="BalloonTextChar"/>
    <w:uiPriority w:val="99"/>
    <w:semiHidden/>
    <w:unhideWhenUsed/>
    <w:rsid w:val="0054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4"/>
    <w:rPr>
      <w:rFonts w:ascii="Segoe UI" w:hAnsi="Segoe UI" w:cs="Segoe UI"/>
      <w:sz w:val="18"/>
      <w:szCs w:val="18"/>
    </w:rPr>
  </w:style>
  <w:style w:type="paragraph" w:styleId="Header">
    <w:name w:val="header"/>
    <w:basedOn w:val="Normal"/>
    <w:link w:val="HeaderChar"/>
    <w:uiPriority w:val="99"/>
    <w:unhideWhenUsed/>
    <w:rsid w:val="00544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B4"/>
  </w:style>
  <w:style w:type="paragraph" w:styleId="Footer">
    <w:name w:val="footer"/>
    <w:basedOn w:val="Normal"/>
    <w:link w:val="FooterChar"/>
    <w:uiPriority w:val="99"/>
    <w:unhideWhenUsed/>
    <w:rsid w:val="00544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B4"/>
  </w:style>
  <w:style w:type="character" w:customStyle="1" w:styleId="Heading3Char">
    <w:name w:val="Heading 3 Char"/>
    <w:basedOn w:val="DefaultParagraphFont"/>
    <w:link w:val="Heading3"/>
    <w:uiPriority w:val="9"/>
    <w:semiHidden/>
    <w:rsid w:val="00EC511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rsid w:val="00EC51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C51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pga/1998/29/cont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ranet.nottscc.gov.uk/policiesperformance/policy/policy-library/?entryid100=128702&amp;q=0%7edata+pro%7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NCC Document" ma:contentTypeID="0x01010098A77BC932DF7A47999647AAD48BE41E003B1DCA3D3CCAB64693522493E932E318" ma:contentTypeVersion="2453" ma:contentTypeDescription="This is the base NCC document content type." ma:contentTypeScope="" ma:versionID="bc47ce0356ab63d087f68b1bab2166ec">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0effd24bee0583f18ee453ce61f58a39"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element ref="ns2:Legacy_Path" minOccurs="0"/>
                <xsd:element ref="ns2:Migrated_Date" minOccurs="0"/>
                <xsd:element ref="ns2:e966ca4ee07a4efeb01368c8f762457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ma:taxonomy="true" ma:internalName="oe012239d41845c58cd5da6331d25a21" ma:taxonomyFieldName="Document_Type" ma:displayName="Document Typ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ma:taxonomy="true" ma:internalName="d511894b8e164ab581e46000ea18c6b0" ma:taxonomyFieldName="Security_Classification" ma:displayName="Security Classification"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ma:taxonomy="true" ma:internalName="n3085ecab7174dc68bde185ade3f32b9" ma:taxonomyFieldName="NCC_Status" ma:displayName="Doc Status"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element name="Legacy_Path" ma:index="25" nillable="true" ma:displayName="Legacy Path" ma:internalName="Legacy_Path">
      <xsd:simpleType>
        <xsd:restriction base="dms:Text">
          <xsd:maxLength value="255"/>
        </xsd:restriction>
      </xsd:simpleType>
    </xsd:element>
    <xsd:element name="Migrated_Date" ma:index="26" nillable="true" ma:displayName="Migrated Date" ma:format="DateTime" ma:internalName="Migrated_Date">
      <xsd:simpleType>
        <xsd:restriction base="dms:DateTime"/>
      </xsd:simpleType>
    </xsd:element>
    <xsd:element name="e966ca4ee07a4efeb01368c8f7624570" ma:index="27" nillable="true" ma:taxonomy="true" ma:internalName="e966ca4ee07a4efeb01368c8f7624570" ma:taxonomyFieldName="Target" ma:displayName="Target" ma:default="" ma:fieldId="{e966ca4e-e07a-4efe-b013-68c8f7624570}" ma:sspId="64c9d834-598d-44db-8280-f2a48873429d" ma:termSetId="f010b4a4-fd2b-404c-a153-57580e8527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362dfb8e-038a-463a-9c57-7aca0d5a5e03</TermId>
        </TermInfo>
      </Terms>
    </n3085ecab7174dc68bde185ade3f32b9>
    <TaxCatchAll xmlns="0defb683-ad47-44b8-91c0-b16753e7297d">
      <Value>84</Value>
      <Value>549</Value>
      <Value>32</Value>
      <Value>13</Value>
      <Value>31</Value>
      <Value>29</Value>
      <Value>115</Value>
      <Value>506</Value>
      <Value>505</Value>
      <Value>4</Value>
      <Value>94</Value>
      <Value>92</Value>
      <Value>17</Value>
      <Value>422</Value>
      <Value>310</Value>
      <Value>87</Value>
      <Value>85</Value>
      <Value>88</Value>
      <Value>83</Value>
      <Value>156</Value>
      <Value>560</Value>
      <Value>411</Value>
      <Value>165</Value>
      <Value>111</Value>
    </TaxCatchAll>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7002015f-b89c-4d1e-a569-06b64e154b1a</TermId>
        </TermInfo>
      </Terms>
    </d511894b8e164ab581e46000ea18c6b0>
    <fafe4fe03ee043a891e5247f86bc811b xmlns="92bfb92f-bbf5-40d9-929c-4d18231ced2b">
      <Terms xmlns="http://schemas.microsoft.com/office/infopath/2007/PartnerControls"/>
    </fafe4fe03ee043a891e5247f86bc811b>
    <CSMeta2010Field xmlns="http://schemas.microsoft.com/sharepoint/v3">ab059c25-3e77-4dec-84ba-75ebd38a3c62;2016-04-05 13:34:58;FULLYMANUALCLASSIFIED;False</CSMeta2010Field>
    <mc98c939301f4786b8dcad3491aeb6e8 xmlns="92bfb92f-bbf5-40d9-929c-4d18231ced2b">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97a0684d-57d0-4091-af74-0a1e35b73b9e</TermId>
        </TermInfo>
      </Terms>
    </mc98c939301f4786b8dcad3491aeb6e8>
    <Migrated_Date xmlns="92bfb92f-bbf5-40d9-929c-4d18231ced2b" xsi:nil="true"/>
    <e966ca4ee07a4efeb01368c8f7624570 xmlns="92bfb92f-bbf5-40d9-929c-4d18231ced2b">
      <Terms xmlns="http://schemas.microsoft.com/office/infopath/2007/PartnerControls"/>
    </e966ca4ee07a4efeb01368c8f7624570>
    <oe012239d41845c58cd5da6331d25a21 xmlns="92bfb92f-bbf5-40d9-929c-4d18231ced2b">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c3d71522-7b98-4f9d-9424-c1047d907809</TermId>
        </TermInfo>
      </Terms>
    </oe012239d41845c58cd5da6331d25a21>
    <Legacy_Path xmlns="92bfb92f-bbf5-40d9-929c-4d18231ced2b" xsi:nil="true"/>
    <ba31a95c39794849ba6667a1dc8b9af7 xmlns="92bfb92f-bbf5-40d9-929c-4d18231ced2b">
      <Terms xmlns="http://schemas.microsoft.com/office/infopath/2007/PartnerControls">
        <TermInfo xmlns="http://schemas.microsoft.com/office/infopath/2007/PartnerControls">
          <TermName xmlns="http://schemas.microsoft.com/office/infopath/2007/PartnerControls">IM Policy Framework</TermName>
          <TermId xmlns="http://schemas.microsoft.com/office/infopath/2007/PartnerControls">051a8f34-6290-4ebc-9e30-2437a00b73c1</TermId>
        </TermInfo>
        <TermInfo xmlns="http://schemas.microsoft.com/office/infopath/2007/PartnerControls">
          <TermName xmlns="http://schemas.microsoft.com/office/infopath/2007/PartnerControls">Policies and Strategies</TermName>
          <TermId xmlns="http://schemas.microsoft.com/office/infopath/2007/PartnerControls">0f7ee3b8-f243-4aa7-8da1-aba87f2e7f08</TermId>
        </TermInfo>
        <TermInfo xmlns="http://schemas.microsoft.com/office/infopath/2007/PartnerControls">
          <TermName xmlns="http://schemas.microsoft.com/office/infopath/2007/PartnerControls">procedures</TermName>
          <TermId xmlns="http://schemas.microsoft.com/office/infopath/2007/PartnerControls">100f270d-24ad-4fb2-8c73-0cb1113e5633</TermId>
        </TermInfo>
        <TermInfo xmlns="http://schemas.microsoft.com/office/infopath/2007/PartnerControls">
          <TermName xmlns="http://schemas.microsoft.com/office/infopath/2007/PartnerControls">Strategies</TermName>
          <TermId xmlns="http://schemas.microsoft.com/office/infopath/2007/PartnerControls">bf38a754-03cd-490c-8898-da42015137ff</TermId>
        </TermInfo>
        <TermInfo xmlns="http://schemas.microsoft.com/office/infopath/2007/PartnerControls">
          <TermName xmlns="http://schemas.microsoft.com/office/infopath/2007/PartnerControls">Information Rights</TermName>
          <TermId xmlns="http://schemas.microsoft.com/office/infopath/2007/PartnerControls">c7b2c48f-a54a-47c1-a095-600abc60ea6c</TermId>
        </TermInfo>
        <TermInfo xmlns="http://schemas.microsoft.com/office/infopath/2007/PartnerControls">
          <TermName xmlns="http://schemas.microsoft.com/office/infopath/2007/PartnerControls">Planning</TermName>
          <TermId xmlns="http://schemas.microsoft.com/office/infopath/2007/PartnerControls">052011a7-5946-41f3-831d-e87b5cfeb067</TermId>
        </TermInfo>
        <TermInfo xmlns="http://schemas.microsoft.com/office/infopath/2007/PartnerControls">
          <TermName xmlns="http://schemas.microsoft.com/office/infopath/2007/PartnerControls">Information Assets</TermName>
          <TermId xmlns="http://schemas.microsoft.com/office/infopath/2007/PartnerControls">d79391ce-cb7c-43f1-8e0f-d435e06f6821</TermId>
        </TermInfo>
        <TermInfo xmlns="http://schemas.microsoft.com/office/infopath/2007/PartnerControls">
          <TermName xmlns="http://schemas.microsoft.com/office/infopath/2007/PartnerControls">Information Governance</TermName>
          <TermId xmlns="http://schemas.microsoft.com/office/infopath/2007/PartnerControls">8ccfc57c-1416-4222-a675-78771059123d</TermId>
        </TermInfo>
        <TermInfo xmlns="http://schemas.microsoft.com/office/infopath/2007/PartnerControls">
          <TermName xmlns="http://schemas.microsoft.com/office/infopath/2007/PartnerControls">Systems</TermName>
          <TermId xmlns="http://schemas.microsoft.com/office/infopath/2007/PartnerControls">b2a1badd-aacc-4191-a932-381196aff17f</TermId>
        </TermInfo>
        <TermInfo xmlns="http://schemas.microsoft.com/office/infopath/2007/PartnerControls">
          <TermName xmlns="http://schemas.microsoft.com/office/infopath/2007/PartnerControls">Performance Management Process</TermName>
          <TermId xmlns="http://schemas.microsoft.com/office/infopath/2007/PartnerControls">c01be78d-1928-458c-8abe-d89ec956371e</TermId>
        </TermInfo>
        <TermInfo xmlns="http://schemas.microsoft.com/office/infopath/2007/PartnerControls">
          <TermName xmlns="http://schemas.microsoft.com/office/infopath/2007/PartnerControls">Accessibility</TermName>
          <TermId xmlns="http://schemas.microsoft.com/office/infopath/2007/PartnerControls">80d3d703-4cf0-45bc-b97e-06358d47c5dc</TermId>
        </TermInfo>
        <TermInfo xmlns="http://schemas.microsoft.com/office/infopath/2007/PartnerControls">
          <TermName xmlns="http://schemas.microsoft.com/office/infopath/2007/PartnerControls">Information Management</TermName>
          <TermId xmlns="http://schemas.microsoft.com/office/infopath/2007/PartnerControls">d3a99cb6-f806-4b48-acec-5ef64e4a5f9b</TermId>
        </TermInfo>
        <TermInfo xmlns="http://schemas.microsoft.com/office/infopath/2007/PartnerControls">
          <TermName xmlns="http://schemas.microsoft.com/office/infopath/2007/PartnerControls">External</TermName>
          <TermId xmlns="http://schemas.microsoft.com/office/infopath/2007/PartnerControls">da58717d-67f1-4bc1-8cc6-84919ea42efd</TermId>
        </TermInfo>
        <TermInfo xmlns="http://schemas.microsoft.com/office/infopath/2007/PartnerControls">
          <TermName xmlns="http://schemas.microsoft.com/office/infopath/2007/PartnerControls">Planning</TermName>
          <TermId xmlns="http://schemas.microsoft.com/office/infopath/2007/PartnerControls">f2a3c5f2-e2f6-4566-96dd-f0233cc8047d</TermId>
        </TermInfo>
        <TermInfo xmlns="http://schemas.microsoft.com/office/infopath/2007/PartnerControls">
          <TermName xmlns="http://schemas.microsoft.com/office/infopath/2007/PartnerControls">Branding</TermName>
          <TermId xmlns="http://schemas.microsoft.com/office/infopath/2007/PartnerControls">6bdcf5b1-ff1f-41c3-b865-4e104ae662d5</TermId>
        </TermInfo>
        <TermInfo xmlns="http://schemas.microsoft.com/office/infopath/2007/PartnerControls">
          <TermName xmlns="http://schemas.microsoft.com/office/infopath/2007/PartnerControls">Specifications</TermName>
          <TermId xmlns="http://schemas.microsoft.com/office/infopath/2007/PartnerControls">987ff9bb-a749-4220-a814-d4f2eeb8d7fd</TermId>
        </TermInfo>
        <TermInfo xmlns="http://schemas.microsoft.com/office/infopath/2007/PartnerControls">
          <TermName xmlns="http://schemas.microsoft.com/office/infopath/2007/PartnerControls">Internal Audit</TermName>
          <TermId xmlns="http://schemas.microsoft.com/office/infopath/2007/PartnerControls">3e469cf5-8143-4aa8-bd94-33c9647c6e2b</TermId>
        </TermInfo>
        <TermInfo xmlns="http://schemas.microsoft.com/office/infopath/2007/PartnerControls">
          <TermName xmlns="http://schemas.microsoft.com/office/infopath/2007/PartnerControls">Members</TermName>
          <TermId xmlns="http://schemas.microsoft.com/office/infopath/2007/PartnerControls">45586ce7-803c-4fdf-b26f-6a10c57b8125</TermId>
        </TermInfo>
        <TermInfo xmlns="http://schemas.microsoft.com/office/infopath/2007/PartnerControls">
          <TermName xmlns="http://schemas.microsoft.com/office/infopath/2007/PartnerControls">Internal</TermName>
          <TermId xmlns="http://schemas.microsoft.com/office/infopath/2007/PartnerControls">9c2bf400-4140-4f4f-a561-8cdcb2a8c879</TermId>
        </TermInfo>
        <TermInfo xmlns="http://schemas.microsoft.com/office/infopath/2007/PartnerControls">
          <TermName xmlns="http://schemas.microsoft.com/office/infopath/2007/PartnerControls">Infrastructure</TermName>
          <TermId xmlns="http://schemas.microsoft.com/office/infopath/2007/PartnerControls">82718d99-083c-4bed-bbe6-5a00b4d0d353</TermId>
        </TermInfo>
      </Terms>
    </ba31a95c39794849ba6667a1dc8b9af7>
    <l04aa84ccd2f4bf683c8770bd0805e99 xmlns="92bfb92f-bbf5-40d9-929c-4d18231ced2b">
      <Terms xmlns="http://schemas.microsoft.com/office/infopath/2007/PartnerControls"/>
    </l04aa84ccd2f4bf683c8770bd0805e99>
  </documentManagement>
</p:properties>
</file>

<file path=customXml/itemProps1.xml><?xml version="1.0" encoding="utf-8"?>
<ds:datastoreItem xmlns:ds="http://schemas.openxmlformats.org/officeDocument/2006/customXml" ds:itemID="{75739148-1B36-438F-B31E-667BA7C502C0}">
  <ds:schemaRefs>
    <ds:schemaRef ds:uri="Microsoft.SharePoint.Taxonomy.ContentTypeSync"/>
  </ds:schemaRefs>
</ds:datastoreItem>
</file>

<file path=customXml/itemProps2.xml><?xml version="1.0" encoding="utf-8"?>
<ds:datastoreItem xmlns:ds="http://schemas.openxmlformats.org/officeDocument/2006/customXml" ds:itemID="{A45AFD4E-60EF-48B4-8E0D-39123549A10A}">
  <ds:schemaRefs>
    <ds:schemaRef ds:uri="http://schemas.microsoft.com/office/2006/metadata/customXsn"/>
  </ds:schemaRefs>
</ds:datastoreItem>
</file>

<file path=customXml/itemProps3.xml><?xml version="1.0" encoding="utf-8"?>
<ds:datastoreItem xmlns:ds="http://schemas.openxmlformats.org/officeDocument/2006/customXml" ds:itemID="{3BA5650D-A0C7-4A9E-B6ED-92EAEEF2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1EC7D-B006-4C4F-BFC8-BAEC55ED1042}">
  <ds:schemaRefs>
    <ds:schemaRef ds:uri="http://schemas.microsoft.com/sharepoint/v3/contenttype/forms"/>
  </ds:schemaRefs>
</ds:datastoreItem>
</file>

<file path=customXml/itemProps5.xml><?xml version="1.0" encoding="utf-8"?>
<ds:datastoreItem xmlns:ds="http://schemas.openxmlformats.org/officeDocument/2006/customXml" ds:itemID="{09D6E4E1-0F30-468F-BB08-7A18BEBBEE8D}">
  <ds:schemaRefs>
    <ds:schemaRef ds:uri="http://schemas.microsoft.com/sharepoint/events"/>
  </ds:schemaRefs>
</ds:datastoreItem>
</file>

<file path=customXml/itemProps6.xml><?xml version="1.0" encoding="utf-8"?>
<ds:datastoreItem xmlns:ds="http://schemas.openxmlformats.org/officeDocument/2006/customXml" ds:itemID="{DFDF5659-6843-45B2-89D4-CB49E608EF58}">
  <ds:schemaRefs>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0defb683-ad47-44b8-91c0-b16753e7297d"/>
    <ds:schemaRef ds:uri="92bfb92f-bbf5-40d9-929c-4d18231ced2b"/>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Information Management and Data Quality Policy v2.0 2016</vt:lpstr>
    </vt:vector>
  </TitlesOfParts>
  <Company>NCC</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and Data Quality Policy v2.0 2016</dc:title>
  <dc:subject/>
  <dc:creator>Matthew Garrard</dc:creator>
  <cp:keywords/>
  <dc:description/>
  <cp:lastModifiedBy>william smith</cp:lastModifiedBy>
  <cp:revision>2</cp:revision>
  <dcterms:created xsi:type="dcterms:W3CDTF">2016-09-19T10:43:00Z</dcterms:created>
  <dcterms:modified xsi:type="dcterms:W3CDTF">2016-09-19T10:43:00Z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0x01010098A77BC932DF7A47999647AAD48BE41E003B1DCA3D3CCAB64693522493E932E318</vt:lpwstr>
  </property>
  <property fmtid="{D5CDD505-2E9C-101B-9397-08002B2CF9AE}" pid="3" name="Security_Classification">
    <vt:lpwstr>4;#UNCLASSIFIED|7002015f-b89c-4d1e-a569-06b64e154b1a</vt:lpwstr>
  </property>
  <property fmtid="{D5CDD505-2E9C-101B-9397-08002B2CF9AE}" pid="4" name="NCC_Status">
    <vt:lpwstr>411;#Final|362dfb8e-038a-463a-9c57-7aca0d5a5e03</vt:lpwstr>
  </property>
  <property fmtid="{D5CDD505-2E9C-101B-9397-08002B2CF9AE}" pid="5" name="Financial_Year">
    <vt:lpwstr/>
  </property>
  <property fmtid="{D5CDD505-2E9C-101B-9397-08002B2CF9AE}" pid="6" name="Authoring_Team">
    <vt:lpwstr>422;#Information Management|97a0684d-57d0-4091-af74-0a1e35b73b9e</vt:lpwstr>
  </property>
  <property fmtid="{D5CDD505-2E9C-101B-9397-08002B2CF9AE}" pid="7" name="Document_Type">
    <vt:lpwstr>94;#Policy|c3d71522-7b98-4f9d-9424-c1047d907809</vt:lpwstr>
  </property>
  <property fmtid="{D5CDD505-2E9C-101B-9397-08002B2CF9AE}" pid="8" name="File_Plan">
    <vt:lpwstr>17;#IM Policy Framework|051a8f34-6290-4ebc-9e30-2437a00b73c1;#85;#Policies and Strategies|0f7ee3b8-f243-4aa7-8da1-aba87f2e7f08;#87;#procedures|100f270d-24ad-4fb2-8c73-0cb1113e5633;#84;#Strategies|bf38a754-03cd-490c-8898-da42015137ff;#83;#Information Right</vt:lpwstr>
  </property>
  <property fmtid="{D5CDD505-2E9C-101B-9397-08002B2CF9AE}" pid="9" name="NCC_Audience">
    <vt:lpwstr/>
  </property>
  <property fmtid="{D5CDD505-2E9C-101B-9397-08002B2CF9AE}" pid="10" name="Target">
    <vt:lpwstr/>
  </property>
</Properties>
</file>