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441E" w14:textId="77777777" w:rsidR="002721A1" w:rsidRDefault="00D9021E">
      <w:pPr>
        <w:spacing w:after="0" w:line="259" w:lineRule="auto"/>
        <w:ind w:left="0" w:firstLine="0"/>
        <w:jc w:val="right"/>
      </w:pPr>
      <w:r>
        <w:t xml:space="preserve"> </w:t>
      </w:r>
    </w:p>
    <w:p w14:paraId="0659F237" w14:textId="77777777" w:rsidR="002721A1" w:rsidRDefault="00D9021E">
      <w:pPr>
        <w:spacing w:after="0" w:line="259" w:lineRule="auto"/>
        <w:ind w:left="0" w:right="4414" w:firstLine="0"/>
        <w:jc w:val="center"/>
      </w:pPr>
      <w:r>
        <w:rPr>
          <w:noProof/>
        </w:rPr>
        <w:drawing>
          <wp:inline distT="0" distB="0" distL="0" distR="0" wp14:anchorId="3DF3BDE7" wp14:editId="4AC91BF6">
            <wp:extent cx="2950464" cy="4998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950464" cy="499872"/>
                    </a:xfrm>
                    <a:prstGeom prst="rect">
                      <a:avLst/>
                    </a:prstGeom>
                  </pic:spPr>
                </pic:pic>
              </a:graphicData>
            </a:graphic>
          </wp:inline>
        </w:drawing>
      </w:r>
      <w:r>
        <w:t xml:space="preserve">  </w:t>
      </w:r>
    </w:p>
    <w:p w14:paraId="43ADEE1D" w14:textId="77777777" w:rsidR="002721A1" w:rsidRDefault="00D9021E">
      <w:pPr>
        <w:pBdr>
          <w:top w:val="single" w:sz="4" w:space="0" w:color="000000"/>
          <w:left w:val="single" w:sz="4" w:space="0" w:color="000000"/>
          <w:bottom w:val="single" w:sz="4" w:space="0" w:color="000000"/>
          <w:right w:val="single" w:sz="4" w:space="0" w:color="000000"/>
        </w:pBdr>
        <w:spacing w:after="0" w:line="259" w:lineRule="auto"/>
        <w:ind w:left="0" w:right="823" w:firstLine="0"/>
        <w:jc w:val="center"/>
      </w:pPr>
      <w:r>
        <w:rPr>
          <w:b/>
        </w:rPr>
        <w:t xml:space="preserve"> </w:t>
      </w:r>
    </w:p>
    <w:p w14:paraId="0294A8FA" w14:textId="77777777" w:rsidR="002721A1" w:rsidRDefault="00D9021E">
      <w:pPr>
        <w:pBdr>
          <w:top w:val="single" w:sz="4" w:space="0" w:color="000000"/>
          <w:left w:val="single" w:sz="4" w:space="0" w:color="000000"/>
          <w:bottom w:val="single" w:sz="4" w:space="0" w:color="000000"/>
          <w:right w:val="single" w:sz="4" w:space="0" w:color="000000"/>
        </w:pBdr>
        <w:spacing w:after="0" w:line="259" w:lineRule="auto"/>
        <w:ind w:left="0" w:right="823" w:firstLine="0"/>
        <w:jc w:val="center"/>
      </w:pPr>
      <w:r>
        <w:rPr>
          <w:b/>
        </w:rPr>
        <w:t xml:space="preserve">Policy Library Pro Forma  </w:t>
      </w:r>
    </w:p>
    <w:p w14:paraId="1C233B84" w14:textId="77777777" w:rsidR="002721A1" w:rsidRDefault="00D9021E">
      <w:pPr>
        <w:pBdr>
          <w:top w:val="single" w:sz="4" w:space="0" w:color="000000"/>
          <w:left w:val="single" w:sz="4" w:space="0" w:color="000000"/>
          <w:bottom w:val="single" w:sz="4" w:space="0" w:color="000000"/>
          <w:right w:val="single" w:sz="4" w:space="0" w:color="000000"/>
        </w:pBdr>
        <w:spacing w:after="12" w:line="240" w:lineRule="auto"/>
        <w:ind w:left="2993" w:right="823" w:hanging="2993"/>
      </w:pPr>
      <w:r>
        <w:t>This information will be used to add a policy, procedure, guidance or strategy to the Policy Library.</w:t>
      </w:r>
      <w:r>
        <w:rPr>
          <w:b/>
        </w:rPr>
        <w:t xml:space="preserve"> </w:t>
      </w:r>
    </w:p>
    <w:p w14:paraId="0EAEEF61" w14:textId="77777777" w:rsidR="002721A1" w:rsidRDefault="00D9021E">
      <w:pPr>
        <w:spacing w:after="0" w:line="259" w:lineRule="auto"/>
        <w:ind w:left="0" w:right="631" w:firstLine="0"/>
        <w:jc w:val="center"/>
      </w:pPr>
      <w:r>
        <w:t xml:space="preserve"> </w:t>
      </w:r>
    </w:p>
    <w:p w14:paraId="68221E19" w14:textId="77777777" w:rsidR="002721A1" w:rsidRDefault="00D9021E" w:rsidP="00540D4C">
      <w:pPr>
        <w:pBdr>
          <w:top w:val="single" w:sz="4" w:space="0" w:color="000000"/>
          <w:left w:val="single" w:sz="4" w:space="0" w:color="000000"/>
          <w:bottom w:val="single" w:sz="4" w:space="0" w:color="000000"/>
          <w:right w:val="single" w:sz="4" w:space="0" w:color="000000"/>
        </w:pBdr>
        <w:shd w:val="clear" w:color="auto" w:fill="E6E6E6"/>
        <w:spacing w:after="299" w:line="250" w:lineRule="auto"/>
        <w:ind w:left="-5" w:right="830"/>
      </w:pPr>
      <w:r>
        <w:rPr>
          <w:b/>
        </w:rPr>
        <w:t xml:space="preserve">Title: </w:t>
      </w:r>
      <w:r>
        <w:t>Protection of Property and Pets, and Funeral Arrangements Policy</w:t>
      </w:r>
      <w:r>
        <w:rPr>
          <w:b/>
        </w:rPr>
        <w:t xml:space="preserve"> </w:t>
      </w:r>
    </w:p>
    <w:p w14:paraId="2BE5EAE2" w14:textId="77777777" w:rsidR="00540D4C" w:rsidRDefault="00D9021E">
      <w:pPr>
        <w:spacing w:after="0" w:line="259" w:lineRule="auto"/>
        <w:ind w:left="0" w:firstLine="0"/>
      </w:pPr>
      <w:r>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8520"/>
      </w:tblGrid>
      <w:tr w:rsidR="00540D4C" w14:paraId="31C5F053" w14:textId="77777777" w:rsidTr="0093458D">
        <w:trPr>
          <w:trHeight w:val="284"/>
        </w:trPr>
        <w:tc>
          <w:tcPr>
            <w:tcW w:w="8520" w:type="dxa"/>
            <w:tcBorders>
              <w:top w:val="single" w:sz="4" w:space="0" w:color="000000"/>
              <w:left w:val="single" w:sz="4" w:space="0" w:color="000000"/>
              <w:bottom w:val="single" w:sz="4" w:space="0" w:color="000000"/>
              <w:right w:val="single" w:sz="4" w:space="0" w:color="000000"/>
            </w:tcBorders>
            <w:shd w:val="clear" w:color="auto" w:fill="E6E6E6"/>
          </w:tcPr>
          <w:p w14:paraId="2E70A064" w14:textId="7237B76A" w:rsidR="00540D4C" w:rsidRPr="00540D4C" w:rsidRDefault="00540D4C" w:rsidP="0093458D">
            <w:pPr>
              <w:spacing w:after="0" w:line="259" w:lineRule="auto"/>
              <w:ind w:left="0" w:firstLine="0"/>
            </w:pPr>
            <w:r>
              <w:rPr>
                <w:b/>
              </w:rPr>
              <w:t xml:space="preserve">Aim/Summary: </w:t>
            </w:r>
            <w:r>
              <w:t>To outline the Council’s responsibility for the protection of property, including pets and for funeral arrangements.</w:t>
            </w:r>
          </w:p>
        </w:tc>
      </w:tr>
    </w:tbl>
    <w:p w14:paraId="7FE99851" w14:textId="7E058199" w:rsidR="002721A1" w:rsidRDefault="00CC59F1" w:rsidP="00CC59F1">
      <w:pPr>
        <w:tabs>
          <w:tab w:val="left" w:pos="7490"/>
        </w:tabs>
        <w:spacing w:after="0" w:line="259" w:lineRule="auto"/>
        <w:ind w:left="0" w:firstLine="0"/>
      </w:pPr>
      <w:r>
        <w:tab/>
      </w:r>
      <w:bookmarkStart w:id="0" w:name="_GoBack"/>
      <w:bookmarkEnd w:id="0"/>
    </w:p>
    <w:p w14:paraId="28C97D5A" w14:textId="71874631" w:rsidR="002721A1" w:rsidRDefault="00D9021E">
      <w:pPr>
        <w:spacing w:after="0" w:line="259" w:lineRule="auto"/>
        <w:ind w:left="0" w:firstLine="0"/>
      </w:pPr>
      <w:r>
        <w:tab/>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1724"/>
        <w:gridCol w:w="2522"/>
        <w:gridCol w:w="2875"/>
        <w:gridCol w:w="1399"/>
      </w:tblGrid>
      <w:tr w:rsidR="002721A1" w14:paraId="64777905" w14:textId="77777777">
        <w:trPr>
          <w:trHeight w:val="284"/>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6E6E6"/>
          </w:tcPr>
          <w:p w14:paraId="54DAAEF9" w14:textId="77777777" w:rsidR="002721A1" w:rsidRDefault="00D9021E">
            <w:pPr>
              <w:spacing w:after="0" w:line="259" w:lineRule="auto"/>
              <w:ind w:left="0" w:firstLine="0"/>
            </w:pPr>
            <w:r>
              <w:rPr>
                <w:b/>
              </w:rPr>
              <w:t>Document type</w:t>
            </w:r>
            <w:r>
              <w:t xml:space="preserve"> (please choose one)  </w:t>
            </w:r>
          </w:p>
        </w:tc>
      </w:tr>
      <w:tr w:rsidR="002721A1" w14:paraId="1E122A7E" w14:textId="77777777">
        <w:trPr>
          <w:trHeight w:val="341"/>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566AAA9A" w14:textId="77777777" w:rsidR="002721A1" w:rsidRDefault="00D9021E">
            <w:pPr>
              <w:spacing w:after="0" w:line="259" w:lineRule="auto"/>
              <w:ind w:left="0" w:firstLine="0"/>
            </w:pPr>
            <w:r>
              <w:t xml:space="preserve">Policy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551FC477" w14:textId="77777777" w:rsidR="002721A1" w:rsidRDefault="00D9021E">
            <w:pPr>
              <w:spacing w:after="0" w:line="259" w:lineRule="auto"/>
              <w:ind w:left="1" w:firstLine="0"/>
            </w:pPr>
            <w:r>
              <w:t xml:space="preserve">X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3EC0DFFF" w14:textId="77777777" w:rsidR="002721A1" w:rsidRDefault="00D9021E">
            <w:pPr>
              <w:spacing w:after="0" w:line="259" w:lineRule="auto"/>
              <w:ind w:left="1" w:firstLine="0"/>
            </w:pPr>
            <w:r>
              <w:t xml:space="preserve">Guidance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085E2084" w14:textId="77777777" w:rsidR="002721A1" w:rsidRDefault="00D9021E">
            <w:pPr>
              <w:spacing w:after="0" w:line="259" w:lineRule="auto"/>
              <w:ind w:left="1" w:firstLine="0"/>
            </w:pPr>
            <w:r>
              <w:t xml:space="preserve"> </w:t>
            </w:r>
          </w:p>
        </w:tc>
      </w:tr>
      <w:tr w:rsidR="002721A1" w14:paraId="6B52C11C" w14:textId="77777777">
        <w:trPr>
          <w:trHeight w:val="354"/>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39F4E2A4" w14:textId="77777777" w:rsidR="002721A1" w:rsidRDefault="00D9021E">
            <w:pPr>
              <w:spacing w:after="0" w:line="259" w:lineRule="auto"/>
              <w:ind w:left="0" w:firstLine="0"/>
            </w:pPr>
            <w:r>
              <w:t xml:space="preserve">Strategy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02A77045" w14:textId="77777777" w:rsidR="002721A1" w:rsidRDefault="00D9021E">
            <w:pPr>
              <w:spacing w:after="0" w:line="259" w:lineRule="auto"/>
              <w:ind w:left="1" w:firstLine="0"/>
            </w:pPr>
            <w:r>
              <w:t xml:space="preserve">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6C8AAD81" w14:textId="77777777" w:rsidR="002721A1" w:rsidRDefault="00D9021E">
            <w:pPr>
              <w:spacing w:after="0" w:line="259" w:lineRule="auto"/>
              <w:ind w:left="1" w:firstLine="0"/>
            </w:pPr>
            <w:r>
              <w:t xml:space="preserve">Procedure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1F2F0EAD" w14:textId="77777777" w:rsidR="002721A1" w:rsidRDefault="00D9021E">
            <w:pPr>
              <w:spacing w:after="0" w:line="259" w:lineRule="auto"/>
              <w:ind w:left="1" w:firstLine="0"/>
            </w:pPr>
            <w:r>
              <w:t xml:space="preserve"> </w:t>
            </w:r>
          </w:p>
        </w:tc>
      </w:tr>
    </w:tbl>
    <w:p w14:paraId="60C74D33" w14:textId="77777777" w:rsidR="002721A1" w:rsidRDefault="00D9021E">
      <w:pPr>
        <w:spacing w:after="0" w:line="259" w:lineRule="auto"/>
        <w:ind w:left="0" w:firstLine="0"/>
      </w:pPr>
      <w:r>
        <w:t xml:space="preserve"> </w:t>
      </w:r>
      <w:r>
        <w:tab/>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4247"/>
        <w:gridCol w:w="4273"/>
      </w:tblGrid>
      <w:tr w:rsidR="002721A1" w14:paraId="591C8660" w14:textId="77777777">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58E98B72" w14:textId="77777777" w:rsidR="002721A1" w:rsidRDefault="00D9021E">
            <w:pPr>
              <w:spacing w:after="0" w:line="259" w:lineRule="auto"/>
              <w:ind w:left="0" w:firstLine="0"/>
            </w:pPr>
            <w:r>
              <w:rPr>
                <w:b/>
              </w:rPr>
              <w:t xml:space="preserve">Approved by: </w:t>
            </w:r>
            <w:r>
              <w:t>Policy Committee</w:t>
            </w:r>
            <w:r>
              <w:rPr>
                <w:b/>
              </w:rPr>
              <w:t xml:space="preserve"> </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1297802A" w14:textId="3449D846" w:rsidR="002721A1" w:rsidRDefault="00D9021E">
            <w:pPr>
              <w:spacing w:after="0" w:line="259" w:lineRule="auto"/>
              <w:ind w:left="1" w:firstLine="0"/>
            </w:pPr>
            <w:r>
              <w:rPr>
                <w:b/>
              </w:rPr>
              <w:t xml:space="preserve">Version number: </w:t>
            </w:r>
            <w:r>
              <w:t>5</w:t>
            </w:r>
          </w:p>
        </w:tc>
      </w:tr>
      <w:tr w:rsidR="002721A1" w14:paraId="512B39D2" w14:textId="77777777">
        <w:trPr>
          <w:trHeight w:val="560"/>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365BF6C7" w14:textId="77777777" w:rsidR="002721A1" w:rsidRDefault="00D9021E">
            <w:pPr>
              <w:spacing w:after="0" w:line="259" w:lineRule="auto"/>
              <w:ind w:left="0" w:firstLine="0"/>
            </w:pPr>
            <w:r>
              <w:rPr>
                <w:b/>
              </w:rPr>
              <w:t xml:space="preserve">Date approved: </w:t>
            </w:r>
            <w:r>
              <w:t>22/4/2015</w:t>
            </w:r>
            <w:r>
              <w:rPr>
                <w:b/>
              </w:rPr>
              <w:t xml:space="preserve"> </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01170B56" w14:textId="2CEA63EA" w:rsidR="002721A1" w:rsidRDefault="00D9021E">
            <w:pPr>
              <w:spacing w:after="0" w:line="259" w:lineRule="auto"/>
              <w:ind w:left="1" w:firstLine="0"/>
            </w:pPr>
            <w:r>
              <w:rPr>
                <w:b/>
              </w:rPr>
              <w:t xml:space="preserve">Proposed review date: </w:t>
            </w:r>
            <w:r w:rsidR="00E80948" w:rsidRPr="00E80948">
              <w:t>24.01.2018</w:t>
            </w:r>
          </w:p>
          <w:p w14:paraId="6C1A89F4" w14:textId="77777777" w:rsidR="002721A1" w:rsidRDefault="00D9021E">
            <w:pPr>
              <w:spacing w:after="0" w:line="259" w:lineRule="auto"/>
              <w:ind w:left="1" w:firstLine="0"/>
            </w:pPr>
            <w:r>
              <w:t xml:space="preserve"> </w:t>
            </w:r>
          </w:p>
        </w:tc>
      </w:tr>
    </w:tbl>
    <w:p w14:paraId="02560D20" w14:textId="77777777" w:rsidR="002721A1" w:rsidRDefault="00D9021E">
      <w:pPr>
        <w:spacing w:after="0" w:line="259" w:lineRule="auto"/>
        <w:ind w:left="0" w:firstLine="0"/>
      </w:pPr>
      <w:r>
        <w:t xml:space="preserve"> </w:t>
      </w:r>
      <w:r>
        <w:tab/>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228"/>
        <w:gridCol w:w="2974"/>
        <w:gridCol w:w="1064"/>
        <w:gridCol w:w="2788"/>
        <w:gridCol w:w="1238"/>
        <w:gridCol w:w="228"/>
      </w:tblGrid>
      <w:tr w:rsidR="002721A1" w14:paraId="47C42D75" w14:textId="77777777">
        <w:trPr>
          <w:trHeight w:val="284"/>
        </w:trPr>
        <w:tc>
          <w:tcPr>
            <w:tcW w:w="4256" w:type="dxa"/>
            <w:gridSpan w:val="3"/>
            <w:tcBorders>
              <w:top w:val="single" w:sz="4" w:space="0" w:color="000000"/>
              <w:left w:val="single" w:sz="4" w:space="0" w:color="000000"/>
              <w:bottom w:val="single" w:sz="4" w:space="0" w:color="000000"/>
              <w:right w:val="nil"/>
            </w:tcBorders>
            <w:shd w:val="clear" w:color="auto" w:fill="E6E6E6"/>
          </w:tcPr>
          <w:p w14:paraId="3A424451" w14:textId="77777777" w:rsidR="002721A1" w:rsidRDefault="00D9021E">
            <w:pPr>
              <w:spacing w:after="0" w:line="259" w:lineRule="auto"/>
              <w:ind w:left="0" w:firstLine="0"/>
            </w:pPr>
            <w:r>
              <w:rPr>
                <w:b/>
              </w:rPr>
              <w:t>Subject Areas</w:t>
            </w:r>
            <w:r>
              <w:t xml:space="preserve"> (choose all relevant)  </w:t>
            </w:r>
          </w:p>
        </w:tc>
        <w:tc>
          <w:tcPr>
            <w:tcW w:w="2866" w:type="dxa"/>
            <w:tcBorders>
              <w:top w:val="single" w:sz="4" w:space="0" w:color="000000"/>
              <w:left w:val="nil"/>
              <w:bottom w:val="single" w:sz="4" w:space="0" w:color="000000"/>
              <w:right w:val="nil"/>
            </w:tcBorders>
            <w:shd w:val="clear" w:color="auto" w:fill="E6E6E6"/>
          </w:tcPr>
          <w:p w14:paraId="1B439A0B" w14:textId="77777777" w:rsidR="002721A1" w:rsidRDefault="002721A1">
            <w:pPr>
              <w:spacing w:after="160" w:line="259" w:lineRule="auto"/>
              <w:ind w:left="0" w:firstLine="0"/>
            </w:pPr>
          </w:p>
        </w:tc>
        <w:tc>
          <w:tcPr>
            <w:tcW w:w="1398" w:type="dxa"/>
            <w:gridSpan w:val="2"/>
            <w:tcBorders>
              <w:top w:val="single" w:sz="4" w:space="0" w:color="000000"/>
              <w:left w:val="nil"/>
              <w:bottom w:val="single" w:sz="4" w:space="0" w:color="000000"/>
              <w:right w:val="single" w:sz="4" w:space="0" w:color="000000"/>
            </w:tcBorders>
            <w:shd w:val="clear" w:color="auto" w:fill="E6E6E6"/>
          </w:tcPr>
          <w:p w14:paraId="0B794E79" w14:textId="77777777" w:rsidR="002721A1" w:rsidRDefault="002721A1">
            <w:pPr>
              <w:spacing w:after="160" w:line="259" w:lineRule="auto"/>
              <w:ind w:left="0" w:firstLine="0"/>
            </w:pPr>
          </w:p>
        </w:tc>
      </w:tr>
      <w:tr w:rsidR="002721A1" w14:paraId="2F963B70" w14:textId="77777777">
        <w:trPr>
          <w:trHeight w:val="288"/>
        </w:trPr>
        <w:tc>
          <w:tcPr>
            <w:tcW w:w="112" w:type="dxa"/>
            <w:vMerge w:val="restart"/>
            <w:tcBorders>
              <w:top w:val="nil"/>
              <w:left w:val="single" w:sz="4" w:space="0" w:color="000000"/>
              <w:bottom w:val="single" w:sz="8" w:space="0" w:color="000000"/>
              <w:right w:val="single" w:sz="4" w:space="0" w:color="000000"/>
            </w:tcBorders>
            <w:shd w:val="clear" w:color="auto" w:fill="E6E6E6"/>
          </w:tcPr>
          <w:p w14:paraId="4C10AF81"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3729C513" w14:textId="77777777" w:rsidR="002721A1" w:rsidRDefault="00D9021E">
            <w:pPr>
              <w:spacing w:after="0" w:line="259" w:lineRule="auto"/>
              <w:ind w:left="1" w:firstLine="0"/>
            </w:pPr>
            <w:r>
              <w:t xml:space="preserve">About the Council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587A423E"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654C2448" w14:textId="77777777" w:rsidR="002721A1" w:rsidRDefault="00D9021E">
            <w:pPr>
              <w:spacing w:after="0" w:line="259" w:lineRule="auto"/>
              <w:ind w:left="1" w:firstLine="0"/>
            </w:pPr>
            <w:r>
              <w:t xml:space="preserve">Older people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3518BD3E" w14:textId="77777777" w:rsidR="002721A1" w:rsidRDefault="00D9021E">
            <w:pPr>
              <w:spacing w:after="0" w:line="259" w:lineRule="auto"/>
              <w:ind w:left="1" w:firstLine="0"/>
            </w:pPr>
            <w:r>
              <w:t xml:space="preserve">X </w:t>
            </w:r>
          </w:p>
        </w:tc>
        <w:tc>
          <w:tcPr>
            <w:tcW w:w="116" w:type="dxa"/>
            <w:vMerge w:val="restart"/>
            <w:tcBorders>
              <w:top w:val="nil"/>
              <w:left w:val="single" w:sz="4" w:space="0" w:color="000000"/>
              <w:bottom w:val="single" w:sz="8" w:space="0" w:color="000000"/>
              <w:right w:val="single" w:sz="4" w:space="0" w:color="000000"/>
            </w:tcBorders>
            <w:shd w:val="clear" w:color="auto" w:fill="E6E6E6"/>
            <w:vAlign w:val="center"/>
          </w:tcPr>
          <w:p w14:paraId="1120BA42" w14:textId="77777777" w:rsidR="002721A1" w:rsidRDefault="002721A1">
            <w:pPr>
              <w:spacing w:after="160" w:line="259" w:lineRule="auto"/>
              <w:ind w:left="0" w:firstLine="0"/>
            </w:pPr>
          </w:p>
        </w:tc>
      </w:tr>
      <w:tr w:rsidR="002721A1" w14:paraId="44BE7D77" w14:textId="77777777">
        <w:trPr>
          <w:trHeight w:val="286"/>
        </w:trPr>
        <w:tc>
          <w:tcPr>
            <w:tcW w:w="0" w:type="auto"/>
            <w:vMerge/>
            <w:tcBorders>
              <w:top w:val="nil"/>
              <w:left w:val="single" w:sz="4" w:space="0" w:color="000000"/>
              <w:bottom w:val="nil"/>
              <w:right w:val="single" w:sz="4" w:space="0" w:color="000000"/>
            </w:tcBorders>
          </w:tcPr>
          <w:p w14:paraId="3172F9C7"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22E502B7" w14:textId="77777777" w:rsidR="002721A1" w:rsidRDefault="00D9021E">
            <w:pPr>
              <w:spacing w:after="0" w:line="259" w:lineRule="auto"/>
              <w:ind w:left="1" w:firstLine="0"/>
            </w:pPr>
            <w:r>
              <w:t xml:space="preserve">Births, Deaths, Marriages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46A5DB88" w14:textId="77777777" w:rsidR="002721A1" w:rsidRDefault="00D9021E">
            <w:pPr>
              <w:spacing w:after="0" w:line="259" w:lineRule="auto"/>
              <w:ind w:left="1" w:firstLine="0"/>
            </w:pPr>
            <w:r>
              <w:t xml:space="preserve">X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63E3BAF5" w14:textId="77777777" w:rsidR="002721A1" w:rsidRDefault="00D9021E">
            <w:pPr>
              <w:spacing w:after="0" w:line="259" w:lineRule="auto"/>
              <w:ind w:left="1" w:firstLine="0"/>
            </w:pPr>
            <w:r>
              <w:t xml:space="preserve">Parking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32883EF1"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2FE379A5" w14:textId="77777777" w:rsidR="002721A1" w:rsidRDefault="002721A1">
            <w:pPr>
              <w:spacing w:after="160" w:line="259" w:lineRule="auto"/>
              <w:ind w:left="0" w:firstLine="0"/>
            </w:pPr>
          </w:p>
        </w:tc>
      </w:tr>
      <w:tr w:rsidR="002721A1" w14:paraId="6F881E92" w14:textId="77777777">
        <w:trPr>
          <w:trHeight w:val="286"/>
        </w:trPr>
        <w:tc>
          <w:tcPr>
            <w:tcW w:w="0" w:type="auto"/>
            <w:vMerge/>
            <w:tcBorders>
              <w:top w:val="nil"/>
              <w:left w:val="single" w:sz="4" w:space="0" w:color="000000"/>
              <w:bottom w:val="nil"/>
              <w:right w:val="single" w:sz="4" w:space="0" w:color="000000"/>
            </w:tcBorders>
          </w:tcPr>
          <w:p w14:paraId="5AE025DB"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6419246A" w14:textId="77777777" w:rsidR="002721A1" w:rsidRDefault="00D9021E">
            <w:pPr>
              <w:spacing w:after="0" w:line="259" w:lineRule="auto"/>
              <w:ind w:left="1" w:firstLine="0"/>
            </w:pPr>
            <w:r>
              <w:t xml:space="preserve">Business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3396D8E4"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D0B6943" w14:textId="77777777" w:rsidR="002721A1" w:rsidRDefault="00D9021E">
            <w:pPr>
              <w:spacing w:after="0" w:line="259" w:lineRule="auto"/>
              <w:ind w:left="1" w:firstLine="0"/>
            </w:pPr>
            <w:r>
              <w:t xml:space="preserve">Recycling and Waste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79D1FF49"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083B8C75" w14:textId="77777777" w:rsidR="002721A1" w:rsidRDefault="002721A1">
            <w:pPr>
              <w:spacing w:after="160" w:line="259" w:lineRule="auto"/>
              <w:ind w:left="0" w:firstLine="0"/>
            </w:pPr>
          </w:p>
        </w:tc>
      </w:tr>
      <w:tr w:rsidR="002721A1" w14:paraId="0FE9CD32" w14:textId="77777777">
        <w:trPr>
          <w:trHeight w:val="286"/>
        </w:trPr>
        <w:tc>
          <w:tcPr>
            <w:tcW w:w="0" w:type="auto"/>
            <w:vMerge/>
            <w:tcBorders>
              <w:top w:val="nil"/>
              <w:left w:val="single" w:sz="4" w:space="0" w:color="000000"/>
              <w:bottom w:val="nil"/>
              <w:right w:val="single" w:sz="4" w:space="0" w:color="000000"/>
            </w:tcBorders>
          </w:tcPr>
          <w:p w14:paraId="5409BE79"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14DD167B" w14:textId="77777777" w:rsidR="002721A1" w:rsidRDefault="00D9021E">
            <w:pPr>
              <w:spacing w:after="0" w:line="259" w:lineRule="auto"/>
              <w:ind w:left="1" w:firstLine="0"/>
            </w:pPr>
            <w:r>
              <w:t xml:space="preserve">Children and Families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0B41D17"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18CCBBDF" w14:textId="77777777" w:rsidR="002721A1" w:rsidRDefault="00D9021E">
            <w:pPr>
              <w:spacing w:after="0" w:line="259" w:lineRule="auto"/>
              <w:ind w:left="1" w:firstLine="0"/>
            </w:pPr>
            <w:r>
              <w:t xml:space="preserve">Roads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01501C8E"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79641796" w14:textId="77777777" w:rsidR="002721A1" w:rsidRDefault="002721A1">
            <w:pPr>
              <w:spacing w:after="160" w:line="259" w:lineRule="auto"/>
              <w:ind w:left="0" w:firstLine="0"/>
            </w:pPr>
          </w:p>
        </w:tc>
      </w:tr>
      <w:tr w:rsidR="002721A1" w14:paraId="5BB12B4E" w14:textId="77777777">
        <w:trPr>
          <w:trHeight w:val="562"/>
        </w:trPr>
        <w:tc>
          <w:tcPr>
            <w:tcW w:w="0" w:type="auto"/>
            <w:vMerge/>
            <w:tcBorders>
              <w:top w:val="nil"/>
              <w:left w:val="single" w:sz="4" w:space="0" w:color="000000"/>
              <w:bottom w:val="nil"/>
              <w:right w:val="single" w:sz="4" w:space="0" w:color="000000"/>
            </w:tcBorders>
          </w:tcPr>
          <w:p w14:paraId="1771A998"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E83E90F" w14:textId="77777777" w:rsidR="002721A1" w:rsidRDefault="00D9021E">
            <w:pPr>
              <w:spacing w:after="0" w:line="259" w:lineRule="auto"/>
              <w:ind w:left="1" w:firstLine="0"/>
            </w:pPr>
            <w:r>
              <w:t xml:space="preserve">Countryside &amp; </w:t>
            </w:r>
          </w:p>
          <w:p w14:paraId="2590D12C" w14:textId="77777777" w:rsidR="002721A1" w:rsidRDefault="00D9021E">
            <w:pPr>
              <w:spacing w:after="0" w:line="259" w:lineRule="auto"/>
              <w:ind w:left="1" w:firstLine="0"/>
            </w:pPr>
            <w:r>
              <w:t xml:space="preserve">Environment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3FB54E0A"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297FB34B" w14:textId="77777777" w:rsidR="002721A1" w:rsidRDefault="00D9021E">
            <w:pPr>
              <w:spacing w:after="0" w:line="259" w:lineRule="auto"/>
              <w:ind w:left="1" w:firstLine="0"/>
            </w:pPr>
            <w:r>
              <w:t xml:space="preserve">Schools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230E2009"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6FEFC04D" w14:textId="77777777" w:rsidR="002721A1" w:rsidRDefault="002721A1">
            <w:pPr>
              <w:spacing w:after="160" w:line="259" w:lineRule="auto"/>
              <w:ind w:left="0" w:firstLine="0"/>
            </w:pPr>
          </w:p>
        </w:tc>
      </w:tr>
      <w:tr w:rsidR="002721A1" w14:paraId="13BDB65A" w14:textId="77777777">
        <w:trPr>
          <w:trHeight w:val="286"/>
        </w:trPr>
        <w:tc>
          <w:tcPr>
            <w:tcW w:w="0" w:type="auto"/>
            <w:vMerge/>
            <w:tcBorders>
              <w:top w:val="nil"/>
              <w:left w:val="single" w:sz="4" w:space="0" w:color="000000"/>
              <w:bottom w:val="nil"/>
              <w:right w:val="single" w:sz="4" w:space="0" w:color="000000"/>
            </w:tcBorders>
          </w:tcPr>
          <w:p w14:paraId="36D72761"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70E781F" w14:textId="77777777" w:rsidR="002721A1" w:rsidRDefault="00D9021E">
            <w:pPr>
              <w:spacing w:after="0" w:line="259" w:lineRule="auto"/>
              <w:ind w:left="1" w:firstLine="0"/>
            </w:pPr>
            <w:r>
              <w:t xml:space="preserve">History and Heritage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1232CD6"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D7BACB0" w14:textId="77777777" w:rsidR="002721A1" w:rsidRDefault="00D9021E">
            <w:pPr>
              <w:spacing w:after="0" w:line="259" w:lineRule="auto"/>
              <w:ind w:left="1" w:firstLine="0"/>
            </w:pPr>
            <w:r>
              <w:t xml:space="preserve">Social Care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C9CB674" w14:textId="77777777" w:rsidR="002721A1" w:rsidRDefault="00D9021E">
            <w:pPr>
              <w:spacing w:after="0" w:line="259" w:lineRule="auto"/>
              <w:ind w:left="1" w:firstLine="0"/>
            </w:pPr>
            <w:r>
              <w:t xml:space="preserve">X </w:t>
            </w:r>
          </w:p>
        </w:tc>
        <w:tc>
          <w:tcPr>
            <w:tcW w:w="0" w:type="auto"/>
            <w:vMerge/>
            <w:tcBorders>
              <w:top w:val="nil"/>
              <w:left w:val="single" w:sz="4" w:space="0" w:color="000000"/>
              <w:bottom w:val="nil"/>
              <w:right w:val="single" w:sz="4" w:space="0" w:color="000000"/>
            </w:tcBorders>
          </w:tcPr>
          <w:p w14:paraId="33104F44" w14:textId="77777777" w:rsidR="002721A1" w:rsidRDefault="002721A1">
            <w:pPr>
              <w:spacing w:after="160" w:line="259" w:lineRule="auto"/>
              <w:ind w:left="0" w:firstLine="0"/>
            </w:pPr>
          </w:p>
        </w:tc>
      </w:tr>
      <w:tr w:rsidR="002721A1" w14:paraId="6F3E9D8F" w14:textId="77777777">
        <w:trPr>
          <w:trHeight w:val="288"/>
        </w:trPr>
        <w:tc>
          <w:tcPr>
            <w:tcW w:w="0" w:type="auto"/>
            <w:vMerge/>
            <w:tcBorders>
              <w:top w:val="nil"/>
              <w:left w:val="single" w:sz="4" w:space="0" w:color="000000"/>
              <w:bottom w:val="nil"/>
              <w:right w:val="single" w:sz="4" w:space="0" w:color="000000"/>
            </w:tcBorders>
          </w:tcPr>
          <w:p w14:paraId="70095B95"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320B4882" w14:textId="77777777" w:rsidR="002721A1" w:rsidRDefault="00D9021E">
            <w:pPr>
              <w:spacing w:after="0" w:line="259" w:lineRule="auto"/>
              <w:ind w:left="1" w:firstLine="0"/>
            </w:pPr>
            <w:r>
              <w:t xml:space="preserve">Jobs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75E973EC"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181116A1" w14:textId="77777777" w:rsidR="002721A1" w:rsidRDefault="00D9021E">
            <w:pPr>
              <w:spacing w:after="0" w:line="259" w:lineRule="auto"/>
              <w:ind w:left="1" w:firstLine="0"/>
            </w:pPr>
            <w:r>
              <w:t xml:space="preserve">Staff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629DD58F"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5C16BC31" w14:textId="77777777" w:rsidR="002721A1" w:rsidRDefault="002721A1">
            <w:pPr>
              <w:spacing w:after="160" w:line="259" w:lineRule="auto"/>
              <w:ind w:left="0" w:firstLine="0"/>
            </w:pPr>
          </w:p>
        </w:tc>
      </w:tr>
      <w:tr w:rsidR="002721A1" w14:paraId="40EBD91A" w14:textId="77777777" w:rsidTr="00CC59F1">
        <w:trPr>
          <w:trHeight w:val="286"/>
        </w:trPr>
        <w:tc>
          <w:tcPr>
            <w:tcW w:w="0" w:type="auto"/>
            <w:vMerge/>
            <w:tcBorders>
              <w:top w:val="nil"/>
              <w:left w:val="single" w:sz="4" w:space="0" w:color="000000"/>
              <w:bottom w:val="nil"/>
              <w:right w:val="single" w:sz="4" w:space="0" w:color="000000"/>
            </w:tcBorders>
          </w:tcPr>
          <w:p w14:paraId="502F5728"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432F7C10" w14:textId="77777777" w:rsidR="002721A1" w:rsidRDefault="00D9021E">
            <w:pPr>
              <w:spacing w:after="0" w:line="259" w:lineRule="auto"/>
              <w:ind w:left="1" w:firstLine="0"/>
            </w:pPr>
            <w:r>
              <w:t xml:space="preserve">Leisure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0FB7462F"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050C40C9" w14:textId="77777777" w:rsidR="002721A1" w:rsidRDefault="00D9021E">
            <w:pPr>
              <w:spacing w:after="0" w:line="259" w:lineRule="auto"/>
              <w:ind w:left="1" w:firstLine="0"/>
            </w:pPr>
            <w:r>
              <w:t xml:space="preserve">Travel and Transport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21E0BFA"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nil"/>
              <w:right w:val="single" w:sz="4" w:space="0" w:color="000000"/>
            </w:tcBorders>
          </w:tcPr>
          <w:p w14:paraId="15BE4F10" w14:textId="77777777" w:rsidR="002721A1" w:rsidRDefault="002721A1">
            <w:pPr>
              <w:spacing w:after="160" w:line="259" w:lineRule="auto"/>
              <w:ind w:left="0" w:firstLine="0"/>
            </w:pPr>
          </w:p>
        </w:tc>
      </w:tr>
      <w:tr w:rsidR="002721A1" w14:paraId="17179788" w14:textId="77777777" w:rsidTr="00CC59F1">
        <w:trPr>
          <w:trHeight w:val="290"/>
        </w:trPr>
        <w:tc>
          <w:tcPr>
            <w:tcW w:w="0" w:type="auto"/>
            <w:vMerge/>
            <w:tcBorders>
              <w:top w:val="nil"/>
              <w:left w:val="single" w:sz="4" w:space="0" w:color="000000"/>
              <w:bottom w:val="single" w:sz="8" w:space="0" w:color="000000"/>
              <w:right w:val="single" w:sz="4" w:space="0" w:color="000000"/>
            </w:tcBorders>
          </w:tcPr>
          <w:p w14:paraId="32F48E71" w14:textId="77777777" w:rsidR="002721A1" w:rsidRDefault="002721A1">
            <w:pPr>
              <w:spacing w:after="160" w:line="259" w:lineRule="auto"/>
              <w:ind w:left="0" w:firstLine="0"/>
            </w:pPr>
          </w:p>
        </w:tc>
        <w:tc>
          <w:tcPr>
            <w:tcW w:w="3046" w:type="dxa"/>
            <w:tcBorders>
              <w:top w:val="single" w:sz="4" w:space="0" w:color="000000"/>
              <w:left w:val="single" w:sz="4" w:space="0" w:color="000000"/>
              <w:bottom w:val="single" w:sz="4" w:space="0" w:color="auto"/>
              <w:right w:val="single" w:sz="4" w:space="0" w:color="000000"/>
            </w:tcBorders>
            <w:shd w:val="clear" w:color="auto" w:fill="E6E6E6"/>
          </w:tcPr>
          <w:p w14:paraId="6B095047" w14:textId="77777777" w:rsidR="002721A1" w:rsidRDefault="00D9021E">
            <w:pPr>
              <w:spacing w:after="0" w:line="259" w:lineRule="auto"/>
              <w:ind w:left="1" w:firstLine="0"/>
            </w:pPr>
            <w:r>
              <w:t xml:space="preserve">libraries </w:t>
            </w:r>
          </w:p>
        </w:tc>
        <w:tc>
          <w:tcPr>
            <w:tcW w:w="1099" w:type="dxa"/>
            <w:tcBorders>
              <w:top w:val="single" w:sz="4" w:space="0" w:color="000000"/>
              <w:left w:val="single" w:sz="4" w:space="0" w:color="000000"/>
              <w:bottom w:val="single" w:sz="8" w:space="0" w:color="000000"/>
              <w:right w:val="single" w:sz="4" w:space="0" w:color="000000"/>
            </w:tcBorders>
            <w:shd w:val="clear" w:color="auto" w:fill="E6E6E6"/>
          </w:tcPr>
          <w:p w14:paraId="5F599BB8" w14:textId="77777777" w:rsidR="002721A1" w:rsidRDefault="00D9021E">
            <w:pPr>
              <w:spacing w:after="0" w:line="259" w:lineRule="auto"/>
              <w:ind w:left="1" w:firstLine="0"/>
            </w:pPr>
            <w:r>
              <w:t xml:space="preserve"> </w:t>
            </w:r>
          </w:p>
        </w:tc>
        <w:tc>
          <w:tcPr>
            <w:tcW w:w="2866" w:type="dxa"/>
            <w:tcBorders>
              <w:top w:val="single" w:sz="4" w:space="0" w:color="000000"/>
              <w:left w:val="single" w:sz="4" w:space="0" w:color="000000"/>
              <w:bottom w:val="single" w:sz="8" w:space="0" w:color="000000"/>
              <w:right w:val="single" w:sz="4" w:space="0" w:color="000000"/>
            </w:tcBorders>
            <w:shd w:val="clear" w:color="auto" w:fill="E6E6E6"/>
          </w:tcPr>
          <w:p w14:paraId="0BB7B94A" w14:textId="77777777" w:rsidR="002721A1" w:rsidRDefault="00D9021E">
            <w:pPr>
              <w:spacing w:after="0" w:line="259" w:lineRule="auto"/>
              <w:ind w:left="1" w:firstLine="0"/>
            </w:pPr>
            <w:r>
              <w:t xml:space="preserve"> </w:t>
            </w:r>
          </w:p>
        </w:tc>
        <w:tc>
          <w:tcPr>
            <w:tcW w:w="1282" w:type="dxa"/>
            <w:tcBorders>
              <w:top w:val="single" w:sz="4" w:space="0" w:color="000000"/>
              <w:left w:val="single" w:sz="4" w:space="0" w:color="000000"/>
              <w:bottom w:val="single" w:sz="8" w:space="0" w:color="000000"/>
              <w:right w:val="single" w:sz="4" w:space="0" w:color="000000"/>
            </w:tcBorders>
            <w:shd w:val="clear" w:color="auto" w:fill="E6E6E6"/>
          </w:tcPr>
          <w:p w14:paraId="224BFE63" w14:textId="77777777" w:rsidR="002721A1" w:rsidRDefault="00D9021E">
            <w:pPr>
              <w:spacing w:after="0" w:line="259" w:lineRule="auto"/>
              <w:ind w:left="1" w:firstLine="0"/>
            </w:pPr>
            <w:r>
              <w:t xml:space="preserve"> </w:t>
            </w:r>
          </w:p>
        </w:tc>
        <w:tc>
          <w:tcPr>
            <w:tcW w:w="0" w:type="auto"/>
            <w:vMerge/>
            <w:tcBorders>
              <w:top w:val="nil"/>
              <w:left w:val="single" w:sz="4" w:space="0" w:color="000000"/>
              <w:bottom w:val="single" w:sz="8" w:space="0" w:color="000000"/>
              <w:right w:val="single" w:sz="4" w:space="0" w:color="000000"/>
            </w:tcBorders>
          </w:tcPr>
          <w:p w14:paraId="586ADFC6" w14:textId="77777777" w:rsidR="002721A1" w:rsidRDefault="002721A1">
            <w:pPr>
              <w:spacing w:after="160" w:line="259" w:lineRule="auto"/>
              <w:ind w:left="0" w:firstLine="0"/>
            </w:pPr>
          </w:p>
        </w:tc>
      </w:tr>
    </w:tbl>
    <w:p w14:paraId="7F1D05C2" w14:textId="77777777" w:rsidR="002721A1" w:rsidRDefault="00D9021E">
      <w:pPr>
        <w:spacing w:after="242" w:line="259" w:lineRule="auto"/>
        <w:ind w:left="0" w:firstLine="0"/>
      </w:pPr>
      <w:r>
        <w:rPr>
          <w:sz w:val="1"/>
        </w:rPr>
        <w:t xml:space="preserve"> </w:t>
      </w:r>
    </w:p>
    <w:p w14:paraId="1772DD03" w14:textId="77777777" w:rsidR="002721A1" w:rsidRDefault="00D9021E">
      <w:pPr>
        <w:spacing w:after="0" w:line="259" w:lineRule="auto"/>
        <w:ind w:left="0" w:firstLine="0"/>
      </w:pPr>
      <w:r>
        <w:t xml:space="preserve"> </w:t>
      </w:r>
      <w:r>
        <w:tab/>
        <w:t xml:space="preserve"> </w:t>
      </w:r>
    </w:p>
    <w:tbl>
      <w:tblPr>
        <w:tblStyle w:val="TableGrid"/>
        <w:tblW w:w="8520" w:type="dxa"/>
        <w:tblInd w:w="-107" w:type="dxa"/>
        <w:tblCellMar>
          <w:top w:w="52" w:type="dxa"/>
          <w:left w:w="107" w:type="dxa"/>
          <w:right w:w="40" w:type="dxa"/>
        </w:tblCellMar>
        <w:tblLook w:val="04A0" w:firstRow="1" w:lastRow="0" w:firstColumn="1" w:lastColumn="0" w:noHBand="0" w:noVBand="1"/>
      </w:tblPr>
      <w:tblGrid>
        <w:gridCol w:w="4247"/>
        <w:gridCol w:w="2983"/>
        <w:gridCol w:w="1290"/>
      </w:tblGrid>
      <w:tr w:rsidR="002721A1" w14:paraId="41E7D107" w14:textId="77777777">
        <w:trPr>
          <w:trHeight w:val="562"/>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2C95878B" w14:textId="77777777" w:rsidR="002721A1" w:rsidRDefault="00D9021E">
            <w:pPr>
              <w:spacing w:after="0" w:line="259" w:lineRule="auto"/>
              <w:ind w:left="0" w:firstLine="0"/>
            </w:pPr>
            <w:r>
              <w:rPr>
                <w:b/>
              </w:rPr>
              <w:t xml:space="preserve">Author:  </w:t>
            </w:r>
            <w:r>
              <w:t>Business Support Officer</w:t>
            </w:r>
            <w:r>
              <w:rPr>
                <w:b/>
              </w:rPr>
              <w:t xml:space="preserve"> </w:t>
            </w:r>
          </w:p>
        </w:tc>
        <w:tc>
          <w:tcPr>
            <w:tcW w:w="2983" w:type="dxa"/>
            <w:tcBorders>
              <w:top w:val="single" w:sz="4" w:space="0" w:color="000000"/>
              <w:left w:val="single" w:sz="4" w:space="0" w:color="000000"/>
              <w:bottom w:val="single" w:sz="4" w:space="0" w:color="000000"/>
              <w:right w:val="nil"/>
            </w:tcBorders>
            <w:shd w:val="clear" w:color="auto" w:fill="E6E6E6"/>
          </w:tcPr>
          <w:p w14:paraId="7F7DB5F6" w14:textId="77777777" w:rsidR="002721A1" w:rsidRDefault="00D9021E">
            <w:pPr>
              <w:tabs>
                <w:tab w:val="center" w:pos="2259"/>
              </w:tabs>
              <w:spacing w:after="0" w:line="259" w:lineRule="auto"/>
              <w:ind w:left="0" w:firstLine="0"/>
            </w:pPr>
            <w:r>
              <w:rPr>
                <w:b/>
              </w:rPr>
              <w:t xml:space="preserve">Responsible </w:t>
            </w:r>
            <w:r>
              <w:rPr>
                <w:b/>
              </w:rPr>
              <w:tab/>
              <w:t xml:space="preserve">team: </w:t>
            </w:r>
          </w:p>
          <w:p w14:paraId="14BA8FBD" w14:textId="77777777" w:rsidR="002721A1" w:rsidRDefault="00D9021E">
            <w:pPr>
              <w:spacing w:after="0" w:line="259" w:lineRule="auto"/>
              <w:ind w:left="1" w:firstLine="0"/>
            </w:pPr>
            <w:r>
              <w:t>Support</w:t>
            </w:r>
            <w:r>
              <w:rPr>
                <w:b/>
              </w:rPr>
              <w:t xml:space="preserve"> </w:t>
            </w:r>
          </w:p>
        </w:tc>
        <w:tc>
          <w:tcPr>
            <w:tcW w:w="1290" w:type="dxa"/>
            <w:tcBorders>
              <w:top w:val="single" w:sz="4" w:space="0" w:color="000000"/>
              <w:left w:val="nil"/>
              <w:bottom w:val="single" w:sz="4" w:space="0" w:color="000000"/>
              <w:right w:val="single" w:sz="4" w:space="0" w:color="000000"/>
            </w:tcBorders>
            <w:shd w:val="clear" w:color="auto" w:fill="E6E6E6"/>
          </w:tcPr>
          <w:p w14:paraId="5428F264" w14:textId="77777777" w:rsidR="002721A1" w:rsidRDefault="00D9021E">
            <w:pPr>
              <w:spacing w:after="0" w:line="259" w:lineRule="auto"/>
              <w:ind w:left="104" w:firstLine="0"/>
            </w:pPr>
            <w:r>
              <w:t xml:space="preserve">Business </w:t>
            </w:r>
          </w:p>
        </w:tc>
      </w:tr>
      <w:tr w:rsidR="002721A1" w14:paraId="231C8892" w14:textId="77777777">
        <w:trPr>
          <w:trHeight w:val="473"/>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754AC631" w14:textId="77777777" w:rsidR="002721A1" w:rsidRDefault="00D9021E">
            <w:pPr>
              <w:spacing w:after="0" w:line="259" w:lineRule="auto"/>
              <w:ind w:left="0" w:firstLine="0"/>
            </w:pPr>
            <w:r>
              <w:rPr>
                <w:b/>
              </w:rPr>
              <w:t xml:space="preserve">Contact number:  </w:t>
            </w:r>
          </w:p>
        </w:tc>
        <w:tc>
          <w:tcPr>
            <w:tcW w:w="2983" w:type="dxa"/>
            <w:tcBorders>
              <w:top w:val="single" w:sz="4" w:space="0" w:color="000000"/>
              <w:left w:val="single" w:sz="4" w:space="0" w:color="000000"/>
              <w:bottom w:val="single" w:sz="4" w:space="0" w:color="000000"/>
              <w:right w:val="nil"/>
            </w:tcBorders>
            <w:shd w:val="clear" w:color="auto" w:fill="E6E6E6"/>
          </w:tcPr>
          <w:p w14:paraId="50A23F09" w14:textId="77777777" w:rsidR="002721A1" w:rsidRDefault="00D9021E">
            <w:pPr>
              <w:spacing w:after="0" w:line="259" w:lineRule="auto"/>
              <w:ind w:left="1" w:firstLine="0"/>
            </w:pPr>
            <w:r>
              <w:rPr>
                <w:b/>
              </w:rPr>
              <w:t xml:space="preserve">Contact email:  </w:t>
            </w:r>
          </w:p>
        </w:tc>
        <w:tc>
          <w:tcPr>
            <w:tcW w:w="1290" w:type="dxa"/>
            <w:tcBorders>
              <w:top w:val="single" w:sz="4" w:space="0" w:color="000000"/>
              <w:left w:val="nil"/>
              <w:bottom w:val="single" w:sz="4" w:space="0" w:color="000000"/>
              <w:right w:val="single" w:sz="4" w:space="0" w:color="000000"/>
            </w:tcBorders>
            <w:shd w:val="clear" w:color="auto" w:fill="E6E6E6"/>
          </w:tcPr>
          <w:p w14:paraId="7B591236" w14:textId="77777777" w:rsidR="002721A1" w:rsidRDefault="002721A1">
            <w:pPr>
              <w:spacing w:after="160" w:line="259" w:lineRule="auto"/>
              <w:ind w:left="0" w:firstLine="0"/>
            </w:pPr>
          </w:p>
        </w:tc>
      </w:tr>
    </w:tbl>
    <w:p w14:paraId="18B012B2" w14:textId="77777777" w:rsidR="002721A1" w:rsidRDefault="00D9021E">
      <w:pPr>
        <w:spacing w:after="0" w:line="259" w:lineRule="auto"/>
        <w:ind w:left="0" w:firstLine="0"/>
      </w:pPr>
      <w:r>
        <w:t xml:space="preserve"> </w:t>
      </w:r>
      <w:r>
        <w:tab/>
        <w:t xml:space="preserve"> </w:t>
      </w:r>
    </w:p>
    <w:tbl>
      <w:tblPr>
        <w:tblStyle w:val="TableGrid"/>
        <w:tblW w:w="8520" w:type="dxa"/>
        <w:tblInd w:w="-107" w:type="dxa"/>
        <w:tblCellMar>
          <w:top w:w="52" w:type="dxa"/>
          <w:left w:w="107" w:type="dxa"/>
          <w:right w:w="40" w:type="dxa"/>
        </w:tblCellMar>
        <w:tblLook w:val="04A0" w:firstRow="1" w:lastRow="0" w:firstColumn="1" w:lastColumn="0" w:noHBand="0" w:noVBand="1"/>
      </w:tblPr>
      <w:tblGrid>
        <w:gridCol w:w="3164"/>
        <w:gridCol w:w="5356"/>
      </w:tblGrid>
      <w:tr w:rsidR="002721A1" w14:paraId="2155B427" w14:textId="77777777">
        <w:trPr>
          <w:trHeight w:val="338"/>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C9FF58" w14:textId="77777777" w:rsidR="002721A1" w:rsidRDefault="00D9021E">
            <w:pPr>
              <w:spacing w:after="0" w:line="259" w:lineRule="auto"/>
              <w:ind w:left="0" w:firstLine="0"/>
            </w:pPr>
            <w:r>
              <w:rPr>
                <w:b/>
              </w:rPr>
              <w:lastRenderedPageBreak/>
              <w:t xml:space="preserve">Please include any supporting documents  </w:t>
            </w:r>
          </w:p>
        </w:tc>
      </w:tr>
      <w:tr w:rsidR="002721A1" w14:paraId="731397AF" w14:textId="77777777">
        <w:trPr>
          <w:trHeight w:val="370"/>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FED0632" w14:textId="77777777" w:rsidR="002721A1" w:rsidRDefault="00D9021E">
            <w:pPr>
              <w:spacing w:after="0" w:line="259" w:lineRule="auto"/>
              <w:ind w:left="360" w:firstLine="0"/>
            </w:pPr>
            <w:r>
              <w:t xml:space="preserve">1. </w:t>
            </w:r>
            <w:r>
              <w:rPr>
                <w:color w:val="0000FF"/>
                <w:u w:val="single" w:color="0000FF"/>
              </w:rPr>
              <w:t>Services/Tenancy/1 (storage)</w:t>
            </w:r>
            <w:r>
              <w:t xml:space="preserve"> </w:t>
            </w:r>
          </w:p>
        </w:tc>
      </w:tr>
      <w:tr w:rsidR="002721A1" w14:paraId="42C2FECD" w14:textId="77777777">
        <w:trPr>
          <w:trHeight w:val="566"/>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AF0797" w14:textId="77777777" w:rsidR="002721A1" w:rsidRDefault="00D9021E">
            <w:pPr>
              <w:spacing w:after="0" w:line="259" w:lineRule="auto"/>
              <w:ind w:left="360" w:firstLine="0"/>
            </w:pPr>
            <w:r>
              <w:t xml:space="preserve">2. </w:t>
            </w:r>
            <w:r>
              <w:rPr>
                <w:color w:val="0000FF"/>
                <w:u w:val="single" w:color="0000FF"/>
              </w:rPr>
              <w:t>Services/Tenancy/2 (disposal)</w:t>
            </w:r>
            <w:r>
              <w:t xml:space="preserve"> </w:t>
            </w:r>
          </w:p>
        </w:tc>
      </w:tr>
      <w:tr w:rsidR="002721A1" w14:paraId="54A861B1" w14:textId="77777777">
        <w:trPr>
          <w:trHeight w:val="370"/>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B5DB3C" w14:textId="77777777" w:rsidR="002721A1" w:rsidRDefault="00D9021E">
            <w:pPr>
              <w:spacing w:after="0" w:line="259" w:lineRule="auto"/>
              <w:ind w:left="360" w:firstLine="0"/>
            </w:pPr>
            <w:r>
              <w:t xml:space="preserve">3. </w:t>
            </w:r>
            <w:r>
              <w:rPr>
                <w:color w:val="0000FF"/>
                <w:u w:val="single" w:color="0000FF"/>
              </w:rPr>
              <w:t>Services/Pets/1</w:t>
            </w:r>
            <w:r>
              <w:rPr>
                <w:color w:val="0000FF"/>
              </w:rPr>
              <w:t xml:space="preserve"> </w:t>
            </w:r>
            <w:r>
              <w:t xml:space="preserve"> </w:t>
            </w:r>
          </w:p>
        </w:tc>
      </w:tr>
      <w:tr w:rsidR="002721A1" w14:paraId="76492D11" w14:textId="77777777">
        <w:trPr>
          <w:trHeight w:val="562"/>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B8956C" w14:textId="77777777" w:rsidR="002721A1" w:rsidRDefault="00D9021E">
            <w:pPr>
              <w:spacing w:after="0" w:line="259" w:lineRule="auto"/>
              <w:ind w:left="720" w:hanging="360"/>
              <w:jc w:val="both"/>
            </w:pPr>
            <w:r>
              <w:t xml:space="preserve">4. </w:t>
            </w:r>
            <w:r>
              <w:rPr>
                <w:color w:val="0000FF"/>
                <w:u w:val="single" w:color="0000FF"/>
              </w:rPr>
              <w:t>Services/Funerals/1 – Particulars of deceased from County Council</w:t>
            </w:r>
            <w:r>
              <w:rPr>
                <w:color w:val="0000FF"/>
              </w:rPr>
              <w:t xml:space="preserve"> </w:t>
            </w:r>
            <w:r>
              <w:rPr>
                <w:color w:val="0000FF"/>
                <w:u w:val="single" w:color="0000FF"/>
              </w:rPr>
              <w:t>and Private Establishments</w:t>
            </w:r>
            <w:r>
              <w:t xml:space="preserve"> </w:t>
            </w:r>
          </w:p>
        </w:tc>
      </w:tr>
      <w:tr w:rsidR="002721A1" w14:paraId="37842892" w14:textId="77777777">
        <w:trPr>
          <w:trHeight w:val="370"/>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052E766" w14:textId="77777777" w:rsidR="002721A1" w:rsidRDefault="00D9021E">
            <w:pPr>
              <w:spacing w:after="0" w:line="259" w:lineRule="auto"/>
              <w:ind w:left="360" w:firstLine="0"/>
            </w:pPr>
            <w:r>
              <w:t xml:space="preserve">5. </w:t>
            </w:r>
            <w:r>
              <w:rPr>
                <w:color w:val="0000FF"/>
                <w:u w:val="single" w:color="0000FF"/>
              </w:rPr>
              <w:t>Services/Property Inventory/1 – Property Inventory</w:t>
            </w:r>
            <w:r>
              <w:t xml:space="preserve"> </w:t>
            </w:r>
          </w:p>
        </w:tc>
      </w:tr>
      <w:tr w:rsidR="002721A1" w14:paraId="4AC15B26"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64152DE5" w14:textId="77777777" w:rsidR="002721A1" w:rsidRDefault="00D9021E">
            <w:pPr>
              <w:spacing w:after="0" w:line="259" w:lineRule="auto"/>
              <w:ind w:left="0" w:firstLine="0"/>
            </w:pPr>
            <w:r>
              <w:rPr>
                <w:b/>
              </w:rPr>
              <w:t xml:space="preserve">Review date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1B8EA7A0" w14:textId="77777777" w:rsidR="002721A1" w:rsidRDefault="00D9021E">
            <w:pPr>
              <w:spacing w:after="0" w:line="259" w:lineRule="auto"/>
              <w:ind w:left="1" w:firstLine="0"/>
            </w:pPr>
            <w:r>
              <w:rPr>
                <w:b/>
              </w:rPr>
              <w:t xml:space="preserve">Amendments  </w:t>
            </w:r>
          </w:p>
        </w:tc>
      </w:tr>
      <w:tr w:rsidR="00E80948" w14:paraId="5C80E1F1"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577C483C" w14:textId="5768C5D9" w:rsidR="00E80948" w:rsidRDefault="00E80948">
            <w:pPr>
              <w:spacing w:after="0" w:line="259" w:lineRule="auto"/>
              <w:ind w:left="0" w:firstLine="0"/>
            </w:pPr>
            <w:r>
              <w:t>24.01.2017</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55EC1224" w14:textId="697AF3DD" w:rsidR="00E80948" w:rsidRDefault="00E80948">
            <w:pPr>
              <w:spacing w:after="0" w:line="259" w:lineRule="auto"/>
              <w:ind w:left="1" w:firstLine="0"/>
            </w:pPr>
            <w:r>
              <w:t>Links amended and Care Act Guidance numbers checked for accuracy</w:t>
            </w:r>
          </w:p>
        </w:tc>
      </w:tr>
      <w:tr w:rsidR="002721A1" w14:paraId="083CED95" w14:textId="77777777">
        <w:trPr>
          <w:trHeight w:val="367"/>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76D29938" w14:textId="77777777" w:rsidR="002721A1" w:rsidRDefault="00D9021E">
            <w:pPr>
              <w:spacing w:after="0" w:line="259" w:lineRule="auto"/>
              <w:ind w:left="0" w:firstLine="0"/>
            </w:pPr>
            <w:r>
              <w:t xml:space="preserve">22.4.2015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084CE013" w14:textId="77777777" w:rsidR="002721A1" w:rsidRDefault="00D9021E">
            <w:pPr>
              <w:spacing w:after="0" w:line="259" w:lineRule="auto"/>
              <w:ind w:left="1" w:firstLine="0"/>
            </w:pPr>
            <w:r>
              <w:t xml:space="preserve">Updated in line with the Care Act 2014 </w:t>
            </w:r>
          </w:p>
        </w:tc>
      </w:tr>
      <w:tr w:rsidR="002721A1" w14:paraId="2CC1A4BE" w14:textId="77777777">
        <w:trPr>
          <w:trHeight w:val="562"/>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247314D8" w14:textId="77777777" w:rsidR="002721A1" w:rsidRDefault="00D9021E">
            <w:pPr>
              <w:spacing w:after="0" w:line="259" w:lineRule="auto"/>
              <w:ind w:left="0" w:firstLine="0"/>
            </w:pPr>
            <w:r>
              <w:t xml:space="preserve">8.7.2013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6DF36048" w14:textId="77777777" w:rsidR="002721A1" w:rsidRDefault="00D9021E">
            <w:pPr>
              <w:spacing w:after="0" w:line="259" w:lineRule="auto"/>
              <w:ind w:left="1" w:firstLine="0"/>
              <w:jc w:val="both"/>
            </w:pPr>
            <w:r>
              <w:t xml:space="preserve">Details of Services Team updated, links checked, processes updated. </w:t>
            </w:r>
          </w:p>
        </w:tc>
      </w:tr>
      <w:tr w:rsidR="002721A1" w14:paraId="4585F031" w14:textId="77777777">
        <w:trPr>
          <w:trHeight w:val="563"/>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1BD9C6CC" w14:textId="77777777" w:rsidR="002721A1" w:rsidRDefault="00D9021E">
            <w:pPr>
              <w:spacing w:after="0" w:line="259" w:lineRule="auto"/>
              <w:ind w:left="0" w:firstLine="0"/>
            </w:pPr>
            <w:r>
              <w:t xml:space="preserve">21.06.2011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0CAC3550" w14:textId="77777777" w:rsidR="002721A1" w:rsidRDefault="00D9021E">
            <w:pPr>
              <w:spacing w:after="0" w:line="259" w:lineRule="auto"/>
              <w:ind w:left="1" w:firstLine="0"/>
              <w:jc w:val="both"/>
            </w:pPr>
            <w:r>
              <w:t xml:space="preserve">Information included regarding the process for funeral arrangements in care homes. </w:t>
            </w:r>
          </w:p>
        </w:tc>
      </w:tr>
      <w:tr w:rsidR="002721A1" w14:paraId="27DF1FA6" w14:textId="77777777">
        <w:trPr>
          <w:trHeight w:val="1114"/>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3E5C4F22" w14:textId="77777777" w:rsidR="002721A1" w:rsidRDefault="00D9021E">
            <w:pPr>
              <w:spacing w:after="0" w:line="259" w:lineRule="auto"/>
              <w:ind w:left="0" w:firstLine="0"/>
            </w:pPr>
            <w:r>
              <w:t xml:space="preserve">15.7.2010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7654A231" w14:textId="77777777" w:rsidR="002721A1" w:rsidRDefault="00D9021E">
            <w:pPr>
              <w:spacing w:after="0" w:line="259" w:lineRule="auto"/>
              <w:ind w:left="1" w:right="65" w:firstLine="0"/>
              <w:jc w:val="both"/>
            </w:pPr>
            <w:r>
              <w:t xml:space="preserve">Time limit set for temporary accommodation of pets and property (see section 3.1). </w:t>
            </w:r>
            <w:r>
              <w:rPr>
                <w:color w:val="0000FF"/>
                <w:u w:val="single" w:color="0000FF"/>
              </w:rPr>
              <w:t>Decision</w:t>
            </w:r>
            <w:r>
              <w:rPr>
                <w:color w:val="0000FF"/>
              </w:rPr>
              <w:t xml:space="preserve"> </w:t>
            </w:r>
            <w:r>
              <w:rPr>
                <w:color w:val="0000FF"/>
                <w:u w:val="single" w:color="0000FF"/>
              </w:rPr>
              <w:t>number AC/2010/00091</w:t>
            </w:r>
            <w:r>
              <w:t xml:space="preserve">. Links added to updated forms. </w:t>
            </w:r>
          </w:p>
        </w:tc>
      </w:tr>
      <w:tr w:rsidR="002721A1" w14:paraId="73F10FB8" w14:textId="77777777">
        <w:trPr>
          <w:trHeight w:val="366"/>
        </w:trPr>
        <w:tc>
          <w:tcPr>
            <w:tcW w:w="3164" w:type="dxa"/>
            <w:tcBorders>
              <w:top w:val="single" w:sz="4" w:space="0" w:color="000000"/>
              <w:left w:val="single" w:sz="4" w:space="0" w:color="000000"/>
              <w:bottom w:val="single" w:sz="4" w:space="0" w:color="000000"/>
              <w:right w:val="single" w:sz="4" w:space="0" w:color="000000"/>
            </w:tcBorders>
            <w:shd w:val="clear" w:color="auto" w:fill="E6E6E6"/>
          </w:tcPr>
          <w:p w14:paraId="35CDE1DF" w14:textId="77777777" w:rsidR="002721A1" w:rsidRDefault="00D9021E">
            <w:pPr>
              <w:spacing w:after="0" w:line="259" w:lineRule="auto"/>
              <w:ind w:left="0" w:firstLine="0"/>
            </w:pPr>
            <w:r>
              <w:t xml:space="preserve">13.8.2008 </w:t>
            </w:r>
          </w:p>
        </w:tc>
        <w:tc>
          <w:tcPr>
            <w:tcW w:w="5356" w:type="dxa"/>
            <w:tcBorders>
              <w:top w:val="single" w:sz="4" w:space="0" w:color="000000"/>
              <w:left w:val="single" w:sz="4" w:space="0" w:color="000000"/>
              <w:bottom w:val="single" w:sz="4" w:space="0" w:color="000000"/>
              <w:right w:val="single" w:sz="4" w:space="0" w:color="000000"/>
            </w:tcBorders>
            <w:shd w:val="clear" w:color="auto" w:fill="E6E6E6"/>
          </w:tcPr>
          <w:p w14:paraId="365EF530" w14:textId="77777777" w:rsidR="002721A1" w:rsidRDefault="00D9021E">
            <w:pPr>
              <w:spacing w:after="0" w:line="259" w:lineRule="auto"/>
              <w:ind w:left="1" w:firstLine="0"/>
            </w:pPr>
            <w:r>
              <w:t xml:space="preserve">Updated funding amounts </w:t>
            </w:r>
          </w:p>
        </w:tc>
      </w:tr>
    </w:tbl>
    <w:p w14:paraId="01F50B85" w14:textId="77777777" w:rsidR="002721A1" w:rsidRDefault="00D9021E">
      <w:pPr>
        <w:spacing w:after="0" w:line="259" w:lineRule="auto"/>
        <w:ind w:left="0" w:firstLine="0"/>
      </w:pPr>
      <w:r>
        <w:t xml:space="preserve"> </w:t>
      </w:r>
    </w:p>
    <w:p w14:paraId="30C7A297" w14:textId="77777777" w:rsidR="002721A1" w:rsidRDefault="00D9021E">
      <w:pPr>
        <w:spacing w:after="0" w:line="259" w:lineRule="auto"/>
        <w:ind w:left="0" w:firstLine="0"/>
      </w:pPr>
      <w:r>
        <w:t xml:space="preserve"> </w:t>
      </w:r>
    </w:p>
    <w:p w14:paraId="75B55A50" w14:textId="77777777" w:rsidR="002721A1" w:rsidRDefault="00D9021E">
      <w:pPr>
        <w:spacing w:after="0" w:line="259" w:lineRule="auto"/>
        <w:ind w:left="0" w:right="4480" w:firstLine="0"/>
        <w:jc w:val="center"/>
      </w:pPr>
      <w:r>
        <w:rPr>
          <w:noProof/>
        </w:rPr>
        <w:drawing>
          <wp:inline distT="0" distB="0" distL="0" distR="0" wp14:anchorId="20428C6D" wp14:editId="34120631">
            <wp:extent cx="2950464" cy="499872"/>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7"/>
                    <a:stretch>
                      <a:fillRect/>
                    </a:stretch>
                  </pic:blipFill>
                  <pic:spPr>
                    <a:xfrm>
                      <a:off x="0" y="0"/>
                      <a:ext cx="2950464" cy="499872"/>
                    </a:xfrm>
                    <a:prstGeom prst="rect">
                      <a:avLst/>
                    </a:prstGeom>
                  </pic:spPr>
                </pic:pic>
              </a:graphicData>
            </a:graphic>
          </wp:inline>
        </w:drawing>
      </w:r>
      <w:r>
        <w:t xml:space="preserve">  </w:t>
      </w:r>
    </w:p>
    <w:p w14:paraId="4956AFA4" w14:textId="77777777" w:rsidR="002721A1" w:rsidRDefault="00D9021E">
      <w:pPr>
        <w:spacing w:after="204" w:line="259" w:lineRule="auto"/>
        <w:ind w:left="0" w:firstLine="0"/>
      </w:pPr>
      <w:r>
        <w:t xml:space="preserve"> </w:t>
      </w:r>
    </w:p>
    <w:p w14:paraId="1D9CF4BB" w14:textId="77777777" w:rsidR="002721A1" w:rsidRDefault="00D9021E">
      <w:pPr>
        <w:spacing w:after="14" w:line="240" w:lineRule="auto"/>
        <w:ind w:left="0" w:firstLine="0"/>
      </w:pPr>
      <w:r>
        <w:rPr>
          <w:b/>
          <w:sz w:val="48"/>
        </w:rPr>
        <w:t xml:space="preserve">Protection of Property and Pets, and Funeral Arrangements Policy </w:t>
      </w:r>
    </w:p>
    <w:p w14:paraId="29656EB8" w14:textId="77777777" w:rsidR="002721A1" w:rsidRDefault="00D9021E">
      <w:pPr>
        <w:spacing w:after="16" w:line="259" w:lineRule="auto"/>
        <w:ind w:left="0" w:firstLine="0"/>
      </w:pPr>
      <w:r>
        <w:t xml:space="preserve"> </w:t>
      </w:r>
    </w:p>
    <w:p w14:paraId="335558F1" w14:textId="77777777" w:rsidR="002721A1" w:rsidRDefault="00D9021E">
      <w:pPr>
        <w:spacing w:after="0" w:line="259" w:lineRule="auto"/>
        <w:ind w:left="0" w:firstLine="0"/>
      </w:pPr>
      <w:r>
        <w:rPr>
          <w:b/>
          <w:sz w:val="28"/>
        </w:rPr>
        <w:t xml:space="preserve">Context </w:t>
      </w:r>
    </w:p>
    <w:p w14:paraId="6C41F60E" w14:textId="77777777" w:rsidR="002721A1" w:rsidRDefault="00D9021E">
      <w:pPr>
        <w:ind w:left="-5" w:right="42"/>
      </w:pPr>
      <w:r>
        <w:t xml:space="preserve">Under Section 47 of the Care Act 2014, the Council has a duty to arrange for the protection of property for an adult being cared for away from home: </w:t>
      </w:r>
    </w:p>
    <w:p w14:paraId="3989757E" w14:textId="77777777" w:rsidR="002721A1" w:rsidRDefault="00D9021E">
      <w:pPr>
        <w:spacing w:after="0" w:line="259" w:lineRule="auto"/>
        <w:ind w:left="0" w:firstLine="0"/>
      </w:pPr>
      <w:r>
        <w:t xml:space="preserve"> </w:t>
      </w:r>
    </w:p>
    <w:p w14:paraId="696D26BB" w14:textId="77777777" w:rsidR="002721A1" w:rsidRDefault="00D9021E">
      <w:pPr>
        <w:ind w:left="-5" w:right="42"/>
      </w:pPr>
      <w:r>
        <w:rPr>
          <w:b/>
        </w:rPr>
        <w:t xml:space="preserve">Either </w:t>
      </w:r>
      <w:r>
        <w:t xml:space="preserve">where the adult has been assessed as eligible for social care support and their needs are met in accommodation, such as a care home, </w:t>
      </w:r>
      <w:r>
        <w:rPr>
          <w:b/>
        </w:rPr>
        <w:t>or</w:t>
      </w:r>
      <w:r>
        <w:t xml:space="preserve"> the adult has been admitted to hospital.  </w:t>
      </w:r>
    </w:p>
    <w:p w14:paraId="1B73CA79" w14:textId="77777777" w:rsidR="002721A1" w:rsidRDefault="00D9021E">
      <w:pPr>
        <w:pStyle w:val="Heading1"/>
        <w:ind w:left="-5"/>
      </w:pPr>
      <w:r>
        <w:t xml:space="preserve">AND </w:t>
      </w:r>
    </w:p>
    <w:p w14:paraId="442B4512" w14:textId="77777777" w:rsidR="002721A1" w:rsidRDefault="00D9021E">
      <w:pPr>
        <w:ind w:left="-5" w:right="42"/>
      </w:pPr>
      <w:r>
        <w:t xml:space="preserve">It appears to the Council that there is a danger of loss or damage to the moveable property because the adult is unable to protect or deal with the property, and no </w:t>
      </w:r>
      <w:r>
        <w:lastRenderedPageBreak/>
        <w:t xml:space="preserve">suitable arrangements have been or are being made. Moveable property includes pets. </w:t>
      </w:r>
    </w:p>
    <w:p w14:paraId="4B059775" w14:textId="77777777" w:rsidR="002721A1" w:rsidRDefault="00D9021E">
      <w:pPr>
        <w:spacing w:after="0" w:line="259" w:lineRule="auto"/>
        <w:ind w:left="0" w:firstLine="0"/>
      </w:pPr>
      <w:r>
        <w:t xml:space="preserve">  </w:t>
      </w:r>
    </w:p>
    <w:p w14:paraId="30904E21" w14:textId="77777777" w:rsidR="002721A1" w:rsidRDefault="00D9021E">
      <w:pPr>
        <w:spacing w:after="2" w:line="240" w:lineRule="auto"/>
        <w:ind w:left="0" w:right="62" w:firstLine="0"/>
      </w:pPr>
      <w:r>
        <w:t xml:space="preserve">Paragraph 10.94 of the statutory guidance states that, </w:t>
      </w:r>
      <w:r>
        <w:rPr>
          <w:i/>
        </w:rPr>
        <w:t xml:space="preserve">“this duty…..lasts until the adult in question returns home or makes their own arrangements for the protection of property or until there is no other danger of loss or damage to property. Often a one off event is required such as the re-homing of pets or ensuring that the property is secured” </w:t>
      </w:r>
    </w:p>
    <w:p w14:paraId="2B120DAC" w14:textId="77777777" w:rsidR="002721A1" w:rsidRDefault="00D9021E">
      <w:pPr>
        <w:spacing w:after="0" w:line="259" w:lineRule="auto"/>
        <w:ind w:left="0" w:firstLine="0"/>
      </w:pPr>
      <w:r>
        <w:t xml:space="preserve"> </w:t>
      </w:r>
    </w:p>
    <w:p w14:paraId="6EA35679" w14:textId="77777777" w:rsidR="002721A1" w:rsidRDefault="00D9021E">
      <w:pPr>
        <w:ind w:left="-5" w:right="42"/>
      </w:pPr>
      <w:r>
        <w:t xml:space="preserve">The Council also has a duty under Section 46 of the Public Health (Control of Diseases) Act 1984 to arrange a funeral for any person who dies in residential accommodation where there is no other person willing or able to do so. </w:t>
      </w:r>
    </w:p>
    <w:p w14:paraId="0B395BBE" w14:textId="77777777" w:rsidR="002721A1" w:rsidRDefault="00D9021E">
      <w:pPr>
        <w:spacing w:after="0" w:line="259" w:lineRule="auto"/>
        <w:ind w:left="0" w:firstLine="0"/>
      </w:pPr>
      <w:r>
        <w:t xml:space="preserve"> </w:t>
      </w:r>
    </w:p>
    <w:p w14:paraId="32813E33" w14:textId="77777777" w:rsidR="002721A1" w:rsidRDefault="00D9021E">
      <w:pPr>
        <w:ind w:left="-5" w:right="42"/>
      </w:pPr>
      <w:r>
        <w:t xml:space="preserve">Arrangements for carrying out these duties in the Council are made by:  </w:t>
      </w:r>
    </w:p>
    <w:p w14:paraId="233BEA85" w14:textId="77777777" w:rsidR="002721A1" w:rsidRDefault="00D9021E">
      <w:pPr>
        <w:spacing w:after="0" w:line="259" w:lineRule="auto"/>
        <w:ind w:left="0" w:firstLine="0"/>
      </w:pPr>
      <w:r>
        <w:t xml:space="preserve"> </w:t>
      </w:r>
    </w:p>
    <w:p w14:paraId="4CA0A870" w14:textId="77777777" w:rsidR="002721A1" w:rsidRDefault="00D9021E">
      <w:pPr>
        <w:spacing w:after="0" w:line="259" w:lineRule="auto"/>
        <w:ind w:left="0" w:firstLine="0"/>
      </w:pPr>
      <w:r>
        <w:t xml:space="preserve"> </w:t>
      </w:r>
    </w:p>
    <w:p w14:paraId="4A6AAC66" w14:textId="77777777" w:rsidR="002721A1" w:rsidRDefault="00D9021E">
      <w:pPr>
        <w:ind w:left="-5" w:right="42"/>
      </w:pPr>
      <w:r>
        <w:t xml:space="preserve">The Business Support Officer  </w:t>
      </w:r>
    </w:p>
    <w:p w14:paraId="7964AB7A" w14:textId="77777777" w:rsidR="002721A1" w:rsidRDefault="00D9021E">
      <w:pPr>
        <w:ind w:left="-5" w:right="42"/>
      </w:pPr>
      <w:r>
        <w:t xml:space="preserve">Adult Social Care, Health and Public Protection Department </w:t>
      </w:r>
    </w:p>
    <w:p w14:paraId="26137323" w14:textId="77777777" w:rsidR="002721A1" w:rsidRDefault="00D9021E">
      <w:pPr>
        <w:ind w:left="-5" w:right="42"/>
      </w:pPr>
      <w:r>
        <w:t xml:space="preserve">County Hall </w:t>
      </w:r>
    </w:p>
    <w:p w14:paraId="5334DD74" w14:textId="77777777" w:rsidR="002721A1" w:rsidRDefault="00D9021E">
      <w:pPr>
        <w:ind w:left="-5" w:right="42"/>
      </w:pPr>
      <w:r>
        <w:t xml:space="preserve">Loughborough Road </w:t>
      </w:r>
    </w:p>
    <w:p w14:paraId="2E209FE1" w14:textId="77777777" w:rsidR="002721A1" w:rsidRDefault="00D9021E">
      <w:pPr>
        <w:ind w:left="-5" w:right="42"/>
      </w:pPr>
      <w:r>
        <w:t xml:space="preserve">West </w:t>
      </w:r>
      <w:proofErr w:type="spellStart"/>
      <w:r>
        <w:t>Bridgford</w:t>
      </w:r>
      <w:proofErr w:type="spellEnd"/>
      <w:r>
        <w:t xml:space="preserve">  </w:t>
      </w:r>
    </w:p>
    <w:p w14:paraId="34A2546E" w14:textId="77777777" w:rsidR="002721A1" w:rsidRDefault="00D9021E">
      <w:pPr>
        <w:ind w:left="-5" w:right="42"/>
      </w:pPr>
      <w:r>
        <w:t xml:space="preserve">Nottingham  </w:t>
      </w:r>
    </w:p>
    <w:p w14:paraId="528DC3B2" w14:textId="77777777" w:rsidR="002721A1" w:rsidRDefault="00D9021E">
      <w:pPr>
        <w:ind w:left="-5" w:right="42"/>
      </w:pPr>
      <w:r>
        <w:t xml:space="preserve">NG2 7QP </w:t>
      </w:r>
    </w:p>
    <w:p w14:paraId="2399654C" w14:textId="77777777" w:rsidR="002721A1" w:rsidRDefault="00D9021E">
      <w:pPr>
        <w:ind w:left="-5" w:right="42"/>
      </w:pPr>
      <w:r>
        <w:t xml:space="preserve">Tel: 0115 977 2951  </w:t>
      </w:r>
    </w:p>
    <w:p w14:paraId="4ECFE216" w14:textId="77777777" w:rsidR="002721A1" w:rsidRDefault="00D9021E">
      <w:pPr>
        <w:spacing w:after="0" w:line="259" w:lineRule="auto"/>
        <w:ind w:left="0" w:firstLine="0"/>
      </w:pPr>
      <w:r>
        <w:t xml:space="preserve"> </w:t>
      </w:r>
    </w:p>
    <w:p w14:paraId="182138CA" w14:textId="77777777" w:rsidR="002721A1" w:rsidRDefault="00D9021E">
      <w:pPr>
        <w:ind w:left="-5" w:right="42"/>
      </w:pPr>
      <w:r>
        <w:t xml:space="preserve">In order to carry out its duties, the Council may: </w:t>
      </w:r>
    </w:p>
    <w:p w14:paraId="4D8C6C35" w14:textId="77777777" w:rsidR="002721A1" w:rsidRDefault="00D9021E">
      <w:pPr>
        <w:spacing w:after="22" w:line="259" w:lineRule="auto"/>
        <w:ind w:left="0" w:firstLine="0"/>
      </w:pPr>
      <w:r>
        <w:t xml:space="preserve"> </w:t>
      </w:r>
    </w:p>
    <w:p w14:paraId="1F200A64" w14:textId="0FFABB7E" w:rsidR="002721A1" w:rsidRDefault="00D9021E">
      <w:pPr>
        <w:numPr>
          <w:ilvl w:val="0"/>
          <w:numId w:val="1"/>
        </w:numPr>
        <w:ind w:right="42" w:hanging="360"/>
      </w:pPr>
      <w:r>
        <w:t xml:space="preserve">Make an </w:t>
      </w:r>
      <w:r w:rsidR="008F73B2">
        <w:t>i</w:t>
      </w:r>
      <w:r>
        <w:t xml:space="preserve">nventory of any moveable property </w:t>
      </w:r>
    </w:p>
    <w:p w14:paraId="2B3B6FB4" w14:textId="77777777" w:rsidR="002721A1" w:rsidRDefault="00D9021E">
      <w:pPr>
        <w:numPr>
          <w:ilvl w:val="0"/>
          <w:numId w:val="1"/>
        </w:numPr>
        <w:ind w:right="42" w:hanging="360"/>
      </w:pPr>
      <w:r>
        <w:t xml:space="preserve">Ensure the security of the person’s property </w:t>
      </w:r>
    </w:p>
    <w:p w14:paraId="62E4391E" w14:textId="77777777" w:rsidR="00E80948" w:rsidRDefault="00D9021E">
      <w:pPr>
        <w:numPr>
          <w:ilvl w:val="0"/>
          <w:numId w:val="1"/>
        </w:numPr>
        <w:ind w:right="42" w:hanging="360"/>
      </w:pPr>
      <w:r>
        <w:t xml:space="preserve">Store the property in line with paragraph 10.94 of the statutory guidance  </w:t>
      </w:r>
    </w:p>
    <w:p w14:paraId="223909E9" w14:textId="650F7E49" w:rsidR="002721A1" w:rsidRDefault="00D9021E">
      <w:pPr>
        <w:numPr>
          <w:ilvl w:val="0"/>
          <w:numId w:val="1"/>
        </w:numPr>
        <w:ind w:right="42" w:hanging="360"/>
      </w:pPr>
      <w:r>
        <w:t xml:space="preserve">Terminate the person’s tenancy and arrange for the house to be cleared. </w:t>
      </w:r>
    </w:p>
    <w:p w14:paraId="013DE7FF" w14:textId="77777777" w:rsidR="002721A1" w:rsidRDefault="00D9021E">
      <w:pPr>
        <w:numPr>
          <w:ilvl w:val="0"/>
          <w:numId w:val="1"/>
        </w:numPr>
        <w:ind w:right="42" w:hanging="360"/>
      </w:pPr>
      <w:r>
        <w:t xml:space="preserve">Manage the person’s estate as appropriate </w:t>
      </w:r>
    </w:p>
    <w:p w14:paraId="3EF9C587" w14:textId="77777777" w:rsidR="002721A1" w:rsidRDefault="00D9021E">
      <w:pPr>
        <w:numPr>
          <w:ilvl w:val="0"/>
          <w:numId w:val="1"/>
        </w:numPr>
        <w:ind w:right="42" w:hanging="360"/>
      </w:pPr>
      <w:r>
        <w:t xml:space="preserve">Place pets in temporary accommodation or arrange for their adoption </w:t>
      </w:r>
    </w:p>
    <w:p w14:paraId="0F1BA61C" w14:textId="77777777" w:rsidR="002721A1" w:rsidRDefault="00D9021E">
      <w:pPr>
        <w:numPr>
          <w:ilvl w:val="0"/>
          <w:numId w:val="1"/>
        </w:numPr>
        <w:ind w:right="42" w:hanging="360"/>
      </w:pPr>
      <w:r>
        <w:t xml:space="preserve">Make funeral arrangements where necessary </w:t>
      </w:r>
    </w:p>
    <w:p w14:paraId="32C04BDA" w14:textId="77777777" w:rsidR="002721A1" w:rsidRDefault="00D9021E">
      <w:pPr>
        <w:spacing w:after="0" w:line="259" w:lineRule="auto"/>
        <w:ind w:left="0" w:firstLine="0"/>
      </w:pPr>
      <w:r>
        <w:t xml:space="preserve"> </w:t>
      </w:r>
    </w:p>
    <w:p w14:paraId="162AAF35" w14:textId="77777777" w:rsidR="002721A1" w:rsidRDefault="00D9021E">
      <w:pPr>
        <w:spacing w:after="0" w:line="259" w:lineRule="auto"/>
        <w:ind w:left="0" w:firstLine="0"/>
      </w:pPr>
      <w:r>
        <w:t xml:space="preserve"> </w:t>
      </w:r>
    </w:p>
    <w:p w14:paraId="7E9042E4" w14:textId="77777777" w:rsidR="002721A1" w:rsidRDefault="00D9021E">
      <w:pPr>
        <w:ind w:left="-5" w:right="42"/>
      </w:pPr>
      <w:r>
        <w:t xml:space="preserve">The responsibility of the Council ceases upon death so, if a service user dies whilst items (including pets) are still in storage or in the care of the Council, the liability for arrangements of the service user’s property transfers to the executor or personal representative dealing with the estate. </w:t>
      </w:r>
    </w:p>
    <w:p w14:paraId="7F631F55" w14:textId="77777777" w:rsidR="002721A1" w:rsidRDefault="00D9021E">
      <w:pPr>
        <w:spacing w:after="0" w:line="259" w:lineRule="auto"/>
        <w:ind w:left="0" w:firstLine="0"/>
      </w:pPr>
      <w:r>
        <w:t xml:space="preserve"> </w:t>
      </w:r>
    </w:p>
    <w:p w14:paraId="18B5FF7C" w14:textId="77777777" w:rsidR="002721A1" w:rsidRDefault="00D9021E">
      <w:pPr>
        <w:ind w:left="-5" w:right="42"/>
      </w:pPr>
      <w:r>
        <w:t xml:space="preserve">The Council </w:t>
      </w:r>
      <w:r w:rsidRPr="00CC59F1">
        <w:rPr>
          <w:b/>
        </w:rPr>
        <w:t>does not</w:t>
      </w:r>
      <w:r>
        <w:t xml:space="preserve"> get involved in funeral arrangements in the following circumstances: </w:t>
      </w:r>
    </w:p>
    <w:p w14:paraId="1916F86A" w14:textId="77777777" w:rsidR="002721A1" w:rsidRDefault="00D9021E">
      <w:pPr>
        <w:spacing w:after="22" w:line="259" w:lineRule="auto"/>
        <w:ind w:left="0" w:firstLine="0"/>
      </w:pPr>
      <w:r>
        <w:t xml:space="preserve"> </w:t>
      </w:r>
    </w:p>
    <w:p w14:paraId="2144AF1C" w14:textId="77777777" w:rsidR="002721A1" w:rsidRDefault="00D9021E">
      <w:pPr>
        <w:numPr>
          <w:ilvl w:val="0"/>
          <w:numId w:val="1"/>
        </w:numPr>
        <w:ind w:right="42" w:hanging="360"/>
      </w:pPr>
      <w:r>
        <w:t xml:space="preserve">If a person dies whilst living in their own home it is the responsibility of the Environmental Health Department within the appropriate District, Borough or City Council to make the necessary arrangements. </w:t>
      </w:r>
    </w:p>
    <w:p w14:paraId="62FE8C47" w14:textId="77777777" w:rsidR="002721A1" w:rsidRDefault="00D9021E">
      <w:pPr>
        <w:spacing w:after="22" w:line="259" w:lineRule="auto"/>
        <w:ind w:left="0" w:firstLine="0"/>
      </w:pPr>
      <w:r>
        <w:lastRenderedPageBreak/>
        <w:t xml:space="preserve"> </w:t>
      </w:r>
    </w:p>
    <w:p w14:paraId="5A586818" w14:textId="77777777" w:rsidR="002721A1" w:rsidRDefault="00D9021E">
      <w:pPr>
        <w:numPr>
          <w:ilvl w:val="0"/>
          <w:numId w:val="1"/>
        </w:numPr>
        <w:ind w:right="42" w:hanging="360"/>
      </w:pPr>
      <w:r>
        <w:t xml:space="preserve">If a person dies in hospital (NHS) prior to formal admission to a ward, it is the responsibility of the District Council, Public Health Department to make the necessary arrangements. </w:t>
      </w:r>
    </w:p>
    <w:p w14:paraId="0C9E3491" w14:textId="77777777" w:rsidR="002721A1" w:rsidRDefault="00D9021E">
      <w:pPr>
        <w:spacing w:after="22" w:line="259" w:lineRule="auto"/>
        <w:ind w:left="0" w:firstLine="0"/>
      </w:pPr>
      <w:r>
        <w:t xml:space="preserve"> </w:t>
      </w:r>
    </w:p>
    <w:p w14:paraId="2C535BF8" w14:textId="77777777" w:rsidR="002721A1" w:rsidRDefault="00D9021E">
      <w:pPr>
        <w:numPr>
          <w:ilvl w:val="0"/>
          <w:numId w:val="1"/>
        </w:numPr>
        <w:ind w:right="42" w:hanging="360"/>
      </w:pPr>
      <w:r>
        <w:t xml:space="preserve">If a person dies in hospital (NHS) following admission, it is the responsibility of the Hospital Bereavement Centre where the person died to make the necessary arrangements, unless the person was under the Court of Protection, in which case, the Council is responsible for the arrangements. </w:t>
      </w:r>
    </w:p>
    <w:p w14:paraId="14FC02E7" w14:textId="77777777" w:rsidR="002721A1" w:rsidRDefault="00D9021E">
      <w:pPr>
        <w:spacing w:after="22" w:line="259" w:lineRule="auto"/>
        <w:ind w:left="720" w:firstLine="0"/>
      </w:pPr>
      <w:r>
        <w:t xml:space="preserve"> </w:t>
      </w:r>
    </w:p>
    <w:p w14:paraId="2308082D" w14:textId="77777777" w:rsidR="002721A1" w:rsidRDefault="00D9021E">
      <w:pPr>
        <w:numPr>
          <w:ilvl w:val="0"/>
          <w:numId w:val="1"/>
        </w:numPr>
        <w:ind w:right="42" w:hanging="360"/>
      </w:pPr>
      <w:r>
        <w:t xml:space="preserve">If the person dies in the Queens Medical Centre it is the responsibility of Nottingham City Council Environmental Health Department. </w:t>
      </w:r>
    </w:p>
    <w:p w14:paraId="062E58EE" w14:textId="77777777" w:rsidR="002721A1" w:rsidRDefault="00D9021E">
      <w:pPr>
        <w:spacing w:after="0" w:line="259" w:lineRule="auto"/>
        <w:ind w:left="0" w:firstLine="0"/>
      </w:pPr>
      <w:r>
        <w:t xml:space="preserve"> </w:t>
      </w:r>
    </w:p>
    <w:p w14:paraId="60A9E3DA" w14:textId="432D7A6B" w:rsidR="002721A1" w:rsidRDefault="00D9021E" w:rsidP="00CC59F1">
      <w:pPr>
        <w:spacing w:after="0" w:line="259" w:lineRule="auto"/>
        <w:ind w:left="0" w:firstLine="0"/>
      </w:pPr>
      <w:r>
        <w:rPr>
          <w:b/>
        </w:rPr>
        <w:t xml:space="preserve"> </w:t>
      </w:r>
      <w:r>
        <w:t xml:space="preserve">The County Council is responsible for the funeral arrangements for people funded by Nottingham City Council in care homes within the County boundary.  It is also responsible for arranging a funeral for people who are funding their own care in a residential or nursing home or supported living complex if there is no-one willing or able to do </w:t>
      </w:r>
      <w:r w:rsidR="008F73B2">
        <w:t>so</w:t>
      </w:r>
      <w:r>
        <w:t xml:space="preserve">. The cost of the funeral is claimed back from the estate of the deceased person. </w:t>
      </w:r>
    </w:p>
    <w:p w14:paraId="70971249" w14:textId="77777777" w:rsidR="002721A1" w:rsidRDefault="00D9021E">
      <w:pPr>
        <w:spacing w:after="0" w:line="259" w:lineRule="auto"/>
        <w:ind w:left="0" w:firstLine="0"/>
      </w:pPr>
      <w:r>
        <w:rPr>
          <w:b/>
        </w:rPr>
        <w:t xml:space="preserve"> </w:t>
      </w:r>
    </w:p>
    <w:p w14:paraId="6EA57087" w14:textId="77777777" w:rsidR="002721A1" w:rsidRDefault="00D9021E">
      <w:pPr>
        <w:spacing w:after="0" w:line="259" w:lineRule="auto"/>
        <w:ind w:left="0" w:firstLine="0"/>
      </w:pPr>
      <w:r>
        <w:rPr>
          <w:b/>
        </w:rPr>
        <w:t xml:space="preserve"> </w:t>
      </w:r>
    </w:p>
    <w:p w14:paraId="5BDAEE8A" w14:textId="77777777" w:rsidR="002721A1" w:rsidRDefault="00D9021E">
      <w:pPr>
        <w:pStyle w:val="Heading1"/>
        <w:ind w:left="-5"/>
      </w:pPr>
      <w:r>
        <w:t xml:space="preserve">Scope of this policy </w:t>
      </w:r>
    </w:p>
    <w:p w14:paraId="78FE1BF1" w14:textId="77777777" w:rsidR="002721A1" w:rsidRDefault="00D9021E">
      <w:pPr>
        <w:spacing w:after="0" w:line="259" w:lineRule="auto"/>
        <w:ind w:left="0" w:firstLine="0"/>
      </w:pPr>
      <w:r>
        <w:t xml:space="preserve"> </w:t>
      </w:r>
    </w:p>
    <w:p w14:paraId="4782D766" w14:textId="77777777" w:rsidR="002721A1" w:rsidRDefault="00D9021E">
      <w:pPr>
        <w:ind w:left="-5" w:right="42"/>
      </w:pPr>
      <w:r>
        <w:t xml:space="preserve">This policy applies to: </w:t>
      </w:r>
    </w:p>
    <w:p w14:paraId="018E3ECC" w14:textId="77777777" w:rsidR="002721A1" w:rsidRDefault="00D9021E">
      <w:pPr>
        <w:spacing w:after="22" w:line="259" w:lineRule="auto"/>
        <w:ind w:left="0" w:firstLine="0"/>
      </w:pPr>
      <w:r>
        <w:t xml:space="preserve"> </w:t>
      </w:r>
    </w:p>
    <w:p w14:paraId="490BCA50" w14:textId="77777777" w:rsidR="002721A1" w:rsidRDefault="00D9021E">
      <w:pPr>
        <w:numPr>
          <w:ilvl w:val="0"/>
          <w:numId w:val="2"/>
        </w:numPr>
        <w:ind w:right="42" w:hanging="360"/>
      </w:pPr>
      <w:r>
        <w:t xml:space="preserve">People who die in residential accommodation, where there is no other person willing or able to make arrangements for the funeral. </w:t>
      </w:r>
    </w:p>
    <w:p w14:paraId="645D2D5D" w14:textId="77777777" w:rsidR="002721A1" w:rsidRDefault="00D9021E">
      <w:pPr>
        <w:spacing w:after="22" w:line="259" w:lineRule="auto"/>
        <w:ind w:left="0" w:firstLine="0"/>
      </w:pPr>
      <w:r>
        <w:t xml:space="preserve"> </w:t>
      </w:r>
    </w:p>
    <w:p w14:paraId="65A226F8" w14:textId="77777777" w:rsidR="002721A1" w:rsidRDefault="00D9021E">
      <w:pPr>
        <w:numPr>
          <w:ilvl w:val="0"/>
          <w:numId w:val="2"/>
        </w:numPr>
        <w:ind w:right="42" w:hanging="360"/>
      </w:pPr>
      <w:r>
        <w:t xml:space="preserve">People who need time to arrange for their property, including pets, to be protected because they have been admitted to residential accommodation following a social care assessment arranged by the Council, or they have been admitted to hospital, and no suitable arrangements have been or are being made. </w:t>
      </w:r>
    </w:p>
    <w:p w14:paraId="18BDDE4C" w14:textId="77777777" w:rsidR="002721A1" w:rsidRDefault="00D9021E">
      <w:pPr>
        <w:spacing w:after="0" w:line="259" w:lineRule="auto"/>
        <w:ind w:left="0" w:firstLine="0"/>
      </w:pPr>
      <w:r>
        <w:rPr>
          <w:b/>
        </w:rPr>
        <w:t xml:space="preserve"> </w:t>
      </w:r>
    </w:p>
    <w:p w14:paraId="4705DA28" w14:textId="77777777" w:rsidR="002721A1" w:rsidRDefault="00D9021E">
      <w:pPr>
        <w:pStyle w:val="Heading1"/>
        <w:ind w:left="-5"/>
      </w:pPr>
      <w:r>
        <w:t xml:space="preserve">Principles and commitments </w:t>
      </w:r>
    </w:p>
    <w:p w14:paraId="468F147C" w14:textId="77777777" w:rsidR="002721A1" w:rsidRDefault="00D9021E">
      <w:pPr>
        <w:spacing w:after="22" w:line="259" w:lineRule="auto"/>
        <w:ind w:left="0" w:firstLine="0"/>
      </w:pPr>
      <w:r>
        <w:rPr>
          <w:b/>
        </w:rPr>
        <w:t xml:space="preserve"> </w:t>
      </w:r>
    </w:p>
    <w:p w14:paraId="7A11BEB9" w14:textId="77777777" w:rsidR="002721A1" w:rsidRDefault="00D9021E">
      <w:pPr>
        <w:numPr>
          <w:ilvl w:val="0"/>
          <w:numId w:val="3"/>
        </w:numPr>
        <w:ind w:right="42" w:hanging="360"/>
      </w:pPr>
      <w:r>
        <w:t xml:space="preserve">The Council, will as far as possible, respect any known wishes of the deceased person with regard to the funeral service and other arrangements. </w:t>
      </w:r>
      <w:r>
        <w:rPr>
          <w:b/>
        </w:rPr>
        <w:t xml:space="preserve"> </w:t>
      </w:r>
    </w:p>
    <w:p w14:paraId="15CEABB5" w14:textId="77777777" w:rsidR="002721A1" w:rsidRDefault="00D9021E">
      <w:pPr>
        <w:spacing w:after="22" w:line="259" w:lineRule="auto"/>
        <w:ind w:left="0" w:firstLine="0"/>
      </w:pPr>
      <w:r>
        <w:t xml:space="preserve"> </w:t>
      </w:r>
    </w:p>
    <w:p w14:paraId="349DF2D5" w14:textId="77777777" w:rsidR="002721A1" w:rsidRDefault="00D9021E">
      <w:pPr>
        <w:numPr>
          <w:ilvl w:val="0"/>
          <w:numId w:val="3"/>
        </w:numPr>
        <w:ind w:right="42" w:hanging="360"/>
      </w:pPr>
      <w:r>
        <w:t xml:space="preserve">The Council will take “reasonable steps” to prevent or mitigate the loss of or damage to a person’s moveable property in situations where there in no-one else to do it.   </w:t>
      </w:r>
    </w:p>
    <w:p w14:paraId="2A799213" w14:textId="77777777" w:rsidR="002721A1" w:rsidRDefault="00D9021E">
      <w:pPr>
        <w:spacing w:after="22" w:line="259" w:lineRule="auto"/>
        <w:ind w:left="0" w:firstLine="0"/>
      </w:pPr>
      <w:r>
        <w:t xml:space="preserve"> </w:t>
      </w:r>
    </w:p>
    <w:p w14:paraId="14E59B54" w14:textId="77777777" w:rsidR="002721A1" w:rsidRDefault="00D9021E">
      <w:pPr>
        <w:numPr>
          <w:ilvl w:val="0"/>
          <w:numId w:val="3"/>
        </w:numPr>
        <w:ind w:right="42" w:hanging="360"/>
      </w:pPr>
      <w:r>
        <w:t xml:space="preserve">The Council will ensure that the Mental Capacity Act – Two Stage Test for Capacity episode in Framework is completed in situations where doubts are </w:t>
      </w:r>
      <w:r>
        <w:lastRenderedPageBreak/>
        <w:t xml:space="preserve">raised about the person’s ability to make decisions about their property or pets or their ability to give consent for Council staff to enter their property. </w:t>
      </w:r>
    </w:p>
    <w:p w14:paraId="47849060" w14:textId="77777777" w:rsidR="002721A1" w:rsidRDefault="00D9021E">
      <w:pPr>
        <w:spacing w:after="0" w:line="259" w:lineRule="auto"/>
        <w:ind w:left="0" w:firstLine="0"/>
      </w:pPr>
      <w:r>
        <w:t xml:space="preserve"> </w:t>
      </w:r>
    </w:p>
    <w:p w14:paraId="43A388D1" w14:textId="77777777" w:rsidR="002721A1" w:rsidRDefault="00D9021E">
      <w:pPr>
        <w:spacing w:after="0" w:line="259" w:lineRule="auto"/>
        <w:ind w:left="0" w:firstLine="0"/>
      </w:pPr>
      <w:r>
        <w:t xml:space="preserve"> </w:t>
      </w:r>
    </w:p>
    <w:p w14:paraId="73C4A0E0" w14:textId="77777777" w:rsidR="002721A1" w:rsidRDefault="00D9021E">
      <w:pPr>
        <w:spacing w:after="0" w:line="259" w:lineRule="auto"/>
        <w:ind w:left="-5"/>
      </w:pPr>
      <w:r>
        <w:rPr>
          <w:b/>
        </w:rPr>
        <w:t xml:space="preserve">Key actions to meet the commitments set out in this policy </w:t>
      </w:r>
    </w:p>
    <w:p w14:paraId="595CA13E" w14:textId="77777777" w:rsidR="002721A1" w:rsidRDefault="00D9021E">
      <w:pPr>
        <w:spacing w:after="0" w:line="259" w:lineRule="auto"/>
        <w:ind w:left="0" w:firstLine="0"/>
      </w:pPr>
      <w:r>
        <w:rPr>
          <w:b/>
        </w:rPr>
        <w:t xml:space="preserve"> </w:t>
      </w:r>
    </w:p>
    <w:p w14:paraId="51A2A8B4" w14:textId="77777777" w:rsidR="002721A1" w:rsidRDefault="00D9021E">
      <w:pPr>
        <w:pStyle w:val="Heading1"/>
        <w:ind w:left="-5"/>
      </w:pPr>
      <w:r>
        <w:t xml:space="preserve">Funerals </w:t>
      </w:r>
    </w:p>
    <w:p w14:paraId="682EF1C8" w14:textId="77777777" w:rsidR="002721A1" w:rsidRDefault="00D9021E">
      <w:pPr>
        <w:spacing w:after="0" w:line="259" w:lineRule="auto"/>
        <w:ind w:left="0" w:firstLine="0"/>
      </w:pPr>
      <w:r>
        <w:t xml:space="preserve"> </w:t>
      </w:r>
    </w:p>
    <w:p w14:paraId="6BFE712D" w14:textId="77777777" w:rsidR="002721A1" w:rsidRDefault="00D9021E">
      <w:pPr>
        <w:ind w:left="-5" w:right="42"/>
      </w:pPr>
      <w:r>
        <w:t xml:space="preserve">The Council, will as far as possible, respect any known wishes of the deceased person with regard to the funeral service and other arrangements.   </w:t>
      </w:r>
    </w:p>
    <w:p w14:paraId="1B48BE4A" w14:textId="77777777" w:rsidR="002721A1" w:rsidRDefault="00D9021E">
      <w:pPr>
        <w:spacing w:after="22" w:line="259" w:lineRule="auto"/>
        <w:ind w:left="0" w:firstLine="0"/>
      </w:pPr>
      <w:r>
        <w:t xml:space="preserve"> </w:t>
      </w:r>
    </w:p>
    <w:p w14:paraId="50B8E8EF" w14:textId="77777777" w:rsidR="002721A1" w:rsidRDefault="00D9021E">
      <w:pPr>
        <w:numPr>
          <w:ilvl w:val="0"/>
          <w:numId w:val="4"/>
        </w:numPr>
        <w:spacing w:after="266"/>
        <w:ind w:right="42" w:hanging="360"/>
      </w:pPr>
      <w:r>
        <w:t xml:space="preserve">A private funeral will be arranged in accordance with the deceased person’s wishes if the person has left written instructions and there are sufficient funds in the person’s estate to pay for one.  </w:t>
      </w:r>
    </w:p>
    <w:p w14:paraId="60CD00AC" w14:textId="77777777" w:rsidR="002721A1" w:rsidRDefault="00D9021E">
      <w:pPr>
        <w:numPr>
          <w:ilvl w:val="0"/>
          <w:numId w:val="4"/>
        </w:numPr>
        <w:spacing w:after="271"/>
        <w:ind w:right="42" w:hanging="360"/>
      </w:pPr>
      <w:r>
        <w:t xml:space="preserve">In all other situations the appointed funeral director will provide a dignified contract funeral with a coffin taken to the crematorium or cemetery in a hearse attended by bearers. A cremation will be arranged, with the cremated remains being subsequently scattered in the gardens of remembrance, unless it is established that the religion of the deceased person forbids cremation or the deceased expressed a wish, either verbally or written, to be buried. The cremated remains will be given to a friend or family member, if requested. If the person was known to be religious, arrangements will be made for a minister of religion or a religious representative of the faith of the deceased person to conduct a service.  If the person was not known to be religious a celebrant will be arranged to conduct a civil funeral. </w:t>
      </w:r>
    </w:p>
    <w:p w14:paraId="339FBD3F" w14:textId="77777777" w:rsidR="002721A1" w:rsidRDefault="00D9021E">
      <w:pPr>
        <w:numPr>
          <w:ilvl w:val="0"/>
          <w:numId w:val="4"/>
        </w:numPr>
        <w:ind w:right="42" w:hanging="360"/>
      </w:pPr>
      <w:r>
        <w:t xml:space="preserve">If there are no arrangements for flowers, a coffin spray at a cost of approximately £30 should be included.  </w:t>
      </w:r>
    </w:p>
    <w:p w14:paraId="122BEFE8" w14:textId="77777777" w:rsidR="002721A1" w:rsidRDefault="00D9021E">
      <w:pPr>
        <w:spacing w:after="0" w:line="259" w:lineRule="auto"/>
        <w:ind w:left="0" w:firstLine="0"/>
      </w:pPr>
      <w:r>
        <w:t xml:space="preserve"> </w:t>
      </w:r>
    </w:p>
    <w:p w14:paraId="3A9F5ED7" w14:textId="77777777" w:rsidR="002721A1" w:rsidRDefault="00D9021E">
      <w:pPr>
        <w:ind w:left="-5" w:right="42"/>
      </w:pPr>
      <w:r>
        <w:t xml:space="preserve">The Council will claim the cost, or a contribution towards the cost, of the funeral back from the deceased person’s estate, whether the funeral is a private or contract arrangement. Payment of funeral expenses takes precedent over all other debts of the estate or beneficiaries to the estate.  </w:t>
      </w:r>
    </w:p>
    <w:p w14:paraId="0F06237E" w14:textId="77777777" w:rsidR="002721A1" w:rsidRDefault="00D9021E">
      <w:pPr>
        <w:spacing w:after="0" w:line="259" w:lineRule="auto"/>
        <w:ind w:left="0" w:firstLine="0"/>
      </w:pPr>
      <w:r>
        <w:t xml:space="preserve"> </w:t>
      </w:r>
    </w:p>
    <w:p w14:paraId="798C53E4" w14:textId="56CF255E" w:rsidR="002721A1" w:rsidRDefault="00D9021E">
      <w:pPr>
        <w:ind w:left="-5" w:right="42"/>
      </w:pPr>
      <w:r>
        <w:t xml:space="preserve">In situations where the Council is not responsible for the funeral arrangements any relatives or close friends of the deceased person will be directed to </w:t>
      </w:r>
      <w:hyperlink r:id="rId8" w:history="1">
        <w:r w:rsidR="00540D4C" w:rsidRPr="00540D4C">
          <w:rPr>
            <w:rStyle w:val="Hyperlink"/>
          </w:rPr>
          <w:t>Gov.uk for information around Funeral Payments.</w:t>
        </w:r>
        <w:r w:rsidRPr="00540D4C">
          <w:rPr>
            <w:rStyle w:val="Hyperlink"/>
          </w:rPr>
          <w:t xml:space="preserve"> </w:t>
        </w:r>
      </w:hyperlink>
    </w:p>
    <w:p w14:paraId="177B37BC" w14:textId="77777777" w:rsidR="002721A1" w:rsidRDefault="00D9021E">
      <w:pPr>
        <w:spacing w:after="1" w:line="259" w:lineRule="auto"/>
        <w:ind w:left="0" w:firstLine="0"/>
      </w:pPr>
      <w:r>
        <w:rPr>
          <w:b/>
        </w:rPr>
        <w:t xml:space="preserve"> </w:t>
      </w:r>
    </w:p>
    <w:p w14:paraId="6D15DBF8" w14:textId="77777777" w:rsidR="002721A1" w:rsidRDefault="00D9021E">
      <w:pPr>
        <w:pStyle w:val="Heading1"/>
        <w:tabs>
          <w:tab w:val="center" w:pos="6480"/>
        </w:tabs>
        <w:ind w:left="-15" w:firstLine="0"/>
      </w:pPr>
      <w:r>
        <w:t xml:space="preserve">Protection of property, including the boarding of pets </w:t>
      </w:r>
      <w:r>
        <w:tab/>
        <w:t xml:space="preserve"> </w:t>
      </w:r>
    </w:p>
    <w:p w14:paraId="7AA4AD87" w14:textId="63D95C31" w:rsidR="002721A1" w:rsidRDefault="00D9021E">
      <w:pPr>
        <w:ind w:left="-5" w:right="42"/>
      </w:pPr>
      <w:r>
        <w:t xml:space="preserve">The Council will allow the person up to 28 days to make arrangements for the protection of property, including any pets. If the person is too ill to make arrangements within this time, a further 28 days will be allowed for arrangements to be made. During this time the Council will pay any storage costs or the cost of boarding a pet. The social worker must complete </w:t>
      </w:r>
      <w:hyperlink r:id="rId9" w:history="1">
        <w:r w:rsidRPr="00E80948">
          <w:rPr>
            <w:rStyle w:val="Hyperlink"/>
          </w:rPr>
          <w:t>Services/Tenancy/1 (storage)</w:t>
        </w:r>
      </w:hyperlink>
      <w:r>
        <w:t xml:space="preserve"> with </w:t>
      </w:r>
      <w:r>
        <w:lastRenderedPageBreak/>
        <w:t>the service user, which explains what will happen to their property. The service user</w:t>
      </w:r>
      <w:r w:rsidR="00540D4C">
        <w:t xml:space="preserve"> or their power of attorney</w:t>
      </w:r>
      <w:r>
        <w:t xml:space="preserve"> and the staff member both need to sign this form. </w:t>
      </w:r>
    </w:p>
    <w:p w14:paraId="1AA21EBD" w14:textId="77777777" w:rsidR="002721A1" w:rsidRDefault="00D9021E">
      <w:pPr>
        <w:spacing w:after="0" w:line="259" w:lineRule="auto"/>
        <w:ind w:left="0" w:firstLine="0"/>
      </w:pPr>
      <w:r>
        <w:t xml:space="preserve"> </w:t>
      </w:r>
    </w:p>
    <w:p w14:paraId="5881F487" w14:textId="77777777" w:rsidR="002721A1" w:rsidRDefault="00D9021E">
      <w:pPr>
        <w:ind w:left="-5" w:right="42"/>
      </w:pPr>
      <w:r>
        <w:t xml:space="preserve">If the person remains in hospital or in a care home beyond 56 days, and no alternative arrangements have been made, they will be asked to pay the storage or boarding company for the continued storage or pet boarding. This should allow for management of the immediate crisis. The assessment of the person’s ability to pay will be made by the social worker involved in the case. Where the service user does pay, they will also be responsible for transporting their pet or property at the end of the period of boarding or storage that they had arranged either privately or with a friend or family. The contract also becomes directly between the storage or boarding provider and the service user.    </w:t>
      </w:r>
    </w:p>
    <w:p w14:paraId="0C8EBDE8" w14:textId="77777777" w:rsidR="002721A1" w:rsidRDefault="00D9021E">
      <w:pPr>
        <w:spacing w:after="0" w:line="259" w:lineRule="auto"/>
        <w:ind w:left="0" w:firstLine="0"/>
      </w:pPr>
      <w:r>
        <w:t xml:space="preserve"> </w:t>
      </w:r>
    </w:p>
    <w:p w14:paraId="5B181F1B" w14:textId="77777777" w:rsidR="002721A1" w:rsidRDefault="00D9021E">
      <w:pPr>
        <w:ind w:left="-5" w:right="42"/>
      </w:pPr>
      <w:r>
        <w:t xml:space="preserve">If the person has no-one able to take responsibility for their property or pet and they are unable to pay towards the cost, the Council will continue to pay for storage or pet boarding until the person either returns home or their permanent residence in the care home is confirmed.  </w:t>
      </w:r>
    </w:p>
    <w:p w14:paraId="476E46FE" w14:textId="77777777" w:rsidR="002721A1" w:rsidRDefault="00D9021E">
      <w:pPr>
        <w:spacing w:after="0" w:line="259" w:lineRule="auto"/>
        <w:ind w:left="0" w:firstLine="0"/>
      </w:pPr>
      <w:r>
        <w:t xml:space="preserve"> </w:t>
      </w:r>
    </w:p>
    <w:p w14:paraId="6CA66599" w14:textId="7AC2F751" w:rsidR="002721A1" w:rsidRDefault="00D9021E">
      <w:pPr>
        <w:ind w:left="-5" w:right="42"/>
      </w:pPr>
      <w:r>
        <w:t xml:space="preserve">In terms of the care of pets, whilst this is incorporated under the remit of “protection of property” there is no definition of protection under the Care Act and therefore it must be given its every day meaning, which would be to keep a pet safe and free from harm. The social worker must complete form </w:t>
      </w:r>
      <w:hyperlink r:id="rId10" w:history="1">
        <w:r w:rsidRPr="00E80948">
          <w:rPr>
            <w:rStyle w:val="Hyperlink"/>
          </w:rPr>
          <w:t>Services/Pets/1</w:t>
        </w:r>
      </w:hyperlink>
      <w:r>
        <w:t xml:space="preserve"> with the service user</w:t>
      </w:r>
      <w:r w:rsidR="00540D4C">
        <w:t xml:space="preserve"> or their power of attorney</w:t>
      </w:r>
      <w:r>
        <w:t>. This explains what will happen to their pet.  The service user</w:t>
      </w:r>
      <w:r w:rsidR="00540D4C">
        <w:t>/power of attorney</w:t>
      </w:r>
      <w:r>
        <w:t xml:space="preserve"> and the staff member must both sign this form. </w:t>
      </w:r>
    </w:p>
    <w:p w14:paraId="46948AEE" w14:textId="77777777" w:rsidR="002721A1" w:rsidRDefault="00D9021E">
      <w:pPr>
        <w:spacing w:after="0" w:line="259" w:lineRule="auto"/>
        <w:ind w:left="0" w:firstLine="0"/>
      </w:pPr>
      <w:r>
        <w:t xml:space="preserve"> </w:t>
      </w:r>
    </w:p>
    <w:p w14:paraId="4BA2991D" w14:textId="77777777" w:rsidR="002721A1" w:rsidRDefault="00D9021E">
      <w:pPr>
        <w:ind w:left="-5" w:right="42"/>
      </w:pPr>
      <w:r>
        <w:t xml:space="preserve"> If an animal is suffering from the effects of being boarded for a long period of time then this would not be protecting the animal and re-homing must be considered.  If the RSPCA or a qualified vet decides that the pet is too ill or dangerous to be rehomed it will be humanely destroyed.  Cases must be dealt with individually.   </w:t>
      </w:r>
    </w:p>
    <w:p w14:paraId="37D8C068" w14:textId="77777777" w:rsidR="002721A1" w:rsidRDefault="00D9021E">
      <w:pPr>
        <w:spacing w:after="0" w:line="259" w:lineRule="auto"/>
        <w:ind w:left="0" w:firstLine="0"/>
      </w:pPr>
      <w:r>
        <w:t xml:space="preserve"> </w:t>
      </w:r>
    </w:p>
    <w:p w14:paraId="115A2B94" w14:textId="77777777" w:rsidR="002721A1" w:rsidRDefault="00D9021E">
      <w:pPr>
        <w:ind w:left="-5" w:right="42"/>
      </w:pPr>
      <w:r>
        <w:t xml:space="preserve">Although the Council is not responsible for returning the pet or property to the owner or new location at the end of this initial boarding or storage period, the authority currently does fund the transport for pets and property under these circumstances and will continue to do so. </w:t>
      </w:r>
    </w:p>
    <w:p w14:paraId="4B467F6B" w14:textId="77777777" w:rsidR="002721A1" w:rsidRDefault="00D9021E">
      <w:pPr>
        <w:spacing w:after="0" w:line="259" w:lineRule="auto"/>
        <w:ind w:left="0" w:firstLine="0"/>
      </w:pPr>
      <w:r>
        <w:t xml:space="preserve"> </w:t>
      </w:r>
    </w:p>
    <w:p w14:paraId="6A92FD9E" w14:textId="77777777" w:rsidR="002721A1" w:rsidRDefault="00D9021E">
      <w:pPr>
        <w:pStyle w:val="Heading1"/>
        <w:ind w:left="-5"/>
      </w:pPr>
      <w:r>
        <w:t xml:space="preserve">Property Security </w:t>
      </w:r>
    </w:p>
    <w:p w14:paraId="241876C2" w14:textId="77777777" w:rsidR="002721A1" w:rsidRDefault="00D9021E">
      <w:pPr>
        <w:ind w:left="-5" w:right="42"/>
      </w:pPr>
      <w:r>
        <w:t xml:space="preserve">Under certain circumstances the Council is required to make a property secure, for example, where access has been gained by the police whilst serving a mental health warrant or the health of a service user has suddenly deteriorated and access is required by medical services. The Council will arrange and pay for making the property secure. </w:t>
      </w:r>
    </w:p>
    <w:p w14:paraId="5990BA94" w14:textId="77777777" w:rsidR="002721A1" w:rsidRDefault="00D9021E">
      <w:pPr>
        <w:spacing w:after="0" w:line="259" w:lineRule="auto"/>
        <w:ind w:left="0" w:firstLine="0"/>
      </w:pPr>
      <w:r>
        <w:t xml:space="preserve"> </w:t>
      </w:r>
    </w:p>
    <w:p w14:paraId="2052B242" w14:textId="77777777" w:rsidR="002721A1" w:rsidRDefault="00D9021E">
      <w:pPr>
        <w:ind w:left="-5" w:right="42"/>
      </w:pPr>
      <w:r>
        <w:t xml:space="preserve">If a Council officer has to subsequently enter the property they must, under Section 47 (4a) of the Care Act 2014: </w:t>
      </w:r>
    </w:p>
    <w:p w14:paraId="1F8D566F" w14:textId="77777777" w:rsidR="002721A1" w:rsidRDefault="00D9021E">
      <w:pPr>
        <w:spacing w:after="22" w:line="259" w:lineRule="auto"/>
        <w:ind w:left="0" w:firstLine="0"/>
      </w:pPr>
      <w:r>
        <w:t xml:space="preserve"> </w:t>
      </w:r>
    </w:p>
    <w:p w14:paraId="0C39AC9B" w14:textId="77777777" w:rsidR="002721A1" w:rsidRDefault="00D9021E">
      <w:pPr>
        <w:numPr>
          <w:ilvl w:val="0"/>
          <w:numId w:val="5"/>
        </w:numPr>
        <w:spacing w:after="34"/>
        <w:ind w:right="42" w:hanging="360"/>
      </w:pPr>
      <w:r>
        <w:lastRenderedPageBreak/>
        <w:t xml:space="preserve">Obtain the consent of the adult concerned, or where the adult lacks capacity to give consent, the consent of the person authorised under the Mental Capacity Act 2005 to give it on their behalf. </w:t>
      </w:r>
    </w:p>
    <w:p w14:paraId="1B9F6657" w14:textId="24B2A3DC" w:rsidR="002721A1" w:rsidRDefault="00D9021E">
      <w:pPr>
        <w:numPr>
          <w:ilvl w:val="0"/>
          <w:numId w:val="5"/>
        </w:numPr>
        <w:ind w:right="42" w:hanging="360"/>
      </w:pPr>
      <w:r>
        <w:t xml:space="preserve">Be satisfied that exercising this power would be in the adult’s best interests, in situations where the adult lacks the capacity to give consent and there is </w:t>
      </w:r>
      <w:r w:rsidR="00E80948">
        <w:t>no one</w:t>
      </w:r>
      <w:r>
        <w:t xml:space="preserve"> authorised under the Mental Capacity Act 2005 to give consent on their behalf. </w:t>
      </w:r>
    </w:p>
    <w:p w14:paraId="4D25DBA4" w14:textId="77777777" w:rsidR="002721A1" w:rsidRDefault="00D9021E">
      <w:pPr>
        <w:spacing w:after="0" w:line="259" w:lineRule="auto"/>
        <w:ind w:left="0" w:firstLine="0"/>
      </w:pPr>
      <w:r>
        <w:t xml:space="preserve"> </w:t>
      </w:r>
    </w:p>
    <w:p w14:paraId="4067F9B8" w14:textId="77777777" w:rsidR="002721A1" w:rsidRDefault="00D9021E">
      <w:pPr>
        <w:pStyle w:val="Heading1"/>
        <w:ind w:left="-5"/>
      </w:pPr>
      <w:r>
        <w:t xml:space="preserve">House Clearances </w:t>
      </w:r>
    </w:p>
    <w:p w14:paraId="6FE3EB32" w14:textId="74450383" w:rsidR="002721A1" w:rsidRDefault="00D9021E">
      <w:pPr>
        <w:ind w:left="-5" w:right="42"/>
      </w:pPr>
      <w:r>
        <w:t xml:space="preserve">House clearances may be undertaken when a final decision has been made to terminate a tenancy, and where there is no one else to do it. This involves clearing the house of the service user’s entire property and will be arranged and paid for by the Council.  Funds received from any items sold will be used to reimburse the Council for costs incurred. Any remaining funds will go to the service user.  A Mental Capacity Act – Two Stage Test for Capacity episode in </w:t>
      </w:r>
      <w:r w:rsidR="00693478">
        <w:t xml:space="preserve">Mosaic </w:t>
      </w:r>
      <w:r>
        <w:t xml:space="preserve">must be completed before this decision is made. The social worker must complete form </w:t>
      </w:r>
      <w:hyperlink r:id="rId11" w:history="1">
        <w:r w:rsidRPr="00E80948">
          <w:rPr>
            <w:rStyle w:val="Hyperlink"/>
          </w:rPr>
          <w:t xml:space="preserve">Services/Tenancy/2 </w:t>
        </w:r>
      </w:hyperlink>
      <w:r>
        <w:t xml:space="preserve">(disposal) before a house clearance is carried out. </w:t>
      </w:r>
    </w:p>
    <w:p w14:paraId="15C2D7D3" w14:textId="77777777" w:rsidR="002721A1" w:rsidRDefault="00D9021E">
      <w:pPr>
        <w:spacing w:after="0" w:line="259" w:lineRule="auto"/>
        <w:ind w:left="0" w:firstLine="0"/>
      </w:pPr>
      <w:r>
        <w:t xml:space="preserve"> </w:t>
      </w:r>
    </w:p>
    <w:p w14:paraId="6EDE7A76" w14:textId="77777777" w:rsidR="002721A1" w:rsidRDefault="00D9021E">
      <w:pPr>
        <w:pStyle w:val="Heading1"/>
        <w:ind w:left="-5"/>
      </w:pPr>
      <w:r>
        <w:t xml:space="preserve">Mental Capacity </w:t>
      </w:r>
    </w:p>
    <w:p w14:paraId="680D05A3" w14:textId="77777777" w:rsidR="002721A1" w:rsidRDefault="00D9021E">
      <w:pPr>
        <w:ind w:left="-5" w:right="42"/>
      </w:pPr>
      <w:r>
        <w:t xml:space="preserve">If there are significant concerns regarding a service user’s capacity to make a decision regarding his or her property and pets, the social worker must ensure that a capacity assessment is undertaken.   </w:t>
      </w:r>
    </w:p>
    <w:p w14:paraId="569E3952" w14:textId="77777777" w:rsidR="002721A1" w:rsidRDefault="00D9021E">
      <w:pPr>
        <w:spacing w:after="0" w:line="259" w:lineRule="auto"/>
        <w:ind w:left="0" w:firstLine="0"/>
      </w:pPr>
      <w:r>
        <w:t xml:space="preserve"> </w:t>
      </w:r>
    </w:p>
    <w:p w14:paraId="0F09E957" w14:textId="77777777" w:rsidR="002721A1" w:rsidRDefault="00D9021E">
      <w:pPr>
        <w:ind w:left="-5" w:right="42"/>
      </w:pPr>
      <w:r>
        <w:t xml:space="preserve">In circumstances where the capacity assessment indicates a wider lack of capacity with regard to financial decisions and this is felt to be long-standing, consideration must be given to referring the case to the Court of Protection and deputyship.  If the person is already under the care of the deputyship service or has an established Lasting Power of Attorney, the social worker must liaise with this person to make arrangements for the property/pets.  The person representing the interests of a person who lacks capacity will be responsible for arrangements for property and pets. </w:t>
      </w:r>
    </w:p>
    <w:p w14:paraId="0A496D53" w14:textId="77777777" w:rsidR="002721A1" w:rsidRDefault="00D9021E">
      <w:pPr>
        <w:spacing w:after="0" w:line="259" w:lineRule="auto"/>
        <w:ind w:left="0" w:firstLine="0"/>
      </w:pPr>
      <w:r>
        <w:t xml:space="preserve"> </w:t>
      </w:r>
    </w:p>
    <w:sectPr w:rsidR="002721A1">
      <w:headerReference w:type="even" r:id="rId12"/>
      <w:headerReference w:type="default" r:id="rId13"/>
      <w:footerReference w:type="even" r:id="rId14"/>
      <w:footerReference w:type="default" r:id="rId15"/>
      <w:headerReference w:type="first" r:id="rId16"/>
      <w:footerReference w:type="first" r:id="rId17"/>
      <w:pgSz w:w="11900" w:h="16840"/>
      <w:pgMar w:top="1309" w:right="1345" w:bottom="133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4359" w14:textId="77777777" w:rsidR="00500218" w:rsidRDefault="00D9021E">
      <w:pPr>
        <w:spacing w:after="0" w:line="240" w:lineRule="auto"/>
      </w:pPr>
      <w:r>
        <w:separator/>
      </w:r>
    </w:p>
  </w:endnote>
  <w:endnote w:type="continuationSeparator" w:id="0">
    <w:p w14:paraId="081B5F1F" w14:textId="77777777" w:rsidR="00500218" w:rsidRDefault="00D9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970B" w14:textId="77777777" w:rsidR="002721A1" w:rsidRDefault="00D9021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33517297" w14:textId="77777777" w:rsidR="002721A1" w:rsidRDefault="00D9021E">
    <w:pPr>
      <w:spacing w:after="1" w:line="259" w:lineRule="auto"/>
      <w:ind w:left="0" w:firstLine="0"/>
    </w:pPr>
    <w:r>
      <w:rPr>
        <w:sz w:val="16"/>
      </w:rPr>
      <w:t xml:space="preserve">  </w:t>
    </w:r>
  </w:p>
  <w:p w14:paraId="56A5CC6B" w14:textId="77777777" w:rsidR="002721A1" w:rsidRDefault="00D9021E">
    <w:pPr>
      <w:tabs>
        <w:tab w:val="center" w:pos="3405"/>
        <w:tab w:val="center" w:pos="5040"/>
        <w:tab w:val="center" w:pos="5760"/>
        <w:tab w:val="center" w:pos="6480"/>
        <w:tab w:val="center" w:pos="7815"/>
      </w:tabs>
      <w:spacing w:after="0" w:line="259" w:lineRule="auto"/>
      <w:ind w:left="0" w:firstLine="0"/>
    </w:pPr>
    <w:r>
      <w:rPr>
        <w:sz w:val="16"/>
      </w:rPr>
      <w:t xml:space="preserve">Further information:  </w:t>
    </w:r>
    <w:r>
      <w:rPr>
        <w:sz w:val="16"/>
      </w:rPr>
      <w:tab/>
      <w:t xml:space="preserve">          </w:t>
    </w:r>
    <w:r>
      <w:rPr>
        <w:color w:val="0000FF"/>
        <w:sz w:val="16"/>
        <w:u w:val="single" w:color="0000FF"/>
      </w:rPr>
      <w:t>www.nottinghamshire.gov.uk</w:t>
    </w:r>
    <w:r>
      <w:rPr>
        <w:sz w:val="16"/>
      </w:rPr>
      <w:t xml:space="preserve"> </w:t>
    </w:r>
    <w:r>
      <w:rPr>
        <w:sz w:val="16"/>
      </w:rPr>
      <w:tab/>
      <w:t xml:space="preserve"> </w:t>
    </w:r>
    <w:r>
      <w:rPr>
        <w:sz w:val="16"/>
      </w:rPr>
      <w:tab/>
      <w:t xml:space="preserve"> </w:t>
    </w:r>
    <w:r>
      <w:rPr>
        <w:sz w:val="16"/>
      </w:rPr>
      <w:tab/>
      <w:t xml:space="preserve">           </w:t>
    </w:r>
    <w:r>
      <w:rPr>
        <w:sz w:val="16"/>
      </w:rPr>
      <w:tab/>
      <w:t xml:space="preserve">Date: 22.04.2015 </w:t>
    </w:r>
  </w:p>
  <w:p w14:paraId="319FFC3D" w14:textId="77777777" w:rsidR="002721A1" w:rsidRDefault="00D9021E">
    <w:pPr>
      <w:spacing w:after="0" w:line="259" w:lineRule="auto"/>
      <w:ind w:left="0" w:firstLine="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64161" w14:textId="77777777" w:rsidR="002721A1" w:rsidRDefault="00D9021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sidR="00CC59F1" w:rsidRPr="00CC59F1">
      <w:rPr>
        <w:noProof/>
        <w:sz w:val="16"/>
      </w:rPr>
      <w:t>4</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58770E76" w14:textId="77777777" w:rsidR="002721A1" w:rsidRDefault="00D9021E">
    <w:pPr>
      <w:spacing w:after="1" w:line="259" w:lineRule="auto"/>
      <w:ind w:left="0" w:firstLine="0"/>
    </w:pPr>
    <w:r>
      <w:rPr>
        <w:sz w:val="16"/>
      </w:rPr>
      <w:t xml:space="preserve">  </w:t>
    </w:r>
  </w:p>
  <w:p w14:paraId="6A72B81B" w14:textId="16CC5454" w:rsidR="002721A1" w:rsidRDefault="00D9021E">
    <w:pPr>
      <w:tabs>
        <w:tab w:val="center" w:pos="3405"/>
        <w:tab w:val="center" w:pos="5040"/>
        <w:tab w:val="center" w:pos="5760"/>
        <w:tab w:val="center" w:pos="6480"/>
        <w:tab w:val="center" w:pos="7815"/>
      </w:tabs>
      <w:spacing w:after="0" w:line="259" w:lineRule="auto"/>
      <w:ind w:left="0" w:firstLine="0"/>
    </w:pPr>
    <w:r>
      <w:rPr>
        <w:sz w:val="16"/>
      </w:rPr>
      <w:t xml:space="preserve">Further information:  </w:t>
    </w:r>
    <w:r>
      <w:rPr>
        <w:sz w:val="16"/>
      </w:rPr>
      <w:tab/>
      <w:t xml:space="preserve">          </w:t>
    </w:r>
    <w:r>
      <w:rPr>
        <w:color w:val="0000FF"/>
        <w:sz w:val="16"/>
        <w:u w:val="single" w:color="0000FF"/>
      </w:rPr>
      <w:t>www.nottinghamshire.gov.uk</w:t>
    </w:r>
    <w:r>
      <w:rPr>
        <w:sz w:val="16"/>
      </w:rPr>
      <w:t xml:space="preserve"> </w:t>
    </w:r>
    <w:r>
      <w:rPr>
        <w:sz w:val="16"/>
      </w:rPr>
      <w:tab/>
      <w:t xml:space="preserve"> </w:t>
    </w:r>
    <w:r>
      <w:rPr>
        <w:sz w:val="16"/>
      </w:rPr>
      <w:tab/>
      <w:t xml:space="preserve"> </w:t>
    </w:r>
    <w:r>
      <w:rPr>
        <w:sz w:val="16"/>
      </w:rPr>
      <w:tab/>
      <w:t xml:space="preserve">           </w:t>
    </w:r>
    <w:r>
      <w:rPr>
        <w:sz w:val="16"/>
      </w:rPr>
      <w:tab/>
      <w:t xml:space="preserve">Date: </w:t>
    </w:r>
    <w:r w:rsidR="00E80948">
      <w:rPr>
        <w:sz w:val="16"/>
      </w:rPr>
      <w:t>24.01.2017</w:t>
    </w:r>
  </w:p>
  <w:p w14:paraId="4E0DCB95" w14:textId="77777777" w:rsidR="002721A1" w:rsidRDefault="00D9021E">
    <w:pPr>
      <w:spacing w:after="0" w:line="259" w:lineRule="auto"/>
      <w:ind w:left="0" w:firstLine="0"/>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67EDB" w14:textId="77777777" w:rsidR="002721A1" w:rsidRDefault="002721A1">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7C920" w14:textId="77777777" w:rsidR="00500218" w:rsidRDefault="00D9021E">
      <w:pPr>
        <w:spacing w:after="0" w:line="240" w:lineRule="auto"/>
      </w:pPr>
      <w:r>
        <w:separator/>
      </w:r>
    </w:p>
  </w:footnote>
  <w:footnote w:type="continuationSeparator" w:id="0">
    <w:p w14:paraId="2B0B4188" w14:textId="77777777" w:rsidR="00500218" w:rsidRDefault="00D90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0F94" w14:textId="77777777" w:rsidR="002721A1" w:rsidRDefault="00D9021E">
    <w:pPr>
      <w:spacing w:after="0" w:line="259" w:lineRule="auto"/>
      <w:ind w:left="0" w:right="69" w:firstLine="0"/>
      <w:jc w:val="center"/>
    </w:pPr>
    <w:r>
      <w:t xml:space="preserve">Protection of Property and Pets, and Funeral Arrangements Policy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4452" w14:textId="77777777" w:rsidR="002721A1" w:rsidRDefault="00D9021E">
    <w:pPr>
      <w:spacing w:after="0" w:line="259" w:lineRule="auto"/>
      <w:ind w:left="0" w:right="69" w:firstLine="0"/>
      <w:jc w:val="center"/>
    </w:pPr>
    <w:r>
      <w:t xml:space="preserve">Protection of Property and Pets, and Funeral Arrangements Policy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F1E0" w14:textId="77777777" w:rsidR="002721A1" w:rsidRDefault="002721A1">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F72D4"/>
    <w:multiLevelType w:val="hybridMultilevel"/>
    <w:tmpl w:val="EB443210"/>
    <w:lvl w:ilvl="0" w:tplc="0B1EC2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BA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0D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A0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4D5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E18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F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6E0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662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603E71"/>
    <w:multiLevelType w:val="hybridMultilevel"/>
    <w:tmpl w:val="7BD068DE"/>
    <w:lvl w:ilvl="0" w:tplc="8E20DF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C0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321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8D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E40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06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AF3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665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019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433887"/>
    <w:multiLevelType w:val="hybridMultilevel"/>
    <w:tmpl w:val="BF3E5EBA"/>
    <w:lvl w:ilvl="0" w:tplc="67B4DC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21D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C9B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78AA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A6B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CB2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036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A3E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4F5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F63264"/>
    <w:multiLevelType w:val="hybridMultilevel"/>
    <w:tmpl w:val="CDB67116"/>
    <w:lvl w:ilvl="0" w:tplc="B5A044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1675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A5E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C8B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03D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A94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E1F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E98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760D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7F5CD5"/>
    <w:multiLevelType w:val="hybridMultilevel"/>
    <w:tmpl w:val="4D448A3C"/>
    <w:lvl w:ilvl="0" w:tplc="8C2048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0B1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A7B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4E6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8C9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412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43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00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C9F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A1"/>
    <w:rsid w:val="001D3548"/>
    <w:rsid w:val="002721A1"/>
    <w:rsid w:val="00500218"/>
    <w:rsid w:val="00540D4C"/>
    <w:rsid w:val="00693478"/>
    <w:rsid w:val="008F73B2"/>
    <w:rsid w:val="00CC59F1"/>
    <w:rsid w:val="00D9021E"/>
    <w:rsid w:val="00E80948"/>
    <w:rsid w:val="00F63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4CC"/>
  <w15:docId w15:val="{9AC64198-5F2C-4893-9DFA-A48BEEEC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377E"/>
    <w:rPr>
      <w:sz w:val="16"/>
      <w:szCs w:val="16"/>
    </w:rPr>
  </w:style>
  <w:style w:type="paragraph" w:styleId="CommentText">
    <w:name w:val="annotation text"/>
    <w:basedOn w:val="Normal"/>
    <w:link w:val="CommentTextChar"/>
    <w:uiPriority w:val="99"/>
    <w:semiHidden/>
    <w:unhideWhenUsed/>
    <w:rsid w:val="00F6377E"/>
    <w:pPr>
      <w:spacing w:line="240" w:lineRule="auto"/>
    </w:pPr>
    <w:rPr>
      <w:sz w:val="20"/>
      <w:szCs w:val="20"/>
    </w:rPr>
  </w:style>
  <w:style w:type="character" w:customStyle="1" w:styleId="CommentTextChar">
    <w:name w:val="Comment Text Char"/>
    <w:basedOn w:val="DefaultParagraphFont"/>
    <w:link w:val="CommentText"/>
    <w:uiPriority w:val="99"/>
    <w:semiHidden/>
    <w:rsid w:val="00F6377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377E"/>
    <w:rPr>
      <w:b/>
      <w:bCs/>
    </w:rPr>
  </w:style>
  <w:style w:type="character" w:customStyle="1" w:styleId="CommentSubjectChar">
    <w:name w:val="Comment Subject Char"/>
    <w:basedOn w:val="CommentTextChar"/>
    <w:link w:val="CommentSubject"/>
    <w:uiPriority w:val="99"/>
    <w:semiHidden/>
    <w:rsid w:val="00F6377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63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7E"/>
    <w:rPr>
      <w:rFonts w:ascii="Segoe UI" w:eastAsia="Arial" w:hAnsi="Segoe UI" w:cs="Segoe UI"/>
      <w:color w:val="000000"/>
      <w:sz w:val="18"/>
      <w:szCs w:val="18"/>
    </w:rPr>
  </w:style>
  <w:style w:type="character" w:styleId="Hyperlink">
    <w:name w:val="Hyperlink"/>
    <w:basedOn w:val="DefaultParagraphFont"/>
    <w:uiPriority w:val="99"/>
    <w:unhideWhenUsed/>
    <w:rsid w:val="00E80948"/>
    <w:rPr>
      <w:color w:val="0563C1" w:themeColor="hyperlink"/>
      <w:u w:val="single"/>
    </w:rPr>
  </w:style>
  <w:style w:type="character" w:styleId="FollowedHyperlink">
    <w:name w:val="FollowedHyperlink"/>
    <w:basedOn w:val="DefaultParagraphFont"/>
    <w:uiPriority w:val="99"/>
    <w:semiHidden/>
    <w:unhideWhenUsed/>
    <w:rsid w:val="00540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funeral-paym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nottscc.gov.uk/departments/asch/formsletters/?entryid287=369798&amp;q=0%7eservices%2ftenancy%2f2%7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ranet.nottscc.gov.uk/departments/asch/formsletters/?entryid287=369796&amp;q=0%7eservices%2fpets%2f1%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ranet.nottscc.gov.uk/departments/asch/formsletters/?entryid287=369797&amp;q=0%7eservices%2ftenancy%2f1%7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Funerals and protection of property v5</vt:lpstr>
    </vt:vector>
  </TitlesOfParts>
  <Company>NCC</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and protection of property v5</dc:title>
  <dc:subject/>
  <dc:creator>sh28</dc:creator>
  <cp:keywords/>
  <cp:lastModifiedBy>Anna Oliver</cp:lastModifiedBy>
  <cp:revision>7</cp:revision>
  <dcterms:created xsi:type="dcterms:W3CDTF">2016-11-15T16:58:00Z</dcterms:created>
  <dcterms:modified xsi:type="dcterms:W3CDTF">2017-05-18T09:47:00Z</dcterms:modified>
</cp:coreProperties>
</file>