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E0" w:rsidRPr="00A366E2" w:rsidRDefault="00D45FA0">
      <w:pPr>
        <w:rPr>
          <w:rFonts w:cs="Arial"/>
          <w:szCs w:val="22"/>
        </w:rPr>
      </w:pPr>
      <w:r w:rsidRPr="00A366E2">
        <w:rPr>
          <w:rFonts w:cs="Arial"/>
          <w:noProof/>
          <w:szCs w:val="22"/>
        </w:rPr>
        <w:drawing>
          <wp:anchor distT="0" distB="0" distL="114300" distR="114300" simplePos="0" relativeHeight="251657728" behindDoc="1" locked="0" layoutInCell="1" allowOverlap="1" wp14:anchorId="0D5A4604" wp14:editId="5B3CBA7A">
            <wp:simplePos x="0" y="0"/>
            <wp:positionH relativeFrom="column">
              <wp:posOffset>3514725</wp:posOffset>
            </wp:positionH>
            <wp:positionV relativeFrom="paragraph">
              <wp:posOffset>13335</wp:posOffset>
            </wp:positionV>
            <wp:extent cx="2952750" cy="495300"/>
            <wp:effectExtent l="0" t="0" r="0" b="0"/>
            <wp:wrapNone/>
            <wp:docPr id="3" name="Picture 3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2F" w:rsidRPr="00A366E2">
        <w:rPr>
          <w:rFonts w:cs="Arial"/>
          <w:szCs w:val="22"/>
        </w:rPr>
        <w:t>This matter is being dealt with by:</w:t>
      </w:r>
    </w:p>
    <w:p w:rsidR="000D052F" w:rsidRPr="00A366E2" w:rsidRDefault="00094076">
      <w:pPr>
        <w:rPr>
          <w:rFonts w:cs="Arial"/>
          <w:b/>
          <w:bCs/>
          <w:szCs w:val="22"/>
        </w:rPr>
      </w:pPr>
      <w:r w:rsidRPr="00A366E2">
        <w:rPr>
          <w:rFonts w:cs="Arial"/>
          <w:b/>
          <w:bCs/>
          <w:szCs w:val="22"/>
        </w:rPr>
        <w:t>Julia Thornborough</w:t>
      </w:r>
    </w:p>
    <w:p w:rsidR="00A00972" w:rsidRPr="00A366E2" w:rsidRDefault="00A00972">
      <w:pPr>
        <w:rPr>
          <w:rFonts w:cs="Arial"/>
          <w:bCs/>
          <w:szCs w:val="22"/>
        </w:rPr>
      </w:pPr>
      <w:r w:rsidRPr="00A366E2">
        <w:rPr>
          <w:rFonts w:cs="Arial"/>
          <w:bCs/>
          <w:szCs w:val="22"/>
        </w:rPr>
        <w:t xml:space="preserve">Reference: </w:t>
      </w:r>
    </w:p>
    <w:p w:rsidR="000D052F" w:rsidRPr="00A366E2" w:rsidRDefault="000D052F" w:rsidP="000D052F">
      <w:pPr>
        <w:rPr>
          <w:rFonts w:cs="Arial"/>
          <w:szCs w:val="22"/>
        </w:rPr>
      </w:pPr>
      <w:r w:rsidRPr="00A366E2">
        <w:rPr>
          <w:rFonts w:cs="Arial"/>
          <w:b/>
          <w:bCs/>
          <w:szCs w:val="22"/>
        </w:rPr>
        <w:t>T</w:t>
      </w:r>
      <w:r w:rsidRPr="00A366E2">
        <w:rPr>
          <w:rFonts w:cs="Arial"/>
          <w:szCs w:val="22"/>
        </w:rPr>
        <w:t xml:space="preserve"> </w:t>
      </w:r>
      <w:r w:rsidR="00C65E23" w:rsidRPr="00A366E2">
        <w:rPr>
          <w:rFonts w:cs="Arial"/>
          <w:szCs w:val="22"/>
        </w:rPr>
        <w:t xml:space="preserve">0115 </w:t>
      </w:r>
      <w:r w:rsidR="00D45FA0" w:rsidRPr="00A366E2">
        <w:rPr>
          <w:rFonts w:cs="Arial"/>
          <w:szCs w:val="22"/>
        </w:rPr>
        <w:t xml:space="preserve">97 </w:t>
      </w:r>
      <w:r w:rsidR="00094076" w:rsidRPr="00A366E2">
        <w:rPr>
          <w:rFonts w:cs="Arial"/>
          <w:szCs w:val="22"/>
        </w:rPr>
        <w:t>73154</w:t>
      </w:r>
    </w:p>
    <w:p w:rsidR="000D052F" w:rsidRPr="00A366E2" w:rsidRDefault="000D052F" w:rsidP="000D052F">
      <w:pPr>
        <w:rPr>
          <w:rFonts w:cs="Arial"/>
          <w:szCs w:val="22"/>
        </w:rPr>
      </w:pPr>
      <w:r w:rsidRPr="00A366E2">
        <w:rPr>
          <w:rFonts w:cs="Arial"/>
          <w:b/>
          <w:bCs/>
          <w:szCs w:val="22"/>
        </w:rPr>
        <w:t>E</w:t>
      </w:r>
      <w:r w:rsidRPr="00A366E2">
        <w:rPr>
          <w:rFonts w:cs="Arial"/>
          <w:szCs w:val="22"/>
        </w:rPr>
        <w:t xml:space="preserve"> </w:t>
      </w:r>
      <w:r w:rsidR="00094076" w:rsidRPr="00A366E2">
        <w:rPr>
          <w:rFonts w:cs="Arial"/>
          <w:szCs w:val="22"/>
        </w:rPr>
        <w:t>julia.thornborough</w:t>
      </w:r>
      <w:r w:rsidR="00C65E23" w:rsidRPr="00A366E2">
        <w:rPr>
          <w:rFonts w:cs="Arial"/>
          <w:szCs w:val="22"/>
        </w:rPr>
        <w:t>@nottscc.gov.uk</w:t>
      </w:r>
    </w:p>
    <w:p w:rsidR="000D052F" w:rsidRPr="00A366E2" w:rsidRDefault="000D052F" w:rsidP="000D052F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D052F" w:rsidRPr="00A366E2" w:rsidTr="00B27372">
        <w:trPr>
          <w:trHeight w:val="639"/>
        </w:trPr>
        <w:tc>
          <w:tcPr>
            <w:tcW w:w="10137" w:type="dxa"/>
          </w:tcPr>
          <w:p w:rsidR="000D052F" w:rsidRPr="00A366E2" w:rsidRDefault="000D052F" w:rsidP="000D052F">
            <w:pPr>
              <w:rPr>
                <w:rFonts w:cs="Arial"/>
                <w:szCs w:val="22"/>
              </w:rPr>
            </w:pPr>
          </w:p>
        </w:tc>
      </w:tr>
    </w:tbl>
    <w:p w:rsidR="000D052F" w:rsidRPr="00A366E2" w:rsidRDefault="00AA384E" w:rsidP="000D052F">
      <w:pPr>
        <w:rPr>
          <w:rFonts w:cs="Arial"/>
          <w:szCs w:val="22"/>
        </w:rPr>
      </w:pPr>
      <w:r>
        <w:rPr>
          <w:rFonts w:cs="Arial"/>
          <w:szCs w:val="22"/>
        </w:rPr>
        <w:t>10 August</w:t>
      </w:r>
      <w:r w:rsidR="007E6090" w:rsidRPr="00A366E2">
        <w:rPr>
          <w:rFonts w:cs="Arial"/>
          <w:szCs w:val="22"/>
        </w:rPr>
        <w:t xml:space="preserve"> 2016</w:t>
      </w:r>
    </w:p>
    <w:p w:rsidR="000D052F" w:rsidRPr="00A366E2" w:rsidRDefault="000D052F" w:rsidP="000D052F">
      <w:pPr>
        <w:rPr>
          <w:rFonts w:cs="Arial"/>
          <w:szCs w:val="22"/>
        </w:rPr>
      </w:pPr>
    </w:p>
    <w:p w:rsidR="00820C6D" w:rsidRPr="00A366E2" w:rsidRDefault="007E6090" w:rsidP="000D052F">
      <w:pPr>
        <w:rPr>
          <w:rFonts w:cs="Arial"/>
          <w:b/>
          <w:szCs w:val="22"/>
        </w:rPr>
      </w:pPr>
      <w:r w:rsidRPr="00A366E2">
        <w:rPr>
          <w:rFonts w:cs="Arial"/>
          <w:b/>
          <w:szCs w:val="22"/>
        </w:rPr>
        <w:t>Caring for Carers</w:t>
      </w:r>
    </w:p>
    <w:p w:rsidR="00820C6D" w:rsidRPr="00A366E2" w:rsidRDefault="00820C6D" w:rsidP="000D052F">
      <w:pPr>
        <w:rPr>
          <w:rFonts w:cs="Arial"/>
          <w:szCs w:val="22"/>
        </w:rPr>
      </w:pPr>
    </w:p>
    <w:p w:rsidR="00094076" w:rsidRPr="00A366E2" w:rsidRDefault="00094076" w:rsidP="00094076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>I am writing to invite you to the next event for the Nottinghamshire Health and Wellbeing Board Stakeholder Network.</w:t>
      </w:r>
    </w:p>
    <w:p w:rsidR="00094076" w:rsidRPr="00A366E2" w:rsidRDefault="00094076" w:rsidP="00094076">
      <w:pPr>
        <w:widowControl w:val="0"/>
        <w:rPr>
          <w:rFonts w:cs="Arial"/>
          <w:szCs w:val="22"/>
        </w:rPr>
      </w:pPr>
    </w:p>
    <w:p w:rsidR="00094076" w:rsidRPr="00A366E2" w:rsidRDefault="00094076" w:rsidP="00094076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The event will focus on </w:t>
      </w:r>
      <w:r w:rsidR="004828F8" w:rsidRPr="00A366E2">
        <w:rPr>
          <w:rFonts w:cs="Arial"/>
          <w:szCs w:val="22"/>
        </w:rPr>
        <w:t xml:space="preserve">what’s happening locally to </w:t>
      </w:r>
      <w:r w:rsidR="007E6090" w:rsidRPr="00A366E2">
        <w:rPr>
          <w:rFonts w:cs="Arial"/>
          <w:szCs w:val="22"/>
        </w:rPr>
        <w:t>support unpaid carers in their caring role and to engage partners in deciding on the most effective ways to improve the lives of carers.</w:t>
      </w:r>
    </w:p>
    <w:p w:rsidR="00094076" w:rsidRDefault="00094076" w:rsidP="00094076">
      <w:pPr>
        <w:widowControl w:val="0"/>
        <w:rPr>
          <w:rFonts w:cs="Arial"/>
          <w:szCs w:val="22"/>
        </w:rPr>
      </w:pPr>
    </w:p>
    <w:p w:rsidR="00B069FE" w:rsidRPr="00D64A77" w:rsidRDefault="00B069FE" w:rsidP="00A366E2">
      <w:pPr>
        <w:pStyle w:val="ListParagraph"/>
        <w:widowControl w:val="0"/>
        <w:numPr>
          <w:ilvl w:val="0"/>
          <w:numId w:val="5"/>
        </w:numPr>
        <w:rPr>
          <w:rFonts w:cs="Arial"/>
          <w:szCs w:val="22"/>
        </w:rPr>
      </w:pPr>
      <w:r w:rsidRPr="00D64A77">
        <w:rPr>
          <w:rFonts w:cs="Arial"/>
          <w:szCs w:val="22"/>
        </w:rPr>
        <w:t>5.8 million people are providing unpaid care in England and Wales, (2011 Census)</w:t>
      </w:r>
    </w:p>
    <w:p w:rsidR="00D64A77" w:rsidRPr="00D64A77" w:rsidRDefault="00B069FE" w:rsidP="00D64A77">
      <w:pPr>
        <w:pStyle w:val="ListParagraph"/>
        <w:widowControl w:val="0"/>
        <w:numPr>
          <w:ilvl w:val="0"/>
          <w:numId w:val="5"/>
        </w:numPr>
        <w:rPr>
          <w:rFonts w:cs="Arial"/>
          <w:szCs w:val="22"/>
        </w:rPr>
      </w:pPr>
      <w:r w:rsidRPr="00D64A77">
        <w:rPr>
          <w:rFonts w:cs="Arial"/>
          <w:szCs w:val="22"/>
        </w:rPr>
        <w:t xml:space="preserve">Over </w:t>
      </w:r>
      <w:r w:rsidR="00A366E2" w:rsidRPr="00D64A77">
        <w:rPr>
          <w:rFonts w:cs="Arial"/>
          <w:szCs w:val="22"/>
        </w:rPr>
        <w:t>90,</w:t>
      </w:r>
      <w:r w:rsidRPr="00D64A77">
        <w:rPr>
          <w:rFonts w:cs="Arial"/>
          <w:szCs w:val="22"/>
        </w:rPr>
        <w:t xml:space="preserve">000 in Nottinghamshire, </w:t>
      </w:r>
      <w:r w:rsidR="00011C3C">
        <w:rPr>
          <w:rFonts w:cs="Arial"/>
          <w:szCs w:val="22"/>
        </w:rPr>
        <w:t xml:space="preserve">look after someone </w:t>
      </w:r>
      <w:r w:rsidRPr="00D64A77">
        <w:rPr>
          <w:rFonts w:cs="Arial"/>
          <w:szCs w:val="22"/>
        </w:rPr>
        <w:t>(2011 Census)</w:t>
      </w:r>
    </w:p>
    <w:p w:rsidR="00B069FE" w:rsidRPr="00D64A77" w:rsidRDefault="00D64A77" w:rsidP="00D64A77">
      <w:pPr>
        <w:pStyle w:val="ListParagraph"/>
        <w:widowControl w:val="0"/>
        <w:numPr>
          <w:ilvl w:val="0"/>
          <w:numId w:val="5"/>
        </w:numPr>
        <w:rPr>
          <w:rFonts w:cs="Arial"/>
          <w:szCs w:val="22"/>
        </w:rPr>
      </w:pPr>
      <w:r w:rsidRPr="00D64A77">
        <w:rPr>
          <w:rFonts w:cs="Arial"/>
          <w:szCs w:val="22"/>
        </w:rPr>
        <w:t>Carers are estimated to save the UK economy £119 billion per year in care costs - more than the entire NHS budget and equivalent to £18,473 per year for every carer in the UK</w:t>
      </w:r>
    </w:p>
    <w:p w:rsidR="00D64A77" w:rsidRPr="00D64A77" w:rsidRDefault="00D64A77" w:rsidP="00D64A77">
      <w:pPr>
        <w:pStyle w:val="ListParagraph"/>
        <w:widowControl w:val="0"/>
        <w:numPr>
          <w:ilvl w:val="0"/>
          <w:numId w:val="5"/>
        </w:numPr>
        <w:rPr>
          <w:rFonts w:cs="Arial"/>
          <w:szCs w:val="22"/>
        </w:rPr>
      </w:pPr>
      <w:r>
        <w:rPr>
          <w:szCs w:val="22"/>
        </w:rPr>
        <w:t>C</w:t>
      </w:r>
      <w:r w:rsidRPr="00780C4D">
        <w:rPr>
          <w:szCs w:val="22"/>
        </w:rPr>
        <w:t xml:space="preserve">arers who provide high levels of unpaid care (more than 50 hours per week) are more than twice as likely to suffer from poor health compared to </w:t>
      </w:r>
      <w:r>
        <w:rPr>
          <w:szCs w:val="22"/>
        </w:rPr>
        <w:t>non-carers</w:t>
      </w:r>
    </w:p>
    <w:p w:rsidR="00A366E2" w:rsidRPr="00A366E2" w:rsidRDefault="00A366E2" w:rsidP="00094076">
      <w:pPr>
        <w:widowControl w:val="0"/>
        <w:rPr>
          <w:rFonts w:cs="Arial"/>
          <w:szCs w:val="22"/>
        </w:rPr>
      </w:pPr>
    </w:p>
    <w:p w:rsidR="00B069FE" w:rsidRDefault="007E6090" w:rsidP="00094076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>The Care Act 2014 gave carers parity in law with the people they look after</w:t>
      </w:r>
      <w:r w:rsidR="00B069FE">
        <w:rPr>
          <w:rFonts w:cs="Arial"/>
          <w:szCs w:val="22"/>
        </w:rPr>
        <w:t>, including:</w:t>
      </w:r>
    </w:p>
    <w:p w:rsidR="007E6090" w:rsidRDefault="007E6090" w:rsidP="00094076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 </w:t>
      </w:r>
    </w:p>
    <w:p w:rsidR="00B069FE" w:rsidRPr="00EF1B2E" w:rsidRDefault="00B069FE" w:rsidP="00B069FE">
      <w:pPr>
        <w:numPr>
          <w:ilvl w:val="1"/>
          <w:numId w:val="6"/>
        </w:numPr>
        <w:rPr>
          <w:rFonts w:cs="Arial"/>
        </w:rPr>
      </w:pPr>
      <w:r w:rsidRPr="00EF1B2E">
        <w:rPr>
          <w:rFonts w:cs="Arial"/>
        </w:rPr>
        <w:t>‘Parity of esteem’ for carers &amp; cared-for</w:t>
      </w:r>
    </w:p>
    <w:p w:rsidR="00B069FE" w:rsidRPr="00EF1B2E" w:rsidRDefault="00B069FE" w:rsidP="00B069FE">
      <w:pPr>
        <w:numPr>
          <w:ilvl w:val="1"/>
          <w:numId w:val="6"/>
        </w:numPr>
        <w:rPr>
          <w:rFonts w:cs="Arial"/>
        </w:rPr>
      </w:pPr>
      <w:r w:rsidRPr="00EF1B2E">
        <w:rPr>
          <w:rFonts w:cs="Arial"/>
        </w:rPr>
        <w:t>Principles of well-being &amp; personalisation</w:t>
      </w:r>
    </w:p>
    <w:p w:rsidR="00B069FE" w:rsidRDefault="00B069FE" w:rsidP="00B069FE">
      <w:pPr>
        <w:numPr>
          <w:ilvl w:val="1"/>
          <w:numId w:val="6"/>
        </w:numPr>
        <w:rPr>
          <w:rFonts w:cs="Arial"/>
        </w:rPr>
      </w:pPr>
      <w:r w:rsidRPr="00EF1B2E">
        <w:rPr>
          <w:rFonts w:cs="Arial"/>
        </w:rPr>
        <w:t>Universal rights to information &amp; advice</w:t>
      </w:r>
    </w:p>
    <w:p w:rsidR="00B069FE" w:rsidRPr="00B069FE" w:rsidRDefault="00B069FE" w:rsidP="00B069FE">
      <w:pPr>
        <w:numPr>
          <w:ilvl w:val="1"/>
          <w:numId w:val="6"/>
        </w:numPr>
        <w:rPr>
          <w:rFonts w:cs="Arial"/>
        </w:rPr>
      </w:pPr>
      <w:r w:rsidRPr="00B069FE">
        <w:rPr>
          <w:rFonts w:cs="Arial"/>
        </w:rPr>
        <w:t>Right to carer’s assessment &amp; support plan</w:t>
      </w:r>
    </w:p>
    <w:p w:rsidR="007E6090" w:rsidRPr="00A366E2" w:rsidRDefault="007E6090" w:rsidP="00094076">
      <w:pPr>
        <w:widowControl w:val="0"/>
        <w:rPr>
          <w:rFonts w:cs="Arial"/>
          <w:szCs w:val="22"/>
        </w:rPr>
      </w:pPr>
    </w:p>
    <w:p w:rsidR="00516AC8" w:rsidRPr="00A366E2" w:rsidRDefault="00094076" w:rsidP="00D64A77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Stakeholders will </w:t>
      </w:r>
      <w:r w:rsidR="004828F8" w:rsidRPr="00A366E2">
        <w:rPr>
          <w:rFonts w:cs="Arial"/>
          <w:szCs w:val="22"/>
        </w:rPr>
        <w:t xml:space="preserve">have the opportunity to </w:t>
      </w:r>
      <w:r w:rsidR="00516AC8" w:rsidRPr="00A366E2">
        <w:rPr>
          <w:rFonts w:cs="Arial"/>
          <w:szCs w:val="22"/>
        </w:rPr>
        <w:t xml:space="preserve">understand locally </w:t>
      </w:r>
      <w:r w:rsidR="007E6090" w:rsidRPr="00A366E2">
        <w:rPr>
          <w:rFonts w:cs="Arial"/>
          <w:szCs w:val="22"/>
        </w:rPr>
        <w:t>what we are doing to support carers in partnership with our Clinical Commissioning Groups, the community and voluntary sector, the independent sector and carers themselves.</w:t>
      </w:r>
    </w:p>
    <w:p w:rsidR="00516AC8" w:rsidRPr="00A366E2" w:rsidRDefault="00516AC8" w:rsidP="00516AC8">
      <w:pPr>
        <w:pStyle w:val="NoSpacing"/>
        <w:suppressAutoHyphens/>
        <w:autoSpaceDN w:val="0"/>
        <w:textAlignment w:val="baseline"/>
        <w:rPr>
          <w:rFonts w:ascii="Arial" w:hAnsi="Arial" w:cs="Arial"/>
        </w:rPr>
      </w:pPr>
    </w:p>
    <w:p w:rsidR="00672B9F" w:rsidRPr="00A366E2" w:rsidRDefault="00672B9F" w:rsidP="00672B9F">
      <w:pPr>
        <w:pStyle w:val="NoSpacing"/>
        <w:tabs>
          <w:tab w:val="left" w:pos="1035"/>
        </w:tabs>
        <w:rPr>
          <w:rFonts w:ascii="Arial" w:hAnsi="Arial" w:cs="Arial"/>
          <w:b/>
          <w:lang w:val="en-US"/>
        </w:rPr>
      </w:pPr>
      <w:r w:rsidRPr="00A366E2">
        <w:rPr>
          <w:rFonts w:ascii="Arial" w:hAnsi="Arial" w:cs="Arial"/>
          <w:b/>
          <w:lang w:val="en-US"/>
        </w:rPr>
        <w:t>Find out what you can d</w:t>
      </w:r>
      <w:r w:rsidRPr="009A2152">
        <w:rPr>
          <w:rFonts w:ascii="Arial" w:hAnsi="Arial" w:cs="Arial"/>
          <w:b/>
          <w:lang w:val="en-US"/>
        </w:rPr>
        <w:t xml:space="preserve">o to </w:t>
      </w:r>
      <w:r w:rsidR="00D64A77" w:rsidRPr="009A2152">
        <w:rPr>
          <w:rFonts w:ascii="Arial" w:hAnsi="Arial" w:cs="Arial"/>
          <w:b/>
        </w:rPr>
        <w:t xml:space="preserve">to influence the shape and focus of </w:t>
      </w:r>
      <w:r w:rsidR="00A72915">
        <w:rPr>
          <w:rFonts w:ascii="Arial" w:hAnsi="Arial" w:cs="Arial"/>
          <w:b/>
        </w:rPr>
        <w:t xml:space="preserve">support for carers </w:t>
      </w:r>
      <w:r w:rsidRPr="009A2152">
        <w:rPr>
          <w:rFonts w:ascii="Arial" w:hAnsi="Arial" w:cs="Arial"/>
          <w:b/>
          <w:lang w:val="en-US"/>
        </w:rPr>
        <w:t>through</w:t>
      </w:r>
      <w:r w:rsidRPr="00A366E2">
        <w:rPr>
          <w:rFonts w:ascii="Arial" w:hAnsi="Arial" w:cs="Arial"/>
          <w:b/>
          <w:lang w:val="en-US"/>
        </w:rPr>
        <w:t xml:space="preserve"> our interactive workshops</w:t>
      </w:r>
      <w:r w:rsidRPr="00A366E2">
        <w:rPr>
          <w:rFonts w:ascii="Arial" w:hAnsi="Arial" w:cs="Arial"/>
        </w:rPr>
        <w:t>.</w:t>
      </w:r>
      <w:r w:rsidR="00D64A77" w:rsidRPr="00D64A77">
        <w:rPr>
          <w:rFonts w:ascii="Arial" w:hAnsi="Arial" w:cs="Arial"/>
        </w:rPr>
        <w:t xml:space="preserve"> </w:t>
      </w:r>
    </w:p>
    <w:p w:rsidR="00516AC8" w:rsidRPr="00A366E2" w:rsidRDefault="00516AC8" w:rsidP="00516AC8">
      <w:pPr>
        <w:rPr>
          <w:rFonts w:cs="Arial"/>
          <w:szCs w:val="22"/>
        </w:rPr>
      </w:pPr>
    </w:p>
    <w:p w:rsidR="00094076" w:rsidRPr="00A366E2" w:rsidRDefault="00094076" w:rsidP="004828F8">
      <w:pPr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The event will take place on </w:t>
      </w:r>
      <w:r w:rsidR="00AA384E">
        <w:rPr>
          <w:rFonts w:cs="Arial"/>
          <w:szCs w:val="22"/>
        </w:rPr>
        <w:t>Wednesday 12 October</w:t>
      </w:r>
      <w:r w:rsidR="004828F8" w:rsidRPr="00A366E2">
        <w:rPr>
          <w:rFonts w:cs="Arial"/>
          <w:szCs w:val="22"/>
        </w:rPr>
        <w:t xml:space="preserve"> 2016</w:t>
      </w:r>
      <w:r w:rsidRPr="00A366E2">
        <w:rPr>
          <w:rFonts w:cs="Arial"/>
          <w:szCs w:val="22"/>
        </w:rPr>
        <w:t>, 1</w:t>
      </w:r>
      <w:r w:rsidR="004828F8" w:rsidRPr="00A366E2">
        <w:rPr>
          <w:rFonts w:cs="Arial"/>
          <w:szCs w:val="22"/>
        </w:rPr>
        <w:t>.30</w:t>
      </w:r>
      <w:r w:rsidRPr="00A366E2">
        <w:rPr>
          <w:rFonts w:cs="Arial"/>
          <w:szCs w:val="22"/>
        </w:rPr>
        <w:t>-4</w:t>
      </w:r>
      <w:r w:rsidR="004828F8" w:rsidRPr="00A366E2">
        <w:rPr>
          <w:rFonts w:cs="Arial"/>
          <w:szCs w:val="22"/>
        </w:rPr>
        <w:t>.30</w:t>
      </w:r>
      <w:r w:rsidRPr="00A366E2">
        <w:rPr>
          <w:rFonts w:cs="Arial"/>
          <w:szCs w:val="22"/>
        </w:rPr>
        <w:t xml:space="preserve">pm at </w:t>
      </w:r>
      <w:r w:rsidR="00AA384E">
        <w:rPr>
          <w:rFonts w:cs="Arial"/>
          <w:szCs w:val="22"/>
        </w:rPr>
        <w:t>Edwinstowe House</w:t>
      </w:r>
      <w:r w:rsidR="00A014E3">
        <w:rPr>
          <w:rFonts w:cs="Arial"/>
          <w:szCs w:val="22"/>
        </w:rPr>
        <w:t>.</w:t>
      </w:r>
      <w:r w:rsidR="004828F8" w:rsidRPr="00A366E2">
        <w:rPr>
          <w:rFonts w:cs="Arial"/>
          <w:szCs w:val="22"/>
        </w:rPr>
        <w:t xml:space="preserve">  </w:t>
      </w:r>
      <w:r w:rsidRPr="00A366E2">
        <w:rPr>
          <w:rFonts w:cs="Arial"/>
          <w:szCs w:val="22"/>
        </w:rPr>
        <w:t xml:space="preserve">A draft agenda is attached below for your reference. Light refreshments will be provided.  </w:t>
      </w:r>
    </w:p>
    <w:p w:rsidR="00094076" w:rsidRPr="00A366E2" w:rsidRDefault="00094076" w:rsidP="00094076">
      <w:pPr>
        <w:widowControl w:val="0"/>
        <w:rPr>
          <w:rFonts w:cs="Arial"/>
          <w:szCs w:val="22"/>
        </w:rPr>
      </w:pPr>
    </w:p>
    <w:p w:rsidR="00094076" w:rsidRPr="00A366E2" w:rsidRDefault="00094076" w:rsidP="00094076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As there are a wide range of stakeholders, </w:t>
      </w:r>
      <w:r w:rsidRPr="000353BE">
        <w:rPr>
          <w:rFonts w:cs="Arial"/>
          <w:b/>
          <w:szCs w:val="22"/>
        </w:rPr>
        <w:t>places are limited and will be allocated on a first come, first serve</w:t>
      </w:r>
      <w:r w:rsidR="000353BE" w:rsidRPr="000353BE">
        <w:rPr>
          <w:rFonts w:cs="Arial"/>
          <w:b/>
          <w:szCs w:val="22"/>
        </w:rPr>
        <w:t>d</w:t>
      </w:r>
      <w:r w:rsidRPr="000353BE">
        <w:rPr>
          <w:rFonts w:cs="Arial"/>
          <w:b/>
          <w:szCs w:val="22"/>
        </w:rPr>
        <w:t xml:space="preserve"> basis. </w:t>
      </w:r>
      <w:r w:rsidRPr="00A366E2">
        <w:rPr>
          <w:rFonts w:cs="Arial"/>
          <w:szCs w:val="22"/>
        </w:rPr>
        <w:t xml:space="preserve"> We aim to be as flexible as possible, but will form a reserve list if required, and reallocate places as they become available.</w:t>
      </w:r>
    </w:p>
    <w:p w:rsidR="00094076" w:rsidRPr="00A366E2" w:rsidRDefault="00094076" w:rsidP="00094076">
      <w:pPr>
        <w:widowControl w:val="0"/>
        <w:rPr>
          <w:rFonts w:cs="Arial"/>
          <w:szCs w:val="22"/>
        </w:rPr>
      </w:pPr>
    </w:p>
    <w:p w:rsidR="00AE14A5" w:rsidRDefault="00094076" w:rsidP="00094076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Places for the event can be booked through </w:t>
      </w:r>
      <w:proofErr w:type="spellStart"/>
      <w:r w:rsidRPr="00A366E2">
        <w:rPr>
          <w:rFonts w:cs="Arial"/>
          <w:szCs w:val="22"/>
        </w:rPr>
        <w:t>EventBrite</w:t>
      </w:r>
      <w:proofErr w:type="spellEnd"/>
      <w:r w:rsidRPr="00A366E2">
        <w:rPr>
          <w:rFonts w:cs="Arial"/>
          <w:szCs w:val="22"/>
        </w:rPr>
        <w:t xml:space="preserve"> using this link: </w:t>
      </w:r>
    </w:p>
    <w:bookmarkStart w:id="0" w:name="_GoBack"/>
    <w:p w:rsidR="00094076" w:rsidRPr="00A366E2" w:rsidRDefault="00AE14A5" w:rsidP="00094076">
      <w:pPr>
        <w:widowControl w:val="0"/>
        <w:rPr>
          <w:rFonts w:cs="Arial"/>
          <w:szCs w:val="22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"http://nottinghamshire-healthandwellbeing-carers-event.eventbrite.com/" </w:instrText>
      </w:r>
      <w:r>
        <w:rPr>
          <w:rFonts w:ascii="Calibri" w:hAnsi="Calibri"/>
        </w:rPr>
        <w:fldChar w:fldCharType="separate"/>
      </w:r>
      <w:r>
        <w:rPr>
          <w:rStyle w:val="Hyperlink"/>
          <w:rFonts w:ascii="Calibri" w:hAnsi="Calibri"/>
        </w:rPr>
        <w:t>http://nottinghamshire-healthandwellbeing-carers-event.eventbrite.com</w:t>
      </w:r>
      <w:r>
        <w:rPr>
          <w:rFonts w:ascii="Calibri" w:hAnsi="Calibri"/>
        </w:rPr>
        <w:fldChar w:fldCharType="end"/>
      </w:r>
      <w:bookmarkEnd w:id="0"/>
    </w:p>
    <w:p w:rsidR="00094076" w:rsidRPr="00A366E2" w:rsidRDefault="00094076" w:rsidP="00094076">
      <w:pPr>
        <w:widowControl w:val="0"/>
        <w:rPr>
          <w:rFonts w:cs="Arial"/>
          <w:szCs w:val="22"/>
        </w:rPr>
      </w:pPr>
    </w:p>
    <w:p w:rsidR="00094076" w:rsidRPr="00A366E2" w:rsidRDefault="00094076" w:rsidP="00094076">
      <w:pPr>
        <w:widowControl w:val="0"/>
        <w:jc w:val="both"/>
        <w:rPr>
          <w:rFonts w:cs="Arial"/>
          <w:szCs w:val="22"/>
        </w:rPr>
      </w:pPr>
      <w:r w:rsidRPr="00A366E2">
        <w:rPr>
          <w:rFonts w:cs="Arial"/>
          <w:szCs w:val="22"/>
        </w:rPr>
        <w:t xml:space="preserve">I look forward to seeing you on </w:t>
      </w:r>
      <w:r w:rsidR="00AA384E">
        <w:rPr>
          <w:rFonts w:cs="Arial"/>
          <w:szCs w:val="22"/>
        </w:rPr>
        <w:t xml:space="preserve">12 October </w:t>
      </w:r>
      <w:r w:rsidR="004828F8" w:rsidRPr="00A366E2">
        <w:rPr>
          <w:rFonts w:cs="Arial"/>
          <w:szCs w:val="22"/>
        </w:rPr>
        <w:t>2016</w:t>
      </w:r>
      <w:r w:rsidR="00AA384E">
        <w:rPr>
          <w:rFonts w:cs="Arial"/>
          <w:szCs w:val="22"/>
        </w:rPr>
        <w:t>.</w:t>
      </w:r>
    </w:p>
    <w:p w:rsidR="00094076" w:rsidRPr="00A366E2" w:rsidRDefault="00094076" w:rsidP="00094076">
      <w:pPr>
        <w:widowControl w:val="0"/>
        <w:jc w:val="both"/>
        <w:rPr>
          <w:rFonts w:cs="Arial"/>
          <w:szCs w:val="22"/>
        </w:rPr>
      </w:pPr>
      <w:r w:rsidRPr="00A366E2">
        <w:rPr>
          <w:rFonts w:cs="Arial"/>
          <w:szCs w:val="22"/>
        </w:rPr>
        <w:t> </w:t>
      </w:r>
    </w:p>
    <w:p w:rsidR="00526C2A" w:rsidRPr="00A366E2" w:rsidRDefault="00094076" w:rsidP="00526C2A">
      <w:pPr>
        <w:widowControl w:val="0"/>
        <w:rPr>
          <w:rFonts w:cs="Arial"/>
          <w:szCs w:val="22"/>
        </w:rPr>
      </w:pPr>
      <w:r w:rsidRPr="00A366E2">
        <w:rPr>
          <w:rFonts w:cs="Arial"/>
          <w:szCs w:val="22"/>
        </w:rPr>
        <w:t>Yours faithfully  </w:t>
      </w:r>
    </w:p>
    <w:p w:rsidR="00526C2A" w:rsidRPr="00A366E2" w:rsidRDefault="00526C2A" w:rsidP="00526C2A">
      <w:pPr>
        <w:widowControl w:val="0"/>
        <w:rPr>
          <w:rFonts w:cs="Arial"/>
          <w:szCs w:val="22"/>
        </w:rPr>
      </w:pPr>
    </w:p>
    <w:p w:rsidR="00094076" w:rsidRPr="00A366E2" w:rsidRDefault="00094076" w:rsidP="00094076">
      <w:pPr>
        <w:widowControl w:val="0"/>
        <w:rPr>
          <w:rFonts w:cs="Arial"/>
          <w:b/>
          <w:bCs/>
          <w:szCs w:val="22"/>
        </w:rPr>
      </w:pPr>
      <w:r w:rsidRPr="00A366E2">
        <w:rPr>
          <w:rFonts w:cs="Arial"/>
          <w:b/>
          <w:bCs/>
          <w:szCs w:val="22"/>
        </w:rPr>
        <w:t>Councillor Joyce Bosnjak</w:t>
      </w:r>
    </w:p>
    <w:p w:rsidR="00094076" w:rsidRPr="00A366E2" w:rsidRDefault="00094076" w:rsidP="00094076">
      <w:pPr>
        <w:widowControl w:val="0"/>
        <w:rPr>
          <w:rFonts w:cs="Arial"/>
          <w:bCs/>
          <w:szCs w:val="22"/>
        </w:rPr>
      </w:pPr>
      <w:r w:rsidRPr="00A366E2">
        <w:rPr>
          <w:rFonts w:cs="Arial"/>
          <w:szCs w:val="22"/>
        </w:rPr>
        <w:t>Dep</w:t>
      </w:r>
      <w:r w:rsidRPr="00A366E2">
        <w:rPr>
          <w:rFonts w:cs="Arial"/>
          <w:bCs/>
          <w:szCs w:val="22"/>
        </w:rPr>
        <w:t>uty Leader</w:t>
      </w:r>
    </w:p>
    <w:p w:rsidR="00094076" w:rsidRPr="00A366E2" w:rsidRDefault="00094076" w:rsidP="00094076">
      <w:pPr>
        <w:widowControl w:val="0"/>
        <w:rPr>
          <w:rFonts w:cs="Arial"/>
          <w:bCs/>
          <w:szCs w:val="22"/>
        </w:rPr>
      </w:pPr>
      <w:r w:rsidRPr="00A366E2">
        <w:rPr>
          <w:rFonts w:cs="Arial"/>
          <w:bCs/>
          <w:szCs w:val="22"/>
        </w:rPr>
        <w:t>Nottinghamshire County Council</w:t>
      </w:r>
    </w:p>
    <w:p w:rsidR="000D052F" w:rsidRPr="00A366E2" w:rsidRDefault="00094076" w:rsidP="00672B9F">
      <w:pPr>
        <w:widowControl w:val="0"/>
        <w:rPr>
          <w:rFonts w:cs="Arial"/>
          <w:szCs w:val="22"/>
        </w:rPr>
      </w:pPr>
      <w:r w:rsidRPr="00A366E2">
        <w:rPr>
          <w:rFonts w:cs="Arial"/>
          <w:bCs/>
          <w:szCs w:val="22"/>
        </w:rPr>
        <w:t>Chair of the Health &amp; Wellbeing Board</w:t>
      </w:r>
    </w:p>
    <w:sectPr w:rsidR="000D052F" w:rsidRPr="00A366E2" w:rsidSect="006D2327">
      <w:footerReference w:type="default" r:id="rId8"/>
      <w:type w:val="continuous"/>
      <w:pgSz w:w="11906" w:h="16838" w:code="9"/>
      <w:pgMar w:top="567" w:right="1134" w:bottom="1134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93" w:rsidRDefault="00A64893">
      <w:r>
        <w:separator/>
      </w:r>
    </w:p>
  </w:endnote>
  <w:endnote w:type="continuationSeparator" w:id="0">
    <w:p w:rsidR="00A64893" w:rsidRDefault="00A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2F" w:rsidRDefault="000D052F">
    <w:pPr>
      <w:pStyle w:val="Footer"/>
    </w:pPr>
    <w:smartTag w:uri="urn:schemas-microsoft-com:office:smarttags" w:element="PlaceName">
      <w:r>
        <w:t>Nottinghamshire</w:t>
      </w:r>
    </w:smartTag>
    <w:r>
      <w:t xml:space="preserve"> </w:t>
    </w:r>
    <w:smartTag w:uri="urn:schemas-microsoft-com:office:smarttags" w:element="PlaceType">
      <w:r>
        <w:t>County</w:t>
      </w:r>
    </w:smartTag>
    <w:r>
      <w:t xml:space="preserve"> Council, County Hall, West Bridgford, </w:t>
    </w:r>
    <w:smartTag w:uri="urn:schemas-microsoft-com:office:smarttags" w:element="place">
      <w:r>
        <w:t>Nottingham</w:t>
      </w:r>
    </w:smartTag>
    <w:r>
      <w:t xml:space="preserve"> NG2 7QP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93" w:rsidRDefault="00A64893">
      <w:r>
        <w:separator/>
      </w:r>
    </w:p>
  </w:footnote>
  <w:footnote w:type="continuationSeparator" w:id="0">
    <w:p w:rsidR="00A64893" w:rsidRDefault="00A6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50A"/>
    <w:multiLevelType w:val="hybridMultilevel"/>
    <w:tmpl w:val="5A10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27E"/>
    <w:multiLevelType w:val="multilevel"/>
    <w:tmpl w:val="8C2CE5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DB85F04"/>
    <w:multiLevelType w:val="hybridMultilevel"/>
    <w:tmpl w:val="BA164D6E"/>
    <w:lvl w:ilvl="0" w:tplc="D20815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E87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C62F5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983F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F020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0E7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123E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D85A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B9C3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0"/>
    <w:rsid w:val="00011C3C"/>
    <w:rsid w:val="000353BE"/>
    <w:rsid w:val="000526DE"/>
    <w:rsid w:val="00067858"/>
    <w:rsid w:val="00090009"/>
    <w:rsid w:val="00094076"/>
    <w:rsid w:val="000A4969"/>
    <w:rsid w:val="000D052F"/>
    <w:rsid w:val="00144BCD"/>
    <w:rsid w:val="00390097"/>
    <w:rsid w:val="003D7E70"/>
    <w:rsid w:val="00402AE0"/>
    <w:rsid w:val="004828F8"/>
    <w:rsid w:val="00516AC8"/>
    <w:rsid w:val="00526C2A"/>
    <w:rsid w:val="005452FD"/>
    <w:rsid w:val="005C24F3"/>
    <w:rsid w:val="005F0F35"/>
    <w:rsid w:val="0062600D"/>
    <w:rsid w:val="00672B9F"/>
    <w:rsid w:val="006A1284"/>
    <w:rsid w:val="006D2327"/>
    <w:rsid w:val="006F2F4C"/>
    <w:rsid w:val="007256E5"/>
    <w:rsid w:val="0076724F"/>
    <w:rsid w:val="007773CD"/>
    <w:rsid w:val="007E6090"/>
    <w:rsid w:val="00820C6D"/>
    <w:rsid w:val="008C4C2B"/>
    <w:rsid w:val="00907CA3"/>
    <w:rsid w:val="009A2152"/>
    <w:rsid w:val="00A00972"/>
    <w:rsid w:val="00A014E3"/>
    <w:rsid w:val="00A366E2"/>
    <w:rsid w:val="00A64893"/>
    <w:rsid w:val="00A72915"/>
    <w:rsid w:val="00AA384E"/>
    <w:rsid w:val="00AD547E"/>
    <w:rsid w:val="00AE14A5"/>
    <w:rsid w:val="00AF13FB"/>
    <w:rsid w:val="00B069FE"/>
    <w:rsid w:val="00B27372"/>
    <w:rsid w:val="00BC0E76"/>
    <w:rsid w:val="00C65E23"/>
    <w:rsid w:val="00D40785"/>
    <w:rsid w:val="00D45FA0"/>
    <w:rsid w:val="00D64A77"/>
    <w:rsid w:val="00DA7E1C"/>
    <w:rsid w:val="00F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B5744E9-4BB2-4C05-AC0A-E9FE89A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5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0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CA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16AC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66E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069FE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9FE"/>
    <w:rPr>
      <w:rFonts w:ascii="Calibri" w:eastAsia="Calibri" w:hAnsi="Calibri" w:cs="Calibri"/>
      <w:lang w:eastAsia="en-US"/>
    </w:rPr>
  </w:style>
  <w:style w:type="character" w:styleId="EndnoteReference">
    <w:name w:val="endnote reference"/>
    <w:uiPriority w:val="99"/>
    <w:semiHidden/>
    <w:rsid w:val="00B069FE"/>
    <w:rPr>
      <w:vertAlign w:val="superscript"/>
    </w:rPr>
  </w:style>
  <w:style w:type="character" w:styleId="FootnoteReference">
    <w:name w:val="footnote reference"/>
    <w:uiPriority w:val="99"/>
    <w:semiHidden/>
    <w:rsid w:val="00D64A77"/>
    <w:rPr>
      <w:rFonts w:ascii="Arial" w:hAnsi="Arial" w:cs="Arial"/>
      <w:sz w:val="20"/>
      <w:szCs w:val="20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01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27\AppData\Local\Microsoft\Windows\Temporary%20Internet%20Files\Content.IE5\9BW4JVKM\Letterheadv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Letterheadv2[1].dot</Template>
  <TotalTime>43</TotalTime>
  <Pages>1</Pages>
  <Words>366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Grace Ollivent</dc:creator>
  <cp:lastModifiedBy>Julia Thornborough</cp:lastModifiedBy>
  <cp:revision>12</cp:revision>
  <dcterms:created xsi:type="dcterms:W3CDTF">2016-07-19T08:29:00Z</dcterms:created>
  <dcterms:modified xsi:type="dcterms:W3CDTF">2016-08-17T15:42:00Z</dcterms:modified>
</cp:coreProperties>
</file>