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157" w:rsidRDefault="007B535B" w:rsidP="007B535B">
      <w:pPr>
        <w:jc w:val="center"/>
        <w:rPr>
          <w:b/>
          <w:sz w:val="24"/>
          <w:szCs w:val="24"/>
        </w:rPr>
      </w:pPr>
      <w:bookmarkStart w:id="0" w:name="_GoBack"/>
      <w:bookmarkEnd w:id="0"/>
      <w:r w:rsidRPr="007B535B">
        <w:rPr>
          <w:b/>
          <w:sz w:val="24"/>
          <w:szCs w:val="24"/>
        </w:rPr>
        <w:t>Veterans Information Network Nottinghamshire</w:t>
      </w:r>
      <w:r w:rsidR="00C53E89">
        <w:rPr>
          <w:b/>
          <w:sz w:val="24"/>
          <w:szCs w:val="24"/>
        </w:rPr>
        <w:t xml:space="preserve"> (VIN</w:t>
      </w:r>
      <w:r w:rsidR="007F332F">
        <w:rPr>
          <w:b/>
          <w:sz w:val="24"/>
          <w:szCs w:val="24"/>
        </w:rPr>
        <w:t>N</w:t>
      </w:r>
      <w:r w:rsidR="00C53E89">
        <w:rPr>
          <w:b/>
          <w:sz w:val="24"/>
          <w:szCs w:val="24"/>
        </w:rPr>
        <w:t>)</w:t>
      </w:r>
    </w:p>
    <w:p w:rsidR="007B535B" w:rsidRDefault="007B535B" w:rsidP="007B535B">
      <w:pPr>
        <w:rPr>
          <w:b/>
          <w:sz w:val="24"/>
          <w:szCs w:val="24"/>
        </w:rPr>
      </w:pPr>
      <w:r>
        <w:rPr>
          <w:b/>
          <w:sz w:val="24"/>
          <w:szCs w:val="24"/>
        </w:rPr>
        <w:t>Terms of Reference:</w:t>
      </w:r>
    </w:p>
    <w:tbl>
      <w:tblPr>
        <w:tblStyle w:val="TableGrid"/>
        <w:tblW w:w="0" w:type="auto"/>
        <w:tblLook w:val="04A0" w:firstRow="1" w:lastRow="0" w:firstColumn="1" w:lastColumn="0" w:noHBand="0" w:noVBand="1"/>
      </w:tblPr>
      <w:tblGrid>
        <w:gridCol w:w="1720"/>
        <w:gridCol w:w="7522"/>
      </w:tblGrid>
      <w:tr w:rsidR="007B535B" w:rsidTr="00571F09">
        <w:tc>
          <w:tcPr>
            <w:tcW w:w="1720" w:type="dxa"/>
          </w:tcPr>
          <w:p w:rsidR="007B535B" w:rsidRDefault="007B535B" w:rsidP="007B535B">
            <w:pPr>
              <w:rPr>
                <w:b/>
                <w:sz w:val="24"/>
                <w:szCs w:val="24"/>
              </w:rPr>
            </w:pPr>
            <w:r>
              <w:rPr>
                <w:b/>
                <w:sz w:val="24"/>
                <w:szCs w:val="24"/>
              </w:rPr>
              <w:t>Aim:</w:t>
            </w:r>
          </w:p>
        </w:tc>
        <w:tc>
          <w:tcPr>
            <w:tcW w:w="7522" w:type="dxa"/>
          </w:tcPr>
          <w:p w:rsidR="007B535B" w:rsidRDefault="007B535B" w:rsidP="006500F7">
            <w:pPr>
              <w:shd w:val="clear" w:color="auto" w:fill="FFFFFF"/>
              <w:spacing w:before="100" w:beforeAutospacing="1" w:after="100" w:afterAutospacing="1"/>
              <w:rPr>
                <w:rFonts w:eastAsia="Times New Roman" w:cstheme="minorHAnsi"/>
                <w:color w:val="000000"/>
                <w:sz w:val="24"/>
                <w:szCs w:val="24"/>
                <w:lang w:eastAsia="en-GB"/>
              </w:rPr>
            </w:pPr>
            <w:r>
              <w:rPr>
                <w:sz w:val="24"/>
                <w:szCs w:val="24"/>
              </w:rPr>
              <w:t>Veteran’s</w:t>
            </w:r>
            <w:r w:rsidRPr="007B535B">
              <w:rPr>
                <w:sz w:val="24"/>
                <w:szCs w:val="24"/>
              </w:rPr>
              <w:t xml:space="preserve"> </w:t>
            </w:r>
            <w:r w:rsidR="00713F49">
              <w:rPr>
                <w:sz w:val="24"/>
                <w:szCs w:val="24"/>
              </w:rPr>
              <w:t>information N</w:t>
            </w:r>
            <w:r>
              <w:rPr>
                <w:sz w:val="24"/>
                <w:szCs w:val="24"/>
              </w:rPr>
              <w:t xml:space="preserve">etwork Nottinghamshire </w:t>
            </w:r>
            <w:r w:rsidRPr="00570EF3">
              <w:rPr>
                <w:rFonts w:eastAsia="Times New Roman" w:cstheme="minorHAnsi"/>
                <w:color w:val="000000"/>
                <w:sz w:val="24"/>
                <w:szCs w:val="24"/>
                <w:lang w:eastAsia="en-GB"/>
              </w:rPr>
              <w:t xml:space="preserve">works to enhance, wherever possible, the welfare and wellbeing of the Armed Forces and </w:t>
            </w:r>
            <w:r>
              <w:rPr>
                <w:rFonts w:eastAsia="Times New Roman" w:cstheme="minorHAnsi"/>
                <w:color w:val="000000"/>
                <w:sz w:val="24"/>
                <w:szCs w:val="24"/>
                <w:lang w:eastAsia="en-GB"/>
              </w:rPr>
              <w:t>the Veteran community in Nottinghamshire</w:t>
            </w:r>
            <w:r w:rsidRPr="00570EF3">
              <w:rPr>
                <w:rFonts w:eastAsia="Times New Roman" w:cstheme="minorHAnsi"/>
                <w:color w:val="000000"/>
                <w:sz w:val="24"/>
                <w:szCs w:val="24"/>
                <w:lang w:eastAsia="en-GB"/>
              </w:rPr>
              <w:t>, which consists of all people who are or have been regulars, reservists or cadets and their immediate families.</w:t>
            </w:r>
            <w:r w:rsidR="00630630">
              <w:rPr>
                <w:rFonts w:eastAsia="Times New Roman" w:cstheme="minorHAnsi"/>
                <w:color w:val="000000"/>
                <w:sz w:val="24"/>
                <w:szCs w:val="24"/>
                <w:lang w:eastAsia="en-GB"/>
              </w:rPr>
              <w:t xml:space="preserve">  It</w:t>
            </w:r>
            <w:r w:rsidR="006500F7">
              <w:rPr>
                <w:rFonts w:eastAsia="Times New Roman" w:cstheme="minorHAnsi"/>
                <w:color w:val="000000"/>
                <w:sz w:val="24"/>
                <w:szCs w:val="24"/>
                <w:lang w:eastAsia="en-GB"/>
              </w:rPr>
              <w:t xml:space="preserve"> achieve</w:t>
            </w:r>
            <w:r w:rsidR="00630630">
              <w:rPr>
                <w:rFonts w:eastAsia="Times New Roman" w:cstheme="minorHAnsi"/>
                <w:color w:val="000000"/>
                <w:sz w:val="24"/>
                <w:szCs w:val="24"/>
                <w:lang w:eastAsia="en-GB"/>
              </w:rPr>
              <w:t>s</w:t>
            </w:r>
            <w:r w:rsidR="006500F7">
              <w:rPr>
                <w:rFonts w:eastAsia="Times New Roman" w:cstheme="minorHAnsi"/>
                <w:color w:val="000000"/>
                <w:sz w:val="24"/>
                <w:szCs w:val="24"/>
                <w:lang w:eastAsia="en-GB"/>
              </w:rPr>
              <w:t xml:space="preserve"> this aim through the sharing of information and knowledge</w:t>
            </w:r>
            <w:r w:rsidR="00630630">
              <w:rPr>
                <w:rFonts w:eastAsia="Times New Roman" w:cstheme="minorHAnsi"/>
                <w:color w:val="000000"/>
                <w:sz w:val="24"/>
                <w:szCs w:val="24"/>
                <w:lang w:eastAsia="en-GB"/>
              </w:rPr>
              <w:t>,</w:t>
            </w:r>
            <w:r w:rsidR="006500F7">
              <w:rPr>
                <w:rFonts w:eastAsia="Times New Roman" w:cstheme="minorHAnsi"/>
                <w:color w:val="000000"/>
                <w:sz w:val="24"/>
                <w:szCs w:val="24"/>
                <w:lang w:eastAsia="en-GB"/>
              </w:rPr>
              <w:t xml:space="preserve"> accessible to as many individuals and groups as possible.</w:t>
            </w:r>
          </w:p>
          <w:p w:rsidR="006500F7" w:rsidRPr="007B535B" w:rsidRDefault="006500F7" w:rsidP="006500F7">
            <w:pPr>
              <w:shd w:val="clear" w:color="auto" w:fill="FFFFFF"/>
              <w:spacing w:before="100" w:beforeAutospacing="1" w:after="100" w:afterAutospacing="1"/>
              <w:rPr>
                <w:sz w:val="24"/>
                <w:szCs w:val="24"/>
              </w:rPr>
            </w:pPr>
          </w:p>
        </w:tc>
      </w:tr>
      <w:tr w:rsidR="007B535B" w:rsidTr="00571F09">
        <w:tc>
          <w:tcPr>
            <w:tcW w:w="1720" w:type="dxa"/>
          </w:tcPr>
          <w:p w:rsidR="007B535B" w:rsidRDefault="007B535B" w:rsidP="007B535B">
            <w:pPr>
              <w:rPr>
                <w:b/>
                <w:sz w:val="24"/>
                <w:szCs w:val="24"/>
              </w:rPr>
            </w:pPr>
            <w:r>
              <w:rPr>
                <w:b/>
                <w:sz w:val="24"/>
                <w:szCs w:val="24"/>
              </w:rPr>
              <w:t>Objectives:</w:t>
            </w:r>
          </w:p>
        </w:tc>
        <w:tc>
          <w:tcPr>
            <w:tcW w:w="7522" w:type="dxa"/>
          </w:tcPr>
          <w:p w:rsidR="007B535B" w:rsidRPr="00570EF3" w:rsidRDefault="007B535B" w:rsidP="007B535B">
            <w:pPr>
              <w:numPr>
                <w:ilvl w:val="0"/>
                <w:numId w:val="1"/>
              </w:numPr>
              <w:shd w:val="clear" w:color="auto" w:fill="FFFFFF"/>
              <w:spacing w:before="100" w:beforeAutospacing="1" w:after="100" w:afterAutospacing="1"/>
              <w:rPr>
                <w:rFonts w:eastAsia="Times New Roman" w:cstheme="minorHAnsi"/>
                <w:color w:val="000000"/>
                <w:sz w:val="24"/>
                <w:szCs w:val="24"/>
                <w:lang w:eastAsia="en-GB"/>
              </w:rPr>
            </w:pPr>
            <w:r w:rsidRPr="00570EF3">
              <w:rPr>
                <w:rFonts w:eastAsia="Times New Roman" w:cstheme="minorHAnsi"/>
                <w:color w:val="000000"/>
                <w:sz w:val="24"/>
                <w:szCs w:val="24"/>
                <w:lang w:eastAsia="en-GB"/>
              </w:rPr>
              <w:t>Acting as a point of contact on behalf of local governme</w:t>
            </w:r>
            <w:r>
              <w:rPr>
                <w:rFonts w:eastAsia="Times New Roman" w:cstheme="minorHAnsi"/>
                <w:color w:val="000000"/>
                <w:sz w:val="24"/>
                <w:szCs w:val="24"/>
                <w:lang w:eastAsia="en-GB"/>
              </w:rPr>
              <w:t>nt and other agencies in Nottinghamshire</w:t>
            </w:r>
            <w:r w:rsidRPr="00570EF3">
              <w:rPr>
                <w:rFonts w:eastAsia="Times New Roman" w:cstheme="minorHAnsi"/>
                <w:color w:val="000000"/>
                <w:sz w:val="24"/>
                <w:szCs w:val="24"/>
                <w:lang w:eastAsia="en-GB"/>
              </w:rPr>
              <w:t xml:space="preserve"> for all matters relating to veteran’s policy.  In doing so, Veterans</w:t>
            </w:r>
            <w:r w:rsidR="00713F49">
              <w:rPr>
                <w:rFonts w:eastAsia="Times New Roman" w:cstheme="minorHAnsi"/>
                <w:color w:val="000000"/>
                <w:sz w:val="24"/>
                <w:szCs w:val="24"/>
                <w:lang w:eastAsia="en-GB"/>
              </w:rPr>
              <w:t xml:space="preserve"> Information N</w:t>
            </w:r>
            <w:r>
              <w:rPr>
                <w:rFonts w:eastAsia="Times New Roman" w:cstheme="minorHAnsi"/>
                <w:color w:val="000000"/>
                <w:sz w:val="24"/>
                <w:szCs w:val="24"/>
                <w:lang w:eastAsia="en-GB"/>
              </w:rPr>
              <w:t>etwork Nottinghamshire</w:t>
            </w:r>
            <w:r w:rsidRPr="00570EF3">
              <w:rPr>
                <w:rFonts w:eastAsia="Times New Roman" w:cstheme="minorHAnsi"/>
                <w:color w:val="000000"/>
                <w:sz w:val="24"/>
                <w:szCs w:val="24"/>
                <w:lang w:eastAsia="en-GB"/>
              </w:rPr>
              <w:t xml:space="preserve"> contributes to the No</w:t>
            </w:r>
            <w:r>
              <w:rPr>
                <w:rFonts w:eastAsia="Times New Roman" w:cstheme="minorHAnsi"/>
                <w:color w:val="000000"/>
                <w:sz w:val="24"/>
                <w:szCs w:val="24"/>
                <w:lang w:eastAsia="en-GB"/>
              </w:rPr>
              <w:t>ttinghamshire</w:t>
            </w:r>
            <w:r w:rsidRPr="00570EF3">
              <w:rPr>
                <w:rFonts w:eastAsia="Times New Roman" w:cstheme="minorHAnsi"/>
                <w:color w:val="000000"/>
                <w:sz w:val="24"/>
                <w:szCs w:val="24"/>
                <w:lang w:eastAsia="en-GB"/>
              </w:rPr>
              <w:t xml:space="preserve"> County, District and Borough Councils’ commitment to the Armed Forces Community Covenant.</w:t>
            </w:r>
          </w:p>
          <w:p w:rsidR="007B535B" w:rsidRPr="00570EF3" w:rsidRDefault="007B535B" w:rsidP="007B535B">
            <w:pPr>
              <w:numPr>
                <w:ilvl w:val="0"/>
                <w:numId w:val="1"/>
              </w:numPr>
              <w:shd w:val="clear" w:color="auto" w:fill="FFFFFF"/>
              <w:spacing w:before="100" w:beforeAutospacing="1" w:after="100" w:afterAutospacing="1"/>
              <w:rPr>
                <w:rFonts w:eastAsia="Times New Roman" w:cstheme="minorHAnsi"/>
                <w:color w:val="000000"/>
                <w:sz w:val="24"/>
                <w:szCs w:val="24"/>
                <w:lang w:eastAsia="en-GB"/>
              </w:rPr>
            </w:pPr>
            <w:r w:rsidRPr="00570EF3">
              <w:rPr>
                <w:rFonts w:eastAsia="Times New Roman" w:cstheme="minorHAnsi"/>
                <w:color w:val="000000"/>
                <w:sz w:val="24"/>
                <w:szCs w:val="24"/>
                <w:lang w:eastAsia="en-GB"/>
              </w:rPr>
              <w:t>Working closely with our member organisations to get a collective and unified approach by all those who work on behal</w:t>
            </w:r>
            <w:r>
              <w:rPr>
                <w:rFonts w:eastAsia="Times New Roman" w:cstheme="minorHAnsi"/>
                <w:color w:val="000000"/>
                <w:sz w:val="24"/>
                <w:szCs w:val="24"/>
                <w:lang w:eastAsia="en-GB"/>
              </w:rPr>
              <w:t>f of Veterans in Nottinghamshire</w:t>
            </w:r>
            <w:r w:rsidRPr="00570EF3">
              <w:rPr>
                <w:rFonts w:eastAsia="Times New Roman" w:cstheme="minorHAnsi"/>
                <w:color w:val="000000"/>
                <w:sz w:val="24"/>
                <w:szCs w:val="24"/>
                <w:lang w:eastAsia="en-GB"/>
              </w:rPr>
              <w:t>.  This involves encouraging and facilitating co-operation and co-ordination between our member</w:t>
            </w:r>
            <w:r w:rsidR="00713F49">
              <w:rPr>
                <w:rFonts w:eastAsia="Times New Roman" w:cstheme="minorHAnsi"/>
                <w:color w:val="000000"/>
                <w:sz w:val="24"/>
                <w:szCs w:val="24"/>
                <w:lang w:eastAsia="en-GB"/>
              </w:rPr>
              <w:t>s</w:t>
            </w:r>
            <w:r w:rsidRPr="00570EF3">
              <w:rPr>
                <w:rFonts w:eastAsia="Times New Roman" w:cstheme="minorHAnsi"/>
                <w:color w:val="000000"/>
                <w:sz w:val="24"/>
                <w:szCs w:val="24"/>
                <w:lang w:eastAsia="en-GB"/>
              </w:rPr>
              <w:t xml:space="preserve"> in order to maximise effect and minimise duplication.</w:t>
            </w:r>
          </w:p>
          <w:p w:rsidR="007B535B" w:rsidRPr="00570EF3" w:rsidRDefault="007B535B" w:rsidP="007B535B">
            <w:pPr>
              <w:numPr>
                <w:ilvl w:val="0"/>
                <w:numId w:val="1"/>
              </w:numPr>
              <w:shd w:val="clear" w:color="auto" w:fill="FFFFFF"/>
              <w:spacing w:before="100" w:beforeAutospacing="1" w:after="100" w:afterAutospacing="1"/>
              <w:rPr>
                <w:rFonts w:eastAsia="Times New Roman" w:cstheme="minorHAnsi"/>
                <w:color w:val="000000"/>
                <w:sz w:val="24"/>
                <w:szCs w:val="24"/>
                <w:lang w:eastAsia="en-GB"/>
              </w:rPr>
            </w:pPr>
            <w:r w:rsidRPr="00570EF3">
              <w:rPr>
                <w:rFonts w:eastAsia="Times New Roman" w:cstheme="minorHAnsi"/>
                <w:color w:val="000000"/>
                <w:sz w:val="24"/>
                <w:szCs w:val="24"/>
                <w:lang w:eastAsia="en-GB"/>
              </w:rPr>
              <w:t>We also engage with the MOD, other government departments, local government, the Confederation of Service Charities and othe</w:t>
            </w:r>
            <w:r>
              <w:rPr>
                <w:rFonts w:eastAsia="Times New Roman" w:cstheme="minorHAnsi"/>
                <w:color w:val="000000"/>
                <w:sz w:val="24"/>
                <w:szCs w:val="24"/>
                <w:lang w:eastAsia="en-GB"/>
              </w:rPr>
              <w:t>r agencies in and around Nottinghamshire</w:t>
            </w:r>
            <w:r w:rsidRPr="00570EF3">
              <w:rPr>
                <w:rFonts w:eastAsia="Times New Roman" w:cstheme="minorHAnsi"/>
                <w:color w:val="000000"/>
                <w:sz w:val="24"/>
                <w:szCs w:val="24"/>
                <w:lang w:eastAsia="en-GB"/>
              </w:rPr>
              <w:t xml:space="preserve"> on all matters relating to Veterans policy.</w:t>
            </w:r>
          </w:p>
          <w:p w:rsidR="007B535B" w:rsidRPr="007B535B" w:rsidRDefault="007B535B" w:rsidP="00713F49">
            <w:pPr>
              <w:numPr>
                <w:ilvl w:val="0"/>
                <w:numId w:val="1"/>
              </w:numPr>
              <w:shd w:val="clear" w:color="auto" w:fill="FFFFFF"/>
              <w:spacing w:before="100" w:beforeAutospacing="1" w:after="100" w:afterAutospacing="1"/>
              <w:rPr>
                <w:sz w:val="24"/>
                <w:szCs w:val="24"/>
              </w:rPr>
            </w:pPr>
            <w:r w:rsidRPr="00713F49">
              <w:rPr>
                <w:rFonts w:eastAsia="Times New Roman" w:cstheme="minorHAnsi"/>
                <w:color w:val="000000"/>
                <w:sz w:val="24"/>
                <w:szCs w:val="24"/>
                <w:lang w:eastAsia="en-GB"/>
              </w:rPr>
              <w:t xml:space="preserve">Encouraging public support for the Armed Forces and our Veterans community.  </w:t>
            </w:r>
          </w:p>
        </w:tc>
      </w:tr>
      <w:tr w:rsidR="007B535B" w:rsidTr="00571F09">
        <w:tc>
          <w:tcPr>
            <w:tcW w:w="1720" w:type="dxa"/>
          </w:tcPr>
          <w:p w:rsidR="007B535B" w:rsidRDefault="00C53E89" w:rsidP="007B535B">
            <w:pPr>
              <w:rPr>
                <w:b/>
                <w:sz w:val="24"/>
                <w:szCs w:val="24"/>
              </w:rPr>
            </w:pPr>
            <w:r>
              <w:rPr>
                <w:b/>
                <w:sz w:val="24"/>
                <w:szCs w:val="24"/>
              </w:rPr>
              <w:t>Membership</w:t>
            </w:r>
            <w:r w:rsidR="007B535B">
              <w:rPr>
                <w:b/>
                <w:sz w:val="24"/>
                <w:szCs w:val="24"/>
              </w:rPr>
              <w:t>:</w:t>
            </w:r>
          </w:p>
        </w:tc>
        <w:tc>
          <w:tcPr>
            <w:tcW w:w="7522" w:type="dxa"/>
          </w:tcPr>
          <w:p w:rsidR="007F332F" w:rsidRDefault="00C53E89" w:rsidP="007B535B">
            <w:pPr>
              <w:rPr>
                <w:sz w:val="24"/>
                <w:szCs w:val="24"/>
              </w:rPr>
            </w:pPr>
            <w:r>
              <w:rPr>
                <w:sz w:val="24"/>
                <w:szCs w:val="24"/>
              </w:rPr>
              <w:t>Members who represent statutory or local and nationa</w:t>
            </w:r>
            <w:r w:rsidR="007F332F">
              <w:rPr>
                <w:sz w:val="24"/>
                <w:szCs w:val="24"/>
              </w:rPr>
              <w:t xml:space="preserve">l representative organisations who will work in partnership for the care and comfort and rehabilitation of all </w:t>
            </w:r>
            <w:r w:rsidR="006500F7">
              <w:rPr>
                <w:sz w:val="24"/>
                <w:szCs w:val="24"/>
              </w:rPr>
              <w:t xml:space="preserve">veterans, their dependents and communities </w:t>
            </w:r>
            <w:r w:rsidR="007F332F">
              <w:rPr>
                <w:sz w:val="24"/>
                <w:szCs w:val="24"/>
              </w:rPr>
              <w:t>in Nottinghamshire.</w:t>
            </w:r>
          </w:p>
          <w:p w:rsidR="00E2141B" w:rsidRDefault="00E2141B" w:rsidP="00713F49">
            <w:pPr>
              <w:rPr>
                <w:sz w:val="24"/>
                <w:szCs w:val="24"/>
              </w:rPr>
            </w:pPr>
          </w:p>
          <w:p w:rsidR="00713F49" w:rsidRDefault="00713F49" w:rsidP="00713F49">
            <w:pPr>
              <w:rPr>
                <w:sz w:val="24"/>
                <w:szCs w:val="24"/>
              </w:rPr>
            </w:pPr>
            <w:r>
              <w:rPr>
                <w:sz w:val="24"/>
                <w:szCs w:val="24"/>
              </w:rPr>
              <w:t>Membership is open to any group who is a registered company and/or has charitable status registe</w:t>
            </w:r>
            <w:r w:rsidR="006500F7">
              <w:rPr>
                <w:sz w:val="24"/>
                <w:szCs w:val="24"/>
              </w:rPr>
              <w:t xml:space="preserve">red with the Charity Commission </w:t>
            </w:r>
            <w:r w:rsidR="00630630">
              <w:rPr>
                <w:sz w:val="24"/>
                <w:szCs w:val="24"/>
              </w:rPr>
              <w:t xml:space="preserve">and </w:t>
            </w:r>
            <w:r w:rsidR="006500F7">
              <w:rPr>
                <w:sz w:val="24"/>
                <w:szCs w:val="24"/>
              </w:rPr>
              <w:t>who works with veterans, their dependents and communities.</w:t>
            </w:r>
          </w:p>
          <w:p w:rsidR="006500F7" w:rsidRPr="00713F49" w:rsidRDefault="006500F7" w:rsidP="00713F49">
            <w:pPr>
              <w:rPr>
                <w:sz w:val="24"/>
                <w:szCs w:val="24"/>
              </w:rPr>
            </w:pPr>
          </w:p>
        </w:tc>
      </w:tr>
      <w:tr w:rsidR="00713F49" w:rsidTr="00571F09">
        <w:tc>
          <w:tcPr>
            <w:tcW w:w="1720" w:type="dxa"/>
          </w:tcPr>
          <w:p w:rsidR="00713F49" w:rsidRDefault="00713F49" w:rsidP="007B535B">
            <w:pPr>
              <w:rPr>
                <w:b/>
                <w:sz w:val="24"/>
                <w:szCs w:val="24"/>
              </w:rPr>
            </w:pPr>
            <w:r>
              <w:rPr>
                <w:b/>
                <w:sz w:val="24"/>
                <w:szCs w:val="24"/>
              </w:rPr>
              <w:t>Steering Group</w:t>
            </w:r>
          </w:p>
        </w:tc>
        <w:tc>
          <w:tcPr>
            <w:tcW w:w="7522" w:type="dxa"/>
          </w:tcPr>
          <w:p w:rsidR="00713F49" w:rsidRDefault="00713F49" w:rsidP="00713F49">
            <w:pPr>
              <w:rPr>
                <w:sz w:val="24"/>
                <w:szCs w:val="24"/>
              </w:rPr>
            </w:pPr>
            <w:r>
              <w:rPr>
                <w:sz w:val="24"/>
                <w:szCs w:val="24"/>
              </w:rPr>
              <w:t xml:space="preserve">The Steering Group is comprised of the founding partners (in the first instance) made up of charitable and statutory agencies.  </w:t>
            </w:r>
          </w:p>
          <w:p w:rsidR="00713F49" w:rsidRDefault="00713F49" w:rsidP="00713F49">
            <w:pPr>
              <w:pStyle w:val="ListParagraph"/>
              <w:numPr>
                <w:ilvl w:val="0"/>
                <w:numId w:val="3"/>
              </w:numPr>
              <w:rPr>
                <w:sz w:val="24"/>
                <w:szCs w:val="24"/>
              </w:rPr>
            </w:pPr>
            <w:r w:rsidRPr="00713F49">
              <w:rPr>
                <w:sz w:val="24"/>
                <w:szCs w:val="24"/>
              </w:rPr>
              <w:t xml:space="preserve">Membership of the Steering Group </w:t>
            </w:r>
            <w:r w:rsidR="00630630">
              <w:rPr>
                <w:sz w:val="24"/>
                <w:szCs w:val="24"/>
              </w:rPr>
              <w:t>is</w:t>
            </w:r>
            <w:r w:rsidRPr="00713F49">
              <w:rPr>
                <w:sz w:val="24"/>
                <w:szCs w:val="24"/>
              </w:rPr>
              <w:t xml:space="preserve"> reviewed every 2 years from the adoption of the Terms of Reference to ensure </w:t>
            </w:r>
            <w:r>
              <w:rPr>
                <w:sz w:val="24"/>
                <w:szCs w:val="24"/>
              </w:rPr>
              <w:t>it remains effective and productive.</w:t>
            </w:r>
          </w:p>
          <w:p w:rsidR="00713F49" w:rsidRDefault="00630630" w:rsidP="00713F49">
            <w:pPr>
              <w:pStyle w:val="ListParagraph"/>
              <w:numPr>
                <w:ilvl w:val="0"/>
                <w:numId w:val="3"/>
              </w:numPr>
              <w:rPr>
                <w:sz w:val="24"/>
                <w:szCs w:val="24"/>
              </w:rPr>
            </w:pPr>
            <w:r>
              <w:rPr>
                <w:sz w:val="24"/>
                <w:szCs w:val="24"/>
              </w:rPr>
              <w:t>It is</w:t>
            </w:r>
            <w:r w:rsidR="00713F49">
              <w:rPr>
                <w:sz w:val="24"/>
                <w:szCs w:val="24"/>
              </w:rPr>
              <w:t xml:space="preserve"> responsible for the strategic direction of the VINN, communication of VINN’s aims and achievements and promotion of the Network through relevant statutory and community </w:t>
            </w:r>
            <w:r w:rsidR="00713F49">
              <w:rPr>
                <w:sz w:val="24"/>
                <w:szCs w:val="24"/>
              </w:rPr>
              <w:lastRenderedPageBreak/>
              <w:t>channels.</w:t>
            </w:r>
          </w:p>
          <w:p w:rsidR="006500F7" w:rsidRDefault="00630630" w:rsidP="00713F49">
            <w:pPr>
              <w:pStyle w:val="ListParagraph"/>
              <w:numPr>
                <w:ilvl w:val="0"/>
                <w:numId w:val="3"/>
              </w:numPr>
              <w:rPr>
                <w:sz w:val="24"/>
                <w:szCs w:val="24"/>
              </w:rPr>
            </w:pPr>
            <w:r>
              <w:rPr>
                <w:sz w:val="24"/>
                <w:szCs w:val="24"/>
              </w:rPr>
              <w:t>The Steering Group is</w:t>
            </w:r>
            <w:r w:rsidR="006500F7">
              <w:rPr>
                <w:sz w:val="24"/>
                <w:szCs w:val="24"/>
              </w:rPr>
              <w:t xml:space="preserve"> responsible for producing an annual Operational Plan for the Network.</w:t>
            </w:r>
          </w:p>
          <w:p w:rsidR="00713F49" w:rsidRDefault="00713F49" w:rsidP="00713F49">
            <w:pPr>
              <w:rPr>
                <w:sz w:val="24"/>
                <w:szCs w:val="24"/>
              </w:rPr>
            </w:pPr>
          </w:p>
          <w:p w:rsidR="00713F49" w:rsidRDefault="00630630" w:rsidP="00713F49">
            <w:pPr>
              <w:rPr>
                <w:sz w:val="24"/>
                <w:szCs w:val="24"/>
              </w:rPr>
            </w:pPr>
            <w:r>
              <w:rPr>
                <w:sz w:val="24"/>
                <w:szCs w:val="24"/>
              </w:rPr>
              <w:t>There is</w:t>
            </w:r>
            <w:r w:rsidR="00713F49">
              <w:rPr>
                <w:sz w:val="24"/>
                <w:szCs w:val="24"/>
              </w:rPr>
              <w:t xml:space="preserve"> a maximum of 12 organisations represented on the Steering Group at any one time.</w:t>
            </w:r>
          </w:p>
          <w:p w:rsidR="006500F7" w:rsidRDefault="006500F7" w:rsidP="00713F49">
            <w:pPr>
              <w:rPr>
                <w:sz w:val="24"/>
                <w:szCs w:val="24"/>
              </w:rPr>
            </w:pPr>
          </w:p>
          <w:p w:rsidR="006500F7" w:rsidRDefault="00571F09" w:rsidP="00571F09">
            <w:pPr>
              <w:rPr>
                <w:sz w:val="24"/>
                <w:szCs w:val="24"/>
              </w:rPr>
            </w:pPr>
            <w:r w:rsidRPr="00571F09">
              <w:rPr>
                <w:sz w:val="24"/>
                <w:szCs w:val="24"/>
              </w:rPr>
              <w:t xml:space="preserve">Vacancies on the Steering Group will be widely advertised across the network as and when the situation arises. Member organisations who wish to join the steering group should contact the chair of VINN. If there is more than one request per vacancy organisations will be asked to submit an expression of interest, all proposals are considered and appropriate invitations issued.   </w:t>
            </w:r>
          </w:p>
          <w:p w:rsidR="00571F09" w:rsidRPr="00713F49" w:rsidRDefault="00571F09" w:rsidP="00571F09">
            <w:pPr>
              <w:rPr>
                <w:sz w:val="24"/>
                <w:szCs w:val="24"/>
              </w:rPr>
            </w:pPr>
          </w:p>
        </w:tc>
      </w:tr>
      <w:tr w:rsidR="007B535B" w:rsidTr="00571F09">
        <w:tc>
          <w:tcPr>
            <w:tcW w:w="1720" w:type="dxa"/>
          </w:tcPr>
          <w:p w:rsidR="007B535B" w:rsidRDefault="00C53E89" w:rsidP="007B535B">
            <w:pPr>
              <w:rPr>
                <w:b/>
                <w:sz w:val="24"/>
                <w:szCs w:val="24"/>
              </w:rPr>
            </w:pPr>
            <w:r>
              <w:rPr>
                <w:b/>
                <w:sz w:val="24"/>
                <w:szCs w:val="24"/>
              </w:rPr>
              <w:lastRenderedPageBreak/>
              <w:t>Secretariat:</w:t>
            </w:r>
          </w:p>
        </w:tc>
        <w:tc>
          <w:tcPr>
            <w:tcW w:w="7522" w:type="dxa"/>
          </w:tcPr>
          <w:p w:rsidR="007B535B" w:rsidRDefault="00E2141B" w:rsidP="007B535B">
            <w:pPr>
              <w:rPr>
                <w:sz w:val="24"/>
                <w:szCs w:val="24"/>
              </w:rPr>
            </w:pPr>
            <w:r>
              <w:rPr>
                <w:sz w:val="24"/>
                <w:szCs w:val="24"/>
              </w:rPr>
              <w:t>The County representative of</w:t>
            </w:r>
            <w:r w:rsidR="00630630">
              <w:rPr>
                <w:sz w:val="24"/>
                <w:szCs w:val="24"/>
              </w:rPr>
              <w:t xml:space="preserve"> the Royal British Legion is</w:t>
            </w:r>
            <w:r w:rsidR="00DD47F8">
              <w:rPr>
                <w:sz w:val="24"/>
                <w:szCs w:val="24"/>
              </w:rPr>
              <w:t xml:space="preserve"> responsible for</w:t>
            </w:r>
            <w:r>
              <w:rPr>
                <w:sz w:val="24"/>
                <w:szCs w:val="24"/>
              </w:rPr>
              <w:t xml:space="preserve"> notification </w:t>
            </w:r>
            <w:r w:rsidR="00571F09">
              <w:rPr>
                <w:sz w:val="24"/>
                <w:szCs w:val="24"/>
              </w:rPr>
              <w:t xml:space="preserve">and Chairing </w:t>
            </w:r>
            <w:r>
              <w:rPr>
                <w:sz w:val="24"/>
                <w:szCs w:val="24"/>
              </w:rPr>
              <w:t xml:space="preserve">of </w:t>
            </w:r>
            <w:r w:rsidR="007F332F">
              <w:rPr>
                <w:sz w:val="24"/>
                <w:szCs w:val="24"/>
              </w:rPr>
              <w:t xml:space="preserve">all </w:t>
            </w:r>
            <w:r>
              <w:rPr>
                <w:sz w:val="24"/>
                <w:szCs w:val="24"/>
              </w:rPr>
              <w:t>meetings.</w:t>
            </w:r>
          </w:p>
          <w:p w:rsidR="006500F7" w:rsidRPr="007B535B" w:rsidRDefault="006500F7" w:rsidP="007B535B">
            <w:pPr>
              <w:rPr>
                <w:sz w:val="24"/>
                <w:szCs w:val="24"/>
              </w:rPr>
            </w:pPr>
          </w:p>
        </w:tc>
      </w:tr>
      <w:tr w:rsidR="007B535B" w:rsidTr="00571F09">
        <w:tc>
          <w:tcPr>
            <w:tcW w:w="1720" w:type="dxa"/>
          </w:tcPr>
          <w:p w:rsidR="007B535B" w:rsidRDefault="00C53E89" w:rsidP="007B535B">
            <w:pPr>
              <w:rPr>
                <w:b/>
                <w:sz w:val="24"/>
                <w:szCs w:val="24"/>
              </w:rPr>
            </w:pPr>
            <w:r>
              <w:rPr>
                <w:b/>
                <w:sz w:val="24"/>
                <w:szCs w:val="24"/>
              </w:rPr>
              <w:t>Attendance:</w:t>
            </w:r>
          </w:p>
        </w:tc>
        <w:tc>
          <w:tcPr>
            <w:tcW w:w="7522" w:type="dxa"/>
          </w:tcPr>
          <w:p w:rsidR="006500F7" w:rsidRDefault="006500F7" w:rsidP="006500F7">
            <w:pPr>
              <w:rPr>
                <w:sz w:val="24"/>
                <w:szCs w:val="24"/>
              </w:rPr>
            </w:pPr>
            <w:r>
              <w:rPr>
                <w:sz w:val="24"/>
                <w:szCs w:val="24"/>
              </w:rPr>
              <w:t>Steering Group members are expected to attend the meetings as arranged.  Representatives from the organisations within the Steering group should be able to:</w:t>
            </w:r>
          </w:p>
          <w:p w:rsidR="006500F7" w:rsidRPr="00DD47F8" w:rsidRDefault="006500F7" w:rsidP="006500F7">
            <w:pPr>
              <w:rPr>
                <w:sz w:val="24"/>
                <w:szCs w:val="24"/>
              </w:rPr>
            </w:pPr>
          </w:p>
          <w:p w:rsidR="00DD47F8" w:rsidRDefault="006500F7" w:rsidP="00DD47F8">
            <w:pPr>
              <w:pStyle w:val="ListParagraph"/>
              <w:numPr>
                <w:ilvl w:val="0"/>
                <w:numId w:val="2"/>
              </w:numPr>
              <w:rPr>
                <w:sz w:val="24"/>
                <w:szCs w:val="24"/>
              </w:rPr>
            </w:pPr>
            <w:r>
              <w:rPr>
                <w:sz w:val="24"/>
                <w:szCs w:val="24"/>
              </w:rPr>
              <w:t>Speak for their organisation with authority</w:t>
            </w:r>
          </w:p>
          <w:p w:rsidR="006500F7" w:rsidRDefault="006500F7" w:rsidP="00DD47F8">
            <w:pPr>
              <w:pStyle w:val="ListParagraph"/>
              <w:numPr>
                <w:ilvl w:val="0"/>
                <w:numId w:val="2"/>
              </w:numPr>
              <w:rPr>
                <w:sz w:val="24"/>
                <w:szCs w:val="24"/>
              </w:rPr>
            </w:pPr>
            <w:r>
              <w:rPr>
                <w:sz w:val="24"/>
                <w:szCs w:val="24"/>
              </w:rPr>
              <w:t>Freely share information and knowledge to enrich the Network’s understanding of local and national policy, procedures and initiatives.</w:t>
            </w:r>
          </w:p>
          <w:p w:rsidR="006500F7" w:rsidRDefault="006500F7" w:rsidP="00DD47F8">
            <w:pPr>
              <w:pStyle w:val="ListParagraph"/>
              <w:numPr>
                <w:ilvl w:val="0"/>
                <w:numId w:val="2"/>
              </w:numPr>
              <w:rPr>
                <w:sz w:val="24"/>
                <w:szCs w:val="24"/>
              </w:rPr>
            </w:pPr>
            <w:r>
              <w:rPr>
                <w:sz w:val="24"/>
                <w:szCs w:val="24"/>
              </w:rPr>
              <w:t>Commit their organisation on local policy, practice and resources.</w:t>
            </w:r>
          </w:p>
          <w:p w:rsidR="006500F7" w:rsidRDefault="006500F7" w:rsidP="00DD47F8">
            <w:pPr>
              <w:pStyle w:val="ListParagraph"/>
              <w:numPr>
                <w:ilvl w:val="0"/>
                <w:numId w:val="2"/>
              </w:numPr>
              <w:rPr>
                <w:sz w:val="24"/>
                <w:szCs w:val="24"/>
              </w:rPr>
            </w:pPr>
            <w:r>
              <w:rPr>
                <w:sz w:val="24"/>
                <w:szCs w:val="24"/>
              </w:rPr>
              <w:t>Hold their organisation to account.</w:t>
            </w:r>
          </w:p>
          <w:p w:rsidR="006500F7" w:rsidRPr="00DD47F8" w:rsidRDefault="006500F7" w:rsidP="006500F7">
            <w:pPr>
              <w:pStyle w:val="ListParagraph"/>
              <w:rPr>
                <w:sz w:val="24"/>
                <w:szCs w:val="24"/>
              </w:rPr>
            </w:pPr>
          </w:p>
        </w:tc>
      </w:tr>
      <w:tr w:rsidR="00C53E89" w:rsidTr="00571F09">
        <w:tc>
          <w:tcPr>
            <w:tcW w:w="1720" w:type="dxa"/>
          </w:tcPr>
          <w:p w:rsidR="00C53E89" w:rsidRDefault="00C53E89" w:rsidP="007B535B">
            <w:pPr>
              <w:rPr>
                <w:b/>
                <w:sz w:val="24"/>
                <w:szCs w:val="24"/>
              </w:rPr>
            </w:pPr>
            <w:r>
              <w:rPr>
                <w:b/>
                <w:sz w:val="24"/>
                <w:szCs w:val="24"/>
              </w:rPr>
              <w:t>Decisions:</w:t>
            </w:r>
          </w:p>
        </w:tc>
        <w:tc>
          <w:tcPr>
            <w:tcW w:w="7522" w:type="dxa"/>
          </w:tcPr>
          <w:p w:rsidR="00C53E89" w:rsidRDefault="007F332F" w:rsidP="007F332F">
            <w:pPr>
              <w:rPr>
                <w:sz w:val="24"/>
                <w:szCs w:val="24"/>
              </w:rPr>
            </w:pPr>
            <w:r>
              <w:rPr>
                <w:sz w:val="24"/>
                <w:szCs w:val="24"/>
              </w:rPr>
              <w:t xml:space="preserve">Wherever possible </w:t>
            </w:r>
            <w:r w:rsidRPr="007F332F">
              <w:rPr>
                <w:b/>
                <w:sz w:val="24"/>
                <w:szCs w:val="24"/>
              </w:rPr>
              <w:t>VI</w:t>
            </w:r>
            <w:r>
              <w:rPr>
                <w:b/>
                <w:sz w:val="24"/>
                <w:szCs w:val="24"/>
              </w:rPr>
              <w:t>N</w:t>
            </w:r>
            <w:r w:rsidRPr="007F332F">
              <w:rPr>
                <w:b/>
                <w:sz w:val="24"/>
                <w:szCs w:val="24"/>
              </w:rPr>
              <w:t>N</w:t>
            </w:r>
            <w:r w:rsidR="00630630">
              <w:rPr>
                <w:sz w:val="24"/>
                <w:szCs w:val="24"/>
              </w:rPr>
              <w:t xml:space="preserve"> </w:t>
            </w:r>
            <w:r>
              <w:rPr>
                <w:sz w:val="24"/>
                <w:szCs w:val="24"/>
              </w:rPr>
              <w:t>attempt</w:t>
            </w:r>
            <w:r w:rsidR="00630630">
              <w:rPr>
                <w:sz w:val="24"/>
                <w:szCs w:val="24"/>
              </w:rPr>
              <w:t>s</w:t>
            </w:r>
            <w:r>
              <w:rPr>
                <w:sz w:val="24"/>
                <w:szCs w:val="24"/>
              </w:rPr>
              <w:t xml:space="preserve"> to come</w:t>
            </w:r>
            <w:r w:rsidR="006500F7">
              <w:rPr>
                <w:sz w:val="24"/>
                <w:szCs w:val="24"/>
              </w:rPr>
              <w:t xml:space="preserve"> to a share</w:t>
            </w:r>
            <w:r w:rsidR="00630630">
              <w:rPr>
                <w:sz w:val="24"/>
                <w:szCs w:val="24"/>
              </w:rPr>
              <w:t>d</w:t>
            </w:r>
            <w:r w:rsidR="006500F7">
              <w:rPr>
                <w:sz w:val="24"/>
                <w:szCs w:val="24"/>
              </w:rPr>
              <w:t xml:space="preserve"> consensus agreement when the Steering Group is quorate.</w:t>
            </w:r>
          </w:p>
          <w:p w:rsidR="006500F7" w:rsidRPr="007B535B" w:rsidRDefault="006500F7" w:rsidP="007F332F">
            <w:pPr>
              <w:rPr>
                <w:sz w:val="24"/>
                <w:szCs w:val="24"/>
              </w:rPr>
            </w:pPr>
          </w:p>
        </w:tc>
      </w:tr>
      <w:tr w:rsidR="00C53E89" w:rsidTr="00571F09">
        <w:tc>
          <w:tcPr>
            <w:tcW w:w="1720" w:type="dxa"/>
          </w:tcPr>
          <w:p w:rsidR="00C53E89" w:rsidRDefault="00C53E89" w:rsidP="007B535B">
            <w:pPr>
              <w:rPr>
                <w:b/>
                <w:sz w:val="24"/>
                <w:szCs w:val="24"/>
              </w:rPr>
            </w:pPr>
            <w:r>
              <w:rPr>
                <w:b/>
                <w:sz w:val="24"/>
                <w:szCs w:val="24"/>
              </w:rPr>
              <w:t>Quorum:</w:t>
            </w:r>
          </w:p>
        </w:tc>
        <w:tc>
          <w:tcPr>
            <w:tcW w:w="7522" w:type="dxa"/>
          </w:tcPr>
          <w:p w:rsidR="00C53E89" w:rsidRDefault="00713F49" w:rsidP="007B535B">
            <w:pPr>
              <w:rPr>
                <w:sz w:val="24"/>
                <w:szCs w:val="24"/>
              </w:rPr>
            </w:pPr>
            <w:r>
              <w:rPr>
                <w:sz w:val="24"/>
                <w:szCs w:val="24"/>
              </w:rPr>
              <w:t>At least 8 member organisations of the Steering Group must agree on each decision.  Decisions cannot be made at meetings where less than 8 member organisations are present although the meeting may still take place.</w:t>
            </w:r>
          </w:p>
          <w:p w:rsidR="006500F7" w:rsidRPr="007B535B" w:rsidRDefault="006500F7" w:rsidP="007B535B">
            <w:pPr>
              <w:rPr>
                <w:sz w:val="24"/>
                <w:szCs w:val="24"/>
              </w:rPr>
            </w:pPr>
          </w:p>
        </w:tc>
      </w:tr>
      <w:tr w:rsidR="00C53E89" w:rsidTr="00571F09">
        <w:tc>
          <w:tcPr>
            <w:tcW w:w="1720" w:type="dxa"/>
          </w:tcPr>
          <w:p w:rsidR="00C53E89" w:rsidRDefault="00C53E89" w:rsidP="007B535B">
            <w:pPr>
              <w:rPr>
                <w:b/>
                <w:sz w:val="24"/>
                <w:szCs w:val="24"/>
              </w:rPr>
            </w:pPr>
            <w:r>
              <w:rPr>
                <w:b/>
                <w:sz w:val="24"/>
                <w:szCs w:val="24"/>
              </w:rPr>
              <w:t>Frequency of meetings:</w:t>
            </w:r>
          </w:p>
        </w:tc>
        <w:tc>
          <w:tcPr>
            <w:tcW w:w="7522" w:type="dxa"/>
          </w:tcPr>
          <w:p w:rsidR="00C53E89" w:rsidRDefault="007F332F" w:rsidP="007B535B">
            <w:pPr>
              <w:rPr>
                <w:sz w:val="24"/>
                <w:szCs w:val="24"/>
              </w:rPr>
            </w:pPr>
            <w:r>
              <w:rPr>
                <w:sz w:val="24"/>
                <w:szCs w:val="24"/>
              </w:rPr>
              <w:t xml:space="preserve">The </w:t>
            </w:r>
            <w:r w:rsidR="00713F49">
              <w:rPr>
                <w:sz w:val="24"/>
                <w:szCs w:val="24"/>
              </w:rPr>
              <w:t>Steering G</w:t>
            </w:r>
            <w:r>
              <w:rPr>
                <w:sz w:val="24"/>
                <w:szCs w:val="24"/>
              </w:rPr>
              <w:t>roup will meet a minimum of four times per year, to include a development session.</w:t>
            </w:r>
          </w:p>
          <w:p w:rsidR="00713F49" w:rsidRDefault="00713F49" w:rsidP="007B535B">
            <w:pPr>
              <w:rPr>
                <w:sz w:val="24"/>
                <w:szCs w:val="24"/>
              </w:rPr>
            </w:pPr>
          </w:p>
          <w:p w:rsidR="00713F49" w:rsidRDefault="00713F49" w:rsidP="007B535B">
            <w:pPr>
              <w:rPr>
                <w:sz w:val="24"/>
                <w:szCs w:val="24"/>
              </w:rPr>
            </w:pPr>
            <w:r>
              <w:rPr>
                <w:sz w:val="24"/>
                <w:szCs w:val="24"/>
              </w:rPr>
              <w:t xml:space="preserve">Members </w:t>
            </w:r>
            <w:r w:rsidR="00630630">
              <w:rPr>
                <w:sz w:val="24"/>
                <w:szCs w:val="24"/>
              </w:rPr>
              <w:t>do</w:t>
            </w:r>
            <w:r>
              <w:rPr>
                <w:sz w:val="24"/>
                <w:szCs w:val="24"/>
              </w:rPr>
              <w:t xml:space="preserve"> not attend the Steering Group meetings but may attend a development session to promote awareness of their services and any other general events which may be organised by the Steering Group.</w:t>
            </w:r>
          </w:p>
          <w:p w:rsidR="007F332F" w:rsidRDefault="007F332F" w:rsidP="007B535B">
            <w:pPr>
              <w:rPr>
                <w:sz w:val="24"/>
                <w:szCs w:val="24"/>
              </w:rPr>
            </w:pPr>
          </w:p>
          <w:p w:rsidR="007F332F" w:rsidRDefault="007F332F" w:rsidP="007B535B">
            <w:pPr>
              <w:rPr>
                <w:sz w:val="24"/>
                <w:szCs w:val="24"/>
              </w:rPr>
            </w:pPr>
            <w:r>
              <w:rPr>
                <w:sz w:val="24"/>
                <w:szCs w:val="24"/>
              </w:rPr>
              <w:t xml:space="preserve">The chair of </w:t>
            </w:r>
            <w:r w:rsidRPr="007F332F">
              <w:rPr>
                <w:b/>
                <w:sz w:val="24"/>
                <w:szCs w:val="24"/>
              </w:rPr>
              <w:t>VI</w:t>
            </w:r>
            <w:r>
              <w:rPr>
                <w:b/>
                <w:sz w:val="24"/>
                <w:szCs w:val="24"/>
              </w:rPr>
              <w:t>N</w:t>
            </w:r>
            <w:r w:rsidRPr="007F332F">
              <w:rPr>
                <w:b/>
                <w:sz w:val="24"/>
                <w:szCs w:val="24"/>
              </w:rPr>
              <w:t>N</w:t>
            </w:r>
            <w:r>
              <w:rPr>
                <w:b/>
                <w:sz w:val="24"/>
                <w:szCs w:val="24"/>
              </w:rPr>
              <w:t xml:space="preserve"> </w:t>
            </w:r>
            <w:r>
              <w:rPr>
                <w:sz w:val="24"/>
                <w:szCs w:val="24"/>
              </w:rPr>
              <w:t xml:space="preserve">may call an extra meeting at any time by giving two </w:t>
            </w:r>
            <w:r w:rsidR="005B6F9F">
              <w:rPr>
                <w:sz w:val="24"/>
                <w:szCs w:val="24"/>
              </w:rPr>
              <w:t xml:space="preserve">weeks’ notice to </w:t>
            </w:r>
            <w:r w:rsidR="005B6F9F" w:rsidRPr="005B6F9F">
              <w:rPr>
                <w:b/>
                <w:sz w:val="24"/>
                <w:szCs w:val="24"/>
              </w:rPr>
              <w:t>VINN</w:t>
            </w:r>
            <w:r w:rsidR="006500F7">
              <w:rPr>
                <w:sz w:val="24"/>
                <w:szCs w:val="24"/>
              </w:rPr>
              <w:t xml:space="preserve"> Steering Group members</w:t>
            </w:r>
            <w:r w:rsidR="005B6F9F">
              <w:rPr>
                <w:sz w:val="24"/>
                <w:szCs w:val="24"/>
              </w:rPr>
              <w:t>.</w:t>
            </w:r>
          </w:p>
          <w:p w:rsidR="006500F7" w:rsidRPr="007F332F" w:rsidRDefault="006500F7" w:rsidP="007B535B">
            <w:pPr>
              <w:rPr>
                <w:sz w:val="24"/>
                <w:szCs w:val="24"/>
              </w:rPr>
            </w:pPr>
          </w:p>
        </w:tc>
      </w:tr>
    </w:tbl>
    <w:p w:rsidR="00571F09" w:rsidRDefault="00571F09">
      <w:r>
        <w:br w:type="page"/>
      </w:r>
    </w:p>
    <w:tbl>
      <w:tblPr>
        <w:tblStyle w:val="TableGrid"/>
        <w:tblW w:w="0" w:type="auto"/>
        <w:tblLook w:val="04A0" w:firstRow="1" w:lastRow="0" w:firstColumn="1" w:lastColumn="0" w:noHBand="0" w:noVBand="1"/>
      </w:tblPr>
      <w:tblGrid>
        <w:gridCol w:w="1720"/>
        <w:gridCol w:w="7522"/>
      </w:tblGrid>
      <w:tr w:rsidR="00C53E89" w:rsidTr="00571F09">
        <w:tc>
          <w:tcPr>
            <w:tcW w:w="1720" w:type="dxa"/>
          </w:tcPr>
          <w:p w:rsidR="00C53E89" w:rsidRDefault="00C53E89" w:rsidP="007B535B">
            <w:pPr>
              <w:rPr>
                <w:b/>
                <w:sz w:val="24"/>
                <w:szCs w:val="24"/>
              </w:rPr>
            </w:pPr>
            <w:r>
              <w:rPr>
                <w:b/>
                <w:sz w:val="24"/>
                <w:szCs w:val="24"/>
              </w:rPr>
              <w:lastRenderedPageBreak/>
              <w:t>Accountability:</w:t>
            </w:r>
          </w:p>
        </w:tc>
        <w:tc>
          <w:tcPr>
            <w:tcW w:w="7522" w:type="dxa"/>
          </w:tcPr>
          <w:p w:rsidR="00C53E89" w:rsidRDefault="005B6F9F" w:rsidP="007B535B">
            <w:pPr>
              <w:rPr>
                <w:sz w:val="24"/>
                <w:szCs w:val="24"/>
              </w:rPr>
            </w:pPr>
            <w:r>
              <w:rPr>
                <w:sz w:val="24"/>
                <w:szCs w:val="24"/>
              </w:rPr>
              <w:t>Each</w:t>
            </w:r>
            <w:r w:rsidRPr="005B6F9F">
              <w:rPr>
                <w:b/>
                <w:sz w:val="24"/>
                <w:szCs w:val="24"/>
              </w:rPr>
              <w:t xml:space="preserve"> VINN</w:t>
            </w:r>
            <w:r>
              <w:rPr>
                <w:sz w:val="24"/>
                <w:szCs w:val="24"/>
              </w:rPr>
              <w:t xml:space="preserve"> partner retains their own existing lines of accountability for safeguarding and promoting the welfare of vulnerable veterans by their service. </w:t>
            </w:r>
          </w:p>
          <w:p w:rsidR="005B6F9F" w:rsidRDefault="005B6F9F" w:rsidP="007B535B">
            <w:pPr>
              <w:rPr>
                <w:sz w:val="24"/>
                <w:szCs w:val="24"/>
              </w:rPr>
            </w:pPr>
            <w:r>
              <w:rPr>
                <w:sz w:val="24"/>
                <w:szCs w:val="24"/>
              </w:rPr>
              <w:t xml:space="preserve">Veterans Information Network Nottinghamshire does </w:t>
            </w:r>
            <w:r w:rsidR="00630630">
              <w:rPr>
                <w:sz w:val="24"/>
                <w:szCs w:val="24"/>
              </w:rPr>
              <w:t xml:space="preserve">not </w:t>
            </w:r>
            <w:r>
              <w:rPr>
                <w:sz w:val="24"/>
                <w:szCs w:val="24"/>
              </w:rPr>
              <w:t xml:space="preserve">have the power to direct partner or other organisations. </w:t>
            </w:r>
          </w:p>
          <w:p w:rsidR="00571F09" w:rsidRPr="007B535B" w:rsidRDefault="00571F09" w:rsidP="007B535B">
            <w:pPr>
              <w:rPr>
                <w:sz w:val="24"/>
                <w:szCs w:val="24"/>
              </w:rPr>
            </w:pPr>
          </w:p>
        </w:tc>
      </w:tr>
    </w:tbl>
    <w:p w:rsidR="007B535B" w:rsidRPr="007B535B" w:rsidRDefault="007B535B" w:rsidP="007B535B">
      <w:pPr>
        <w:rPr>
          <w:b/>
          <w:sz w:val="24"/>
          <w:szCs w:val="24"/>
        </w:rPr>
      </w:pPr>
    </w:p>
    <w:sectPr w:rsidR="007B535B" w:rsidRPr="007B53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58" w:rsidRDefault="007B0058" w:rsidP="00630630">
      <w:pPr>
        <w:spacing w:after="0" w:line="240" w:lineRule="auto"/>
      </w:pPr>
      <w:r>
        <w:separator/>
      </w:r>
    </w:p>
  </w:endnote>
  <w:endnote w:type="continuationSeparator" w:id="0">
    <w:p w:rsidR="007B0058" w:rsidRDefault="007B0058" w:rsidP="0063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30" w:rsidRDefault="00630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30" w:rsidRDefault="006306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30" w:rsidRDefault="00630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58" w:rsidRDefault="007B0058" w:rsidP="00630630">
      <w:pPr>
        <w:spacing w:after="0" w:line="240" w:lineRule="auto"/>
      </w:pPr>
      <w:r>
        <w:separator/>
      </w:r>
    </w:p>
  </w:footnote>
  <w:footnote w:type="continuationSeparator" w:id="0">
    <w:p w:rsidR="007B0058" w:rsidRDefault="007B0058" w:rsidP="00630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30" w:rsidRDefault="00630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826092"/>
      <w:docPartObj>
        <w:docPartGallery w:val="Watermarks"/>
        <w:docPartUnique/>
      </w:docPartObj>
    </w:sdtPr>
    <w:sdtEndPr/>
    <w:sdtContent>
      <w:p w:rsidR="00630630" w:rsidRDefault="006A53B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30" w:rsidRDefault="00630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4640F"/>
    <w:multiLevelType w:val="multilevel"/>
    <w:tmpl w:val="CEB8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047716"/>
    <w:multiLevelType w:val="hybridMultilevel"/>
    <w:tmpl w:val="D294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90C5F"/>
    <w:multiLevelType w:val="hybridMultilevel"/>
    <w:tmpl w:val="A686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5B"/>
    <w:rsid w:val="00485157"/>
    <w:rsid w:val="00571F09"/>
    <w:rsid w:val="005B6F9F"/>
    <w:rsid w:val="00630630"/>
    <w:rsid w:val="006500F7"/>
    <w:rsid w:val="006A53B2"/>
    <w:rsid w:val="00713F49"/>
    <w:rsid w:val="007B0058"/>
    <w:rsid w:val="007B535B"/>
    <w:rsid w:val="007F332F"/>
    <w:rsid w:val="00B82D6F"/>
    <w:rsid w:val="00C53E89"/>
    <w:rsid w:val="00DD47F8"/>
    <w:rsid w:val="00E21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811EC9C-C56F-4707-A7E1-DF39C5A8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41B"/>
    <w:pPr>
      <w:ind w:left="720"/>
      <w:contextualSpacing/>
    </w:pPr>
  </w:style>
  <w:style w:type="paragraph" w:styleId="Header">
    <w:name w:val="header"/>
    <w:basedOn w:val="Normal"/>
    <w:link w:val="HeaderChar"/>
    <w:uiPriority w:val="99"/>
    <w:unhideWhenUsed/>
    <w:rsid w:val="00630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630"/>
  </w:style>
  <w:style w:type="paragraph" w:styleId="Footer">
    <w:name w:val="footer"/>
    <w:basedOn w:val="Normal"/>
    <w:link w:val="FooterChar"/>
    <w:uiPriority w:val="99"/>
    <w:unhideWhenUsed/>
    <w:rsid w:val="00630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Bettison</dc:creator>
  <cp:lastModifiedBy>Neil Bettison</cp:lastModifiedBy>
  <cp:revision>2</cp:revision>
  <dcterms:created xsi:type="dcterms:W3CDTF">2016-01-04T11:09:00Z</dcterms:created>
  <dcterms:modified xsi:type="dcterms:W3CDTF">2016-01-04T11:09:00Z</dcterms:modified>
</cp:coreProperties>
</file>