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5103"/>
        <w:gridCol w:w="4643"/>
      </w:tblGrid>
      <w:tr w:rsidR="003740BF" w:rsidRPr="005C387D" w:rsidTr="00197694">
        <w:trPr>
          <w:trHeight w:val="513"/>
        </w:trPr>
        <w:tc>
          <w:tcPr>
            <w:tcW w:w="2618" w:type="pct"/>
            <w:vMerge w:val="restart"/>
            <w:shd w:val="clear" w:color="auto" w:fill="auto"/>
          </w:tcPr>
          <w:p w:rsidR="003740BF" w:rsidRPr="005C387D" w:rsidRDefault="003740BF" w:rsidP="007431F8">
            <w:pPr>
              <w:rPr>
                <w:rFonts w:cs="Arial"/>
                <w:b/>
                <w:bCs/>
                <w:color w:val="000000"/>
                <w:sz w:val="28"/>
                <w:szCs w:val="28"/>
              </w:rPr>
            </w:pPr>
            <w:r>
              <w:br w:type="page"/>
            </w:r>
            <w:r w:rsidR="00385799">
              <w:rPr>
                <w:noProof/>
              </w:rPr>
              <w:drawing>
                <wp:inline distT="0" distB="0" distL="0" distR="0" wp14:anchorId="4C13A5D0" wp14:editId="28CCFEA5">
                  <wp:extent cx="2945130" cy="499745"/>
                  <wp:effectExtent l="0" t="0" r="7620" b="0"/>
                  <wp:docPr id="10" name="Picture 10"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5130" cy="499745"/>
                          </a:xfrm>
                          <a:prstGeom prst="rect">
                            <a:avLst/>
                          </a:prstGeom>
                          <a:noFill/>
                          <a:ln>
                            <a:noFill/>
                          </a:ln>
                        </pic:spPr>
                      </pic:pic>
                    </a:graphicData>
                  </a:graphic>
                </wp:inline>
              </w:drawing>
            </w:r>
          </w:p>
        </w:tc>
        <w:tc>
          <w:tcPr>
            <w:tcW w:w="2382" w:type="pct"/>
            <w:shd w:val="clear" w:color="auto" w:fill="auto"/>
          </w:tcPr>
          <w:p w:rsidR="003740BF" w:rsidRDefault="003740BF" w:rsidP="00197694">
            <w:pPr>
              <w:pStyle w:val="TableFieldsBig"/>
              <w:tabs>
                <w:tab w:val="left" w:pos="4383"/>
              </w:tabs>
              <w:ind w:left="272"/>
            </w:pPr>
            <w:r w:rsidRPr="004D6EB7">
              <w:t>Report</w:t>
            </w:r>
            <w:r w:rsidR="00BE15D6">
              <w:t xml:space="preserve"> t</w:t>
            </w:r>
            <w:r w:rsidRPr="004D6EB7">
              <w:t>o</w:t>
            </w:r>
            <w:r w:rsidR="00BE15D6">
              <w:t xml:space="preserve"> </w:t>
            </w:r>
            <w:r w:rsidR="00197694">
              <w:t xml:space="preserve">the </w:t>
            </w:r>
            <w:r w:rsidR="00BE15D6">
              <w:t xml:space="preserve">Nottinghamshire Children’s Trust </w:t>
            </w:r>
            <w:r w:rsidR="00385799">
              <w:t>Board</w:t>
            </w:r>
          </w:p>
          <w:p w:rsidR="003740BF" w:rsidRPr="004D6EB7" w:rsidRDefault="003740BF" w:rsidP="007431F8">
            <w:pPr>
              <w:pStyle w:val="HiddenText"/>
              <w:jc w:val="right"/>
            </w:pPr>
            <w:r>
              <w:t xml:space="preserve">                                         </w:t>
            </w:r>
            <w:r w:rsidRPr="00845F05">
              <w:t>Insert name of Council Body (eg County Council) or Decision Maker (eg Cabinet Member for Finance and Property)</w:t>
            </w:r>
            <w:r>
              <w:t>.</w:t>
            </w:r>
          </w:p>
        </w:tc>
      </w:tr>
      <w:tr w:rsidR="003740BF" w:rsidRPr="005C387D" w:rsidTr="00197694">
        <w:trPr>
          <w:trHeight w:val="513"/>
        </w:trPr>
        <w:tc>
          <w:tcPr>
            <w:tcW w:w="2618" w:type="pct"/>
            <w:vMerge/>
            <w:shd w:val="clear" w:color="auto" w:fill="auto"/>
          </w:tcPr>
          <w:p w:rsidR="003740BF" w:rsidRDefault="003740BF" w:rsidP="007431F8"/>
        </w:tc>
        <w:tc>
          <w:tcPr>
            <w:tcW w:w="2382" w:type="pct"/>
            <w:shd w:val="clear" w:color="auto" w:fill="auto"/>
          </w:tcPr>
          <w:p w:rsidR="003740BF" w:rsidRDefault="007102DD" w:rsidP="00FD1713">
            <w:pPr>
              <w:pStyle w:val="TableFieldsSmall"/>
            </w:pPr>
            <w:r>
              <w:t>18</w:t>
            </w:r>
            <w:r w:rsidR="00687DC1">
              <w:t xml:space="preserve"> </w:t>
            </w:r>
            <w:r>
              <w:t>December</w:t>
            </w:r>
            <w:r w:rsidR="003740BF">
              <w:t xml:space="preserve"> </w:t>
            </w:r>
            <w:r w:rsidR="00905A05">
              <w:t>2015</w:t>
            </w:r>
          </w:p>
          <w:p w:rsidR="003740BF" w:rsidRPr="00621C81" w:rsidRDefault="003740BF" w:rsidP="007431F8">
            <w:pPr>
              <w:pStyle w:val="HiddenText"/>
              <w:jc w:val="right"/>
            </w:pPr>
            <w:r w:rsidRPr="00845F05">
              <w:t>Insert the date the report is to be considered (eg the date of County Council or Portfolio Meeting)</w:t>
            </w:r>
            <w:r>
              <w:t xml:space="preserve">. </w:t>
            </w:r>
            <w:r w:rsidRPr="005C387D">
              <w:rPr>
                <w:b/>
              </w:rPr>
              <w:t>Must</w:t>
            </w:r>
            <w:r>
              <w:t xml:space="preserve"> be in the format “dd MMMM yyyy” (e.g. </w:t>
            </w:r>
            <w:smartTag w:uri="urn:schemas-microsoft-com:office:smarttags" w:element="date">
              <w:smartTagPr>
                <w:attr w:name="Month" w:val="8"/>
                <w:attr w:name="Day" w:val="10"/>
                <w:attr w:name="Year" w:val="2011"/>
              </w:smartTagPr>
              <w:r>
                <w:t>10 August 2011</w:t>
              </w:r>
            </w:smartTag>
            <w:r>
              <w:t>).</w:t>
            </w:r>
          </w:p>
        </w:tc>
      </w:tr>
      <w:tr w:rsidR="003740BF" w:rsidRPr="005C387D" w:rsidTr="00197694">
        <w:trPr>
          <w:trHeight w:val="513"/>
        </w:trPr>
        <w:tc>
          <w:tcPr>
            <w:tcW w:w="2618" w:type="pct"/>
            <w:vMerge/>
            <w:shd w:val="clear" w:color="auto" w:fill="auto"/>
          </w:tcPr>
          <w:p w:rsidR="003740BF" w:rsidRDefault="003740BF" w:rsidP="007431F8"/>
        </w:tc>
        <w:tc>
          <w:tcPr>
            <w:tcW w:w="2382" w:type="pct"/>
            <w:shd w:val="clear" w:color="auto" w:fill="auto"/>
          </w:tcPr>
          <w:p w:rsidR="003740BF" w:rsidRDefault="003740BF" w:rsidP="007431F8">
            <w:pPr>
              <w:pStyle w:val="TableFieldsSmall"/>
            </w:pPr>
            <w:r w:rsidRPr="004D6EB7">
              <w:t>Agenda Item:</w:t>
            </w:r>
            <w:r w:rsidR="00687DC1">
              <w:t xml:space="preserve"> </w:t>
            </w:r>
            <w:r w:rsidR="000505DB">
              <w:t>3</w:t>
            </w:r>
            <w:r w:rsidRPr="004D6EB7">
              <w:t xml:space="preserve"> </w:t>
            </w:r>
          </w:p>
          <w:p w:rsidR="003740BF" w:rsidRPr="007108F0" w:rsidRDefault="003740BF" w:rsidP="007431F8">
            <w:pPr>
              <w:pStyle w:val="HiddenText"/>
              <w:jc w:val="right"/>
            </w:pPr>
            <w:r>
              <w:t>Please leave this blank.</w:t>
            </w:r>
          </w:p>
        </w:tc>
      </w:tr>
      <w:tr w:rsidR="003740BF" w:rsidTr="00197694">
        <w:trPr>
          <w:trHeight w:val="949"/>
        </w:trPr>
        <w:tc>
          <w:tcPr>
            <w:tcW w:w="5000" w:type="pct"/>
            <w:gridSpan w:val="2"/>
            <w:shd w:val="clear" w:color="auto" w:fill="auto"/>
          </w:tcPr>
          <w:p w:rsidR="007431F8" w:rsidRDefault="00BE15D6" w:rsidP="007431F8">
            <w:pPr>
              <w:pStyle w:val="ReportTitle"/>
              <w:rPr>
                <w:caps w:val="0"/>
              </w:rPr>
            </w:pPr>
            <w:r>
              <w:rPr>
                <w:caps w:val="0"/>
              </w:rPr>
              <w:t xml:space="preserve">CHILDREN’S TRUST BOARD SPONSOR: </w:t>
            </w:r>
            <w:r w:rsidR="000505DB">
              <w:rPr>
                <w:caps w:val="0"/>
              </w:rPr>
              <w:t xml:space="preserve">KATE ALLEN, </w:t>
            </w:r>
            <w:r w:rsidR="007A5128">
              <w:rPr>
                <w:rStyle w:val="odataformanswer"/>
              </w:rPr>
              <w:t>Consultant in Public Health FOR cHILDREN AND YOUNG PEOPLE</w:t>
            </w:r>
          </w:p>
          <w:p w:rsidR="007A5128" w:rsidRPr="00347E68" w:rsidRDefault="007A5128" w:rsidP="007431F8">
            <w:pPr>
              <w:pStyle w:val="ReportTitle"/>
              <w:rPr>
                <w:caps w:val="0"/>
                <w:sz w:val="24"/>
                <w:szCs w:val="24"/>
              </w:rPr>
            </w:pPr>
          </w:p>
        </w:tc>
      </w:tr>
      <w:tr w:rsidR="003740BF" w:rsidTr="00197694">
        <w:trPr>
          <w:trHeight w:val="669"/>
        </w:trPr>
        <w:tc>
          <w:tcPr>
            <w:tcW w:w="5000" w:type="pct"/>
            <w:gridSpan w:val="2"/>
            <w:shd w:val="clear" w:color="auto" w:fill="auto"/>
          </w:tcPr>
          <w:p w:rsidR="003740BF" w:rsidRDefault="007A5128" w:rsidP="000505DB">
            <w:pPr>
              <w:pStyle w:val="ReportTitle"/>
            </w:pPr>
            <w:r>
              <w:t xml:space="preserve">Joint Strategic Needs assessment (JSNA) </w:t>
            </w:r>
            <w:r w:rsidR="00D85157">
              <w:t>TOPIC FOR APPROVAL</w:t>
            </w:r>
            <w:r w:rsidR="000505DB">
              <w:t>: Transitions to adulthood</w:t>
            </w:r>
          </w:p>
        </w:tc>
      </w:tr>
    </w:tbl>
    <w:p w:rsidR="003740BF" w:rsidRPr="00347E68" w:rsidRDefault="003740BF" w:rsidP="003740BF">
      <w:pPr>
        <w:pStyle w:val="SectionHeadings"/>
        <w:jc w:val="left"/>
        <w:rPr>
          <w:sz w:val="24"/>
        </w:rPr>
      </w:pPr>
    </w:p>
    <w:p w:rsidR="003740BF" w:rsidRDefault="003740BF" w:rsidP="003740BF">
      <w:pPr>
        <w:pStyle w:val="SectionHeadings"/>
        <w:jc w:val="left"/>
      </w:pPr>
      <w:r>
        <w:t>Purpose of the Report</w:t>
      </w:r>
    </w:p>
    <w:p w:rsidR="003740BF" w:rsidRDefault="003740BF" w:rsidP="003740BF"/>
    <w:p w:rsidR="003740BF" w:rsidRDefault="00905A05" w:rsidP="00347E68">
      <w:pPr>
        <w:numPr>
          <w:ilvl w:val="0"/>
          <w:numId w:val="5"/>
        </w:numPr>
        <w:jc w:val="both"/>
      </w:pPr>
      <w:r>
        <w:t xml:space="preserve">The purpose of this </w:t>
      </w:r>
      <w:r w:rsidR="00967894" w:rsidRPr="00967894">
        <w:t xml:space="preserve">report </w:t>
      </w:r>
      <w:r>
        <w:t xml:space="preserve">is to </w:t>
      </w:r>
      <w:r w:rsidR="00B051FF">
        <w:t xml:space="preserve">present the </w:t>
      </w:r>
      <w:r w:rsidR="00B051FF" w:rsidRPr="00B051FF">
        <w:t>proposed revised topic</w:t>
      </w:r>
      <w:r w:rsidR="000505DB">
        <w:t xml:space="preserve"> on Transitions </w:t>
      </w:r>
      <w:r w:rsidR="00E776B4">
        <w:t>to Adulthood in</w:t>
      </w:r>
      <w:r w:rsidR="00B051FF" w:rsidRPr="00B051FF">
        <w:t xml:space="preserve"> the Children and Young People’s section of the J</w:t>
      </w:r>
      <w:r w:rsidR="00D85157">
        <w:t xml:space="preserve">oint </w:t>
      </w:r>
      <w:r w:rsidR="00B051FF" w:rsidRPr="00B051FF">
        <w:t>S</w:t>
      </w:r>
      <w:r w:rsidR="00D85157">
        <w:t xml:space="preserve">trategic </w:t>
      </w:r>
      <w:r w:rsidR="00B051FF" w:rsidRPr="00B051FF">
        <w:t>N</w:t>
      </w:r>
      <w:r w:rsidR="00D85157">
        <w:t xml:space="preserve">eeds </w:t>
      </w:r>
      <w:r w:rsidR="00B051FF" w:rsidRPr="00B051FF">
        <w:t>A</w:t>
      </w:r>
      <w:r w:rsidR="00D85157">
        <w:t>ssessment for approval</w:t>
      </w:r>
      <w:r w:rsidR="00E776B4">
        <w:t xml:space="preserve"> by the Children’s Trust Board</w:t>
      </w:r>
      <w:r w:rsidR="00B051FF">
        <w:t>.</w:t>
      </w:r>
    </w:p>
    <w:p w:rsidR="003740BF" w:rsidRDefault="003740BF" w:rsidP="003740BF">
      <w:pPr>
        <w:pStyle w:val="SectionHeadings"/>
        <w:jc w:val="left"/>
      </w:pPr>
    </w:p>
    <w:p w:rsidR="003740BF" w:rsidRDefault="003740BF" w:rsidP="003740BF">
      <w:pPr>
        <w:pStyle w:val="SectionHeadings"/>
        <w:jc w:val="left"/>
      </w:pPr>
      <w:r>
        <w:t>Information and Advice</w:t>
      </w:r>
    </w:p>
    <w:p w:rsidR="003740BF" w:rsidRDefault="003740BF" w:rsidP="003740BF"/>
    <w:p w:rsidR="004344F5" w:rsidRPr="002C33D0" w:rsidRDefault="004344F5" w:rsidP="004344F5">
      <w:pPr>
        <w:numPr>
          <w:ilvl w:val="0"/>
          <w:numId w:val="5"/>
        </w:numPr>
        <w:spacing w:after="240"/>
        <w:jc w:val="both"/>
      </w:pPr>
      <w:r>
        <w:t>The Children’s Trust</w:t>
      </w:r>
      <w:r w:rsidRPr="00355A80">
        <w:rPr>
          <w:rFonts w:cs="Arial"/>
        </w:rPr>
        <w:t xml:space="preserve"> </w:t>
      </w:r>
      <w:r>
        <w:rPr>
          <w:rFonts w:cs="Arial"/>
        </w:rPr>
        <w:t xml:space="preserve">are routinely </w:t>
      </w:r>
      <w:r w:rsidRPr="00355A80">
        <w:rPr>
          <w:rFonts w:cs="Arial"/>
        </w:rPr>
        <w:t xml:space="preserve">consulted </w:t>
      </w:r>
      <w:r>
        <w:rPr>
          <w:rFonts w:cs="Arial"/>
        </w:rPr>
        <w:t>regarding final approval of</w:t>
      </w:r>
      <w:r w:rsidRPr="00355A80">
        <w:rPr>
          <w:rFonts w:cs="Arial"/>
        </w:rPr>
        <w:t xml:space="preserve"> </w:t>
      </w:r>
      <w:r>
        <w:rPr>
          <w:rFonts w:cs="Arial"/>
        </w:rPr>
        <w:t xml:space="preserve">Children and Young People </w:t>
      </w:r>
      <w:r w:rsidRPr="00355A80">
        <w:rPr>
          <w:rFonts w:cs="Arial"/>
        </w:rPr>
        <w:t>JSNA</w:t>
      </w:r>
      <w:r>
        <w:rPr>
          <w:rFonts w:cs="Arial"/>
        </w:rPr>
        <w:t xml:space="preserve"> topic chapters.  The Health and Wellbeing Implementation Group (HWIG) approve topic chapters relating to cross-cutting themes, Adults and Older People.</w:t>
      </w:r>
    </w:p>
    <w:p w:rsidR="004344F5" w:rsidRDefault="004344F5" w:rsidP="004344F5">
      <w:pPr>
        <w:numPr>
          <w:ilvl w:val="0"/>
          <w:numId w:val="5"/>
        </w:numPr>
        <w:spacing w:after="240"/>
        <w:jc w:val="both"/>
      </w:pPr>
      <w:r>
        <w:t xml:space="preserve">All </w:t>
      </w:r>
      <w:r w:rsidR="00D721E1">
        <w:t xml:space="preserve">draft and </w:t>
      </w:r>
      <w:r>
        <w:t>completed JSNA topic chapters</w:t>
      </w:r>
      <w:r w:rsidRPr="003E5B69">
        <w:t xml:space="preserve"> </w:t>
      </w:r>
      <w:r>
        <w:t xml:space="preserve">are </w:t>
      </w:r>
      <w:r w:rsidRPr="003E5B69">
        <w:t xml:space="preserve">available </w:t>
      </w:r>
      <w:r w:rsidR="00E776B4">
        <w:t xml:space="preserve">on </w:t>
      </w:r>
      <w:r>
        <w:t>the</w:t>
      </w:r>
      <w:r w:rsidRPr="003E5B69">
        <w:t xml:space="preserve"> </w:t>
      </w:r>
      <w:hyperlink r:id="rId9" w:history="1">
        <w:r w:rsidRPr="00E776B4">
          <w:rPr>
            <w:rStyle w:val="Hyperlink"/>
          </w:rPr>
          <w:t>Nottinghamshire Insight</w:t>
        </w:r>
      </w:hyperlink>
      <w:r w:rsidR="00E776B4">
        <w:t xml:space="preserve"> website</w:t>
      </w:r>
      <w:r>
        <w:t xml:space="preserve">. </w:t>
      </w:r>
    </w:p>
    <w:p w:rsidR="004344F5" w:rsidRDefault="004344F5" w:rsidP="004344F5">
      <w:pPr>
        <w:numPr>
          <w:ilvl w:val="0"/>
          <w:numId w:val="5"/>
        </w:numPr>
        <w:spacing w:after="240"/>
        <w:jc w:val="both"/>
      </w:pPr>
      <w:r>
        <w:t xml:space="preserve">Topics which have been completed and are </w:t>
      </w:r>
      <w:r w:rsidR="00D721E1">
        <w:t xml:space="preserve">currently </w:t>
      </w:r>
      <w:r>
        <w:t xml:space="preserve">pending approval by HWIG in December are as follows: Excess Weight, Physical Activity, Diet and Nutrition, and Healthcare Associated Infections.  The draft reports can be found on Nottinghamshire Insight JSNA pages </w:t>
      </w:r>
      <w:r w:rsidR="00D721E1">
        <w:t xml:space="preserve">in the </w:t>
      </w:r>
      <w:r>
        <w:t>‘cross-cutting themes’</w:t>
      </w:r>
      <w:r w:rsidR="00D721E1">
        <w:t xml:space="preserve"> section</w:t>
      </w:r>
      <w:r>
        <w:t>.</w:t>
      </w:r>
    </w:p>
    <w:p w:rsidR="004344F5" w:rsidRDefault="004344F5" w:rsidP="004344F5">
      <w:pPr>
        <w:numPr>
          <w:ilvl w:val="0"/>
          <w:numId w:val="5"/>
        </w:numPr>
        <w:spacing w:after="240"/>
        <w:jc w:val="both"/>
      </w:pPr>
      <w:r>
        <w:t xml:space="preserve">The JSNA chapter Transition of Adulthood has recently been completed and </w:t>
      </w:r>
      <w:r w:rsidR="00D721E1">
        <w:t>t</w:t>
      </w:r>
      <w:r>
        <w:t xml:space="preserve">he full draft report can be found </w:t>
      </w:r>
      <w:hyperlink r:id="rId10" w:history="1">
        <w:r w:rsidRPr="004344F5">
          <w:rPr>
            <w:rStyle w:val="Hyperlink"/>
          </w:rPr>
          <w:t>h</w:t>
        </w:r>
        <w:r w:rsidRPr="004344F5">
          <w:rPr>
            <w:rStyle w:val="Hyperlink"/>
          </w:rPr>
          <w:t>e</w:t>
        </w:r>
        <w:r w:rsidRPr="004344F5">
          <w:rPr>
            <w:rStyle w:val="Hyperlink"/>
          </w:rPr>
          <w:t>re</w:t>
        </w:r>
      </w:hyperlink>
      <w:r>
        <w:t xml:space="preserve">.   </w:t>
      </w:r>
      <w:r w:rsidR="00D721E1">
        <w:t>This report provides a</w:t>
      </w:r>
      <w:r>
        <w:t xml:space="preserve"> summary of the JSNA chapter </w:t>
      </w:r>
      <w:r w:rsidR="00D721E1">
        <w:t xml:space="preserve">on </w:t>
      </w:r>
      <w:r>
        <w:t xml:space="preserve">Transition of Adulthood and </w:t>
      </w:r>
      <w:r w:rsidR="00D721E1">
        <w:t xml:space="preserve">its </w:t>
      </w:r>
      <w:r>
        <w:t>key recommendations</w:t>
      </w:r>
      <w:r w:rsidR="00D721E1">
        <w:t>.</w:t>
      </w:r>
    </w:p>
    <w:p w:rsidR="004344F5" w:rsidRPr="00450A9B" w:rsidRDefault="004344F5" w:rsidP="00450A9B">
      <w:pPr>
        <w:spacing w:after="240"/>
        <w:ind w:left="720"/>
        <w:rPr>
          <w:b/>
        </w:rPr>
      </w:pPr>
      <w:r w:rsidRPr="00450A9B">
        <w:rPr>
          <w:b/>
        </w:rPr>
        <w:t xml:space="preserve">Transition to </w:t>
      </w:r>
      <w:r w:rsidR="00F75349">
        <w:rPr>
          <w:b/>
        </w:rPr>
        <w:t>A</w:t>
      </w:r>
      <w:r w:rsidRPr="00450A9B">
        <w:rPr>
          <w:b/>
        </w:rPr>
        <w:t xml:space="preserve">dulthood – </w:t>
      </w:r>
      <w:r w:rsidR="00F75349">
        <w:rPr>
          <w:b/>
        </w:rPr>
        <w:t xml:space="preserve">topic </w:t>
      </w:r>
      <w:r w:rsidRPr="00450A9B">
        <w:rPr>
          <w:b/>
        </w:rPr>
        <w:t>summary</w:t>
      </w:r>
      <w:r w:rsidR="00450A9B" w:rsidRPr="00450A9B">
        <w:rPr>
          <w:b/>
        </w:rPr>
        <w:t xml:space="preserve"> </w:t>
      </w:r>
    </w:p>
    <w:p w:rsidR="004344F5" w:rsidRDefault="00F75349" w:rsidP="004344F5">
      <w:pPr>
        <w:numPr>
          <w:ilvl w:val="0"/>
          <w:numId w:val="5"/>
        </w:numPr>
        <w:spacing w:after="240"/>
        <w:jc w:val="both"/>
      </w:pPr>
      <w:r>
        <w:t xml:space="preserve">The </w:t>
      </w:r>
      <w:r w:rsidRPr="00F75349">
        <w:t xml:space="preserve">Transition to Adulthood topic </w:t>
      </w:r>
      <w:r>
        <w:t>considers t</w:t>
      </w:r>
      <w:r w:rsidR="004344F5">
        <w:t>he time between childhood and emerging  adulthood and the process of planning and transferring from children’s education, health and care services and support, and managing new relationships to ensure a smooth a transition to adult education, employment independent living, health and social care services and support including end of life provision.</w:t>
      </w:r>
    </w:p>
    <w:p w:rsidR="004344F5" w:rsidRDefault="004344F5" w:rsidP="004344F5">
      <w:pPr>
        <w:numPr>
          <w:ilvl w:val="0"/>
          <w:numId w:val="5"/>
        </w:numPr>
        <w:spacing w:after="240"/>
        <w:jc w:val="both"/>
      </w:pPr>
      <w:r>
        <w:t xml:space="preserve">Current transition support in Nottinghamshire was formally determined in Nottinghamshire’s Multi-Agency Transition Protocol: Supporting Young People with SEN and Disabilities from Age 14 Year 9 into Adulthood (2010) and defines a targeted </w:t>
      </w:r>
      <w:r>
        <w:lastRenderedPageBreak/>
        <w:t>population.  It is currently under review in order to widen the scope and improve equity of service provision. A position statement document is being produced which will establish current service provision, activity, gaps in service, and examples of good practice. This will encourage an integrated service approach to keep pace with the increasing need and the legislation requirements in the Children and Families Act 2014, Special Education Needs and Disability (SEND</w:t>
      </w:r>
      <w:r w:rsidR="00F75349">
        <w:t>) and</w:t>
      </w:r>
      <w:r>
        <w:t xml:space="preserve"> The Care Act 2014. This work is currently being undertaken by NCC Transitions –Preparing for </w:t>
      </w:r>
      <w:r w:rsidR="00F75349">
        <w:t>A</w:t>
      </w:r>
      <w:r>
        <w:t xml:space="preserve">dulthood working group </w:t>
      </w:r>
      <w:r w:rsidR="00F75349">
        <w:t xml:space="preserve">as part of </w:t>
      </w:r>
      <w:r>
        <w:t>the Children’s Programme and Projects Team</w:t>
      </w:r>
      <w:r w:rsidR="00F75349">
        <w:t>’s</w:t>
      </w:r>
      <w:r w:rsidR="000B5275">
        <w:t xml:space="preserve"> project for</w:t>
      </w:r>
      <w:r w:rsidR="00F75349">
        <w:t xml:space="preserve"> </w:t>
      </w:r>
      <w:r w:rsidR="000B5275">
        <w:t xml:space="preserve">Improving </w:t>
      </w:r>
      <w:r w:rsidR="00F75349">
        <w:t xml:space="preserve">Outcomes </w:t>
      </w:r>
      <w:r w:rsidR="000B5275">
        <w:t xml:space="preserve">for Children and Young People with Disabilities. </w:t>
      </w:r>
    </w:p>
    <w:p w:rsidR="004344F5" w:rsidRDefault="00450A9B" w:rsidP="004344F5">
      <w:pPr>
        <w:numPr>
          <w:ilvl w:val="0"/>
          <w:numId w:val="5"/>
        </w:numPr>
        <w:spacing w:after="240"/>
        <w:jc w:val="both"/>
      </w:pPr>
      <w:r>
        <w:t>The</w:t>
      </w:r>
      <w:r w:rsidR="004344F5">
        <w:t xml:space="preserve"> JSNA </w:t>
      </w:r>
      <w:r w:rsidR="000B5275">
        <w:t>topic</w:t>
      </w:r>
      <w:r w:rsidR="004344F5">
        <w:t xml:space="preserve"> </w:t>
      </w:r>
      <w:r w:rsidR="00197694">
        <w:t xml:space="preserve">concludes with </w:t>
      </w:r>
      <w:r w:rsidR="004344F5">
        <w:t xml:space="preserve">seven recommendations for improved service experience in transition from children’s to adult services with planning &amp; support that is sensitive to the developmental needs &amp; maturation psychology of emerging adulthood to ensure success. </w:t>
      </w:r>
    </w:p>
    <w:p w:rsidR="004344F5" w:rsidRDefault="004344F5" w:rsidP="004344F5">
      <w:pPr>
        <w:numPr>
          <w:ilvl w:val="0"/>
          <w:numId w:val="5"/>
        </w:numPr>
        <w:spacing w:after="240"/>
        <w:jc w:val="both"/>
      </w:pPr>
      <w:r>
        <w:t>Data and information for this (whole) population in transition is not available nationally or locally so it is difficult to establish a clear picture of need in Nottinghamshire. This is reflected in the recommendations</w:t>
      </w:r>
      <w:r w:rsidR="00197694">
        <w:t>.</w:t>
      </w:r>
    </w:p>
    <w:p w:rsidR="00197694" w:rsidRPr="00197694" w:rsidRDefault="00CF3A68" w:rsidP="00197694">
      <w:pPr>
        <w:spacing w:after="240"/>
        <w:ind w:left="720"/>
        <w:jc w:val="both"/>
        <w:rPr>
          <w:b/>
        </w:rPr>
      </w:pPr>
      <w:r>
        <w:rPr>
          <w:b/>
        </w:rPr>
        <w:t>Transitions to Adulthood Topic</w:t>
      </w:r>
      <w:bookmarkStart w:id="0" w:name="_GoBack"/>
      <w:bookmarkEnd w:id="0"/>
      <w:r>
        <w:rPr>
          <w:b/>
        </w:rPr>
        <w:t xml:space="preserve"> </w:t>
      </w:r>
      <w:r w:rsidR="00197694" w:rsidRPr="00197694">
        <w:rPr>
          <w:b/>
        </w:rPr>
        <w:t>Recomme</w:t>
      </w:r>
      <w:r w:rsidR="00197694">
        <w:rPr>
          <w:b/>
        </w:rPr>
        <w:t>n</w:t>
      </w:r>
      <w:r w:rsidR="00197694" w:rsidRPr="00197694">
        <w:rPr>
          <w:b/>
        </w:rPr>
        <w:t>dations:</w:t>
      </w:r>
    </w:p>
    <w:p w:rsidR="004344F5" w:rsidRDefault="004344F5" w:rsidP="004344F5">
      <w:pPr>
        <w:numPr>
          <w:ilvl w:val="0"/>
          <w:numId w:val="5"/>
        </w:numPr>
        <w:spacing w:after="240"/>
        <w:jc w:val="both"/>
      </w:pPr>
      <w:r w:rsidRPr="00197694">
        <w:rPr>
          <w:b/>
        </w:rPr>
        <w:t>Recommendation 1</w:t>
      </w:r>
      <w:r>
        <w:t>: Review of existing Transition Planning strategy and practice</w:t>
      </w:r>
      <w:r w:rsidR="00450A9B">
        <w:t xml:space="preserve">. </w:t>
      </w:r>
      <w:r>
        <w:t>Existing Transition Planning strategy and practice now needs to be reviewed and updated in line with the statutory requirements in the Children and Families Act</w:t>
      </w:r>
      <w:r w:rsidR="00197694">
        <w:t xml:space="preserve"> 2014</w:t>
      </w:r>
      <w:r>
        <w:t xml:space="preserve"> and SEND reforms.</w:t>
      </w:r>
    </w:p>
    <w:p w:rsidR="004344F5" w:rsidRDefault="004344F5" w:rsidP="004344F5">
      <w:pPr>
        <w:numPr>
          <w:ilvl w:val="0"/>
          <w:numId w:val="5"/>
        </w:numPr>
        <w:spacing w:after="240"/>
        <w:jc w:val="both"/>
      </w:pPr>
      <w:r w:rsidRPr="00197694">
        <w:rPr>
          <w:b/>
        </w:rPr>
        <w:t>Recommendation 2</w:t>
      </w:r>
      <w:r>
        <w:t>: Develop quality robust joint and integrated commissioning arrangements</w:t>
      </w:r>
      <w:r w:rsidR="00450A9B">
        <w:t xml:space="preserve">. </w:t>
      </w:r>
      <w:r>
        <w:t>It is essential that health services observe the requirement for joint commissioning in delivering the NHS England mandate for disabled children and young people. Transitioning from Children to Adult Services may require an examination of funding and budget levels with a well-managed ‘push’ for changes from Children Services and a reciprocal ‘pull’ from Adult Services. The transition planning should include activity which meets individual needs and reach into Adult Services and out of Children services.</w:t>
      </w:r>
    </w:p>
    <w:p w:rsidR="004344F5" w:rsidRDefault="004344F5" w:rsidP="004344F5">
      <w:pPr>
        <w:numPr>
          <w:ilvl w:val="0"/>
          <w:numId w:val="5"/>
        </w:numPr>
        <w:spacing w:after="240"/>
        <w:jc w:val="both"/>
      </w:pPr>
      <w:r>
        <w:t>In commissioning integrated services it is important to consider the transition between paediatric and adult health services  for young people with less complex needs (i.e. no co-morbidity, but with long term health conditions, for example asthma or diabetes).</w:t>
      </w:r>
    </w:p>
    <w:p w:rsidR="004344F5" w:rsidRDefault="004344F5" w:rsidP="004344F5">
      <w:pPr>
        <w:numPr>
          <w:ilvl w:val="0"/>
          <w:numId w:val="5"/>
        </w:numPr>
        <w:spacing w:after="240"/>
        <w:jc w:val="both"/>
      </w:pPr>
      <w:r w:rsidRPr="00197694">
        <w:rPr>
          <w:b/>
        </w:rPr>
        <w:t>Recommendation 3</w:t>
      </w:r>
      <w:r>
        <w:t>: Ensure the collection of robust transition activity data and information</w:t>
      </w:r>
      <w:r w:rsidR="00450A9B">
        <w:t xml:space="preserve">.  </w:t>
      </w:r>
      <w:r>
        <w:t>There is no systematic approach to collating robust information around transitions and service level activity. Information is patchy and it is difficult to correlate the information or conduct any meaningful analysis in order to inform service development. Additionally, transitioning from Children to Adult Services needs better data sharing, which is essential for forward planning, quality assurance and efficient commissioning.</w:t>
      </w:r>
    </w:p>
    <w:p w:rsidR="004344F5" w:rsidRDefault="004344F5" w:rsidP="004344F5">
      <w:pPr>
        <w:numPr>
          <w:ilvl w:val="0"/>
          <w:numId w:val="5"/>
        </w:numPr>
        <w:spacing w:after="240"/>
        <w:jc w:val="both"/>
      </w:pPr>
      <w:r w:rsidRPr="00197694">
        <w:rPr>
          <w:b/>
        </w:rPr>
        <w:t>Recommendation 4</w:t>
      </w:r>
      <w:r>
        <w:t>: Patient and families experience</w:t>
      </w:r>
      <w:r w:rsidR="00450A9B">
        <w:t xml:space="preserve">. </w:t>
      </w:r>
      <w:r>
        <w:t xml:space="preserve">Patient and families experience is at the centre of strategic decision making and planning as well as at operational and personal level. Young People and their parent/carers will be involved </w:t>
      </w:r>
      <w:r>
        <w:lastRenderedPageBreak/>
        <w:t>in the commissioning process shaping services through customer service feedback, consultation and coproduction of service provision and participation at the highest level.</w:t>
      </w:r>
    </w:p>
    <w:p w:rsidR="004344F5" w:rsidRDefault="004344F5" w:rsidP="004344F5">
      <w:pPr>
        <w:numPr>
          <w:ilvl w:val="0"/>
          <w:numId w:val="5"/>
        </w:numPr>
        <w:spacing w:after="240"/>
        <w:jc w:val="both"/>
      </w:pPr>
      <w:r w:rsidRPr="00197694">
        <w:rPr>
          <w:b/>
        </w:rPr>
        <w:t>Recommendation 5</w:t>
      </w:r>
      <w:r>
        <w:t>: Systematic approach to ensuring transition plans are in place</w:t>
      </w:r>
      <w:r w:rsidR="00450A9B">
        <w:t xml:space="preserve">.  </w:t>
      </w:r>
      <w:r>
        <w:t xml:space="preserve">Effective transition starts at 14 years old for up to 5 years if needed and means identifying and tracking (from data systems), young people through key transition points in their life. Appropriate and timely support can be provided for young people only where data systems identify young people who are in need of help. This includes how agreements about the ways agencies will work together to support disabled young people and their families are set out in integrated transition protocols.  </w:t>
      </w:r>
    </w:p>
    <w:p w:rsidR="004344F5" w:rsidRDefault="004344F5" w:rsidP="004344F5">
      <w:pPr>
        <w:numPr>
          <w:ilvl w:val="0"/>
          <w:numId w:val="5"/>
        </w:numPr>
        <w:spacing w:after="240"/>
        <w:jc w:val="both"/>
      </w:pPr>
      <w:r w:rsidRPr="00197694">
        <w:rPr>
          <w:b/>
        </w:rPr>
        <w:t>Recommendation 6</w:t>
      </w:r>
      <w:r>
        <w:t>: Committed resources to manage this work</w:t>
      </w:r>
      <w:r w:rsidR="00450A9B">
        <w:t xml:space="preserve">.  </w:t>
      </w:r>
      <w:r>
        <w:t xml:space="preserve">Strategic level agreement and planning is essential to success at operational level. There should be designated leadership, time and capacity to maintain a focus on transition to inform service change and improvement. An effective multiagency steering group or Board should be developed to implement protocols and pathways.  </w:t>
      </w:r>
    </w:p>
    <w:p w:rsidR="00197694" w:rsidRDefault="004344F5" w:rsidP="00D721E1">
      <w:pPr>
        <w:numPr>
          <w:ilvl w:val="0"/>
          <w:numId w:val="5"/>
        </w:numPr>
        <w:spacing w:after="240"/>
        <w:jc w:val="both"/>
      </w:pPr>
      <w:r w:rsidRPr="00197694">
        <w:rPr>
          <w:b/>
        </w:rPr>
        <w:t>Recommendation 7</w:t>
      </w:r>
      <w:r>
        <w:t>: The role of health and wellbeing boards in measuring the outcomes from transition planning</w:t>
      </w:r>
      <w:r w:rsidR="00450A9B">
        <w:t xml:space="preserve">.  </w:t>
      </w:r>
      <w:r>
        <w:t>Health and Wellbeing boards should measure outcomes for children and young people in transition from children’s to adult services, especially those with disabilities, palliative care needs and long term health conditions and consult with those young people. Their priorities should be reflected in the Health and Wellbeing strategy.</w:t>
      </w:r>
      <w:r w:rsidR="00D721E1">
        <w:t xml:space="preserve">  </w:t>
      </w:r>
    </w:p>
    <w:p w:rsidR="00D721E1" w:rsidRPr="00613788" w:rsidRDefault="00D721E1" w:rsidP="00D721E1">
      <w:pPr>
        <w:numPr>
          <w:ilvl w:val="0"/>
          <w:numId w:val="5"/>
        </w:numPr>
        <w:spacing w:after="240"/>
        <w:jc w:val="both"/>
      </w:pPr>
      <w:r w:rsidRPr="00613788">
        <w:rPr>
          <w:rFonts w:cs="Arial"/>
        </w:rPr>
        <w:t xml:space="preserve">HWIG </w:t>
      </w:r>
      <w:r>
        <w:rPr>
          <w:rFonts w:cs="Arial"/>
        </w:rPr>
        <w:t>has been</w:t>
      </w:r>
      <w:r w:rsidRPr="00613788">
        <w:rPr>
          <w:rFonts w:cs="Arial"/>
        </w:rPr>
        <w:t xml:space="preserve"> asked to consider how recommendation </w:t>
      </w:r>
      <w:r>
        <w:rPr>
          <w:rFonts w:cs="Arial"/>
        </w:rPr>
        <w:t xml:space="preserve">7 below </w:t>
      </w:r>
      <w:r w:rsidRPr="00613788">
        <w:rPr>
          <w:rFonts w:cs="Arial"/>
        </w:rPr>
        <w:t>may be implemented on behalf of the Board and endorse the recommendation</w:t>
      </w:r>
      <w:r>
        <w:rPr>
          <w:rFonts w:cs="Arial"/>
        </w:rPr>
        <w:t xml:space="preserve"> at its meeting on 10</w:t>
      </w:r>
      <w:r w:rsidRPr="00450A9B">
        <w:rPr>
          <w:rFonts w:cs="Arial"/>
          <w:vertAlign w:val="superscript"/>
        </w:rPr>
        <w:t>th</w:t>
      </w:r>
      <w:r>
        <w:rPr>
          <w:rFonts w:cs="Arial"/>
        </w:rPr>
        <w:t xml:space="preserve"> December 2015.</w:t>
      </w:r>
    </w:p>
    <w:p w:rsidR="00347E68" w:rsidRDefault="00B051FF" w:rsidP="00197694">
      <w:pPr>
        <w:spacing w:after="240"/>
        <w:ind w:left="360" w:firstLine="360"/>
        <w:jc w:val="both"/>
        <w:rPr>
          <w:b/>
        </w:rPr>
      </w:pPr>
      <w:r w:rsidRPr="00347E68">
        <w:rPr>
          <w:b/>
        </w:rPr>
        <w:t>JSNA topic refresh</w:t>
      </w:r>
    </w:p>
    <w:p w:rsidR="00FD1713" w:rsidRDefault="00FD1713" w:rsidP="00FD1713">
      <w:pPr>
        <w:pStyle w:val="ListParagraph"/>
        <w:numPr>
          <w:ilvl w:val="1"/>
          <w:numId w:val="5"/>
        </w:numPr>
      </w:pPr>
      <w:r w:rsidRPr="00FD1713">
        <w:t>There is a programme of on-going refresh</w:t>
      </w:r>
      <w:r>
        <w:t xml:space="preserve"> of the JSNA topics.  </w:t>
      </w:r>
      <w:r w:rsidRPr="00FD1713">
        <w:rPr>
          <w:b/>
        </w:rPr>
        <w:t xml:space="preserve">Appendix A </w:t>
      </w:r>
      <w:r>
        <w:t xml:space="preserve">provides a list of topics being currently refreshed. </w:t>
      </w:r>
      <w:r w:rsidRPr="00FD1713">
        <w:t xml:space="preserve"> </w:t>
      </w:r>
    </w:p>
    <w:p w:rsidR="003740BF" w:rsidRDefault="003740BF" w:rsidP="00FD1713">
      <w:pPr>
        <w:jc w:val="both"/>
      </w:pPr>
    </w:p>
    <w:p w:rsidR="003740BF" w:rsidRDefault="003740BF" w:rsidP="00FD1713">
      <w:pPr>
        <w:pStyle w:val="SectionHeadings"/>
      </w:pPr>
      <w:r>
        <w:t>RECOMMENDATION/S</w:t>
      </w:r>
    </w:p>
    <w:p w:rsidR="003740BF" w:rsidRDefault="003740BF" w:rsidP="00FD1713">
      <w:pPr>
        <w:jc w:val="both"/>
      </w:pPr>
    </w:p>
    <w:p w:rsidR="003740BF" w:rsidRDefault="00374A11" w:rsidP="00FD1713">
      <w:pPr>
        <w:numPr>
          <w:ilvl w:val="0"/>
          <w:numId w:val="8"/>
        </w:numPr>
        <w:jc w:val="both"/>
      </w:pPr>
      <w:r>
        <w:t xml:space="preserve">The </w:t>
      </w:r>
      <w:r w:rsidR="009F4C95">
        <w:t xml:space="preserve">Children’s Trust Board </w:t>
      </w:r>
      <w:r>
        <w:t xml:space="preserve">approves the </w:t>
      </w:r>
      <w:r w:rsidR="004344F5">
        <w:t>JSNA</w:t>
      </w:r>
      <w:r>
        <w:t xml:space="preserve"> topics </w:t>
      </w:r>
      <w:r w:rsidR="004344F5">
        <w:t>chapter Transition to Adulthood.</w:t>
      </w:r>
    </w:p>
    <w:p w:rsidR="00374A11" w:rsidRDefault="00374A11" w:rsidP="003740BF"/>
    <w:p w:rsidR="00905A05" w:rsidRDefault="00905A05" w:rsidP="003740BF">
      <w:pPr>
        <w:pStyle w:val="Fields"/>
        <w:jc w:val="left"/>
      </w:pPr>
      <w:r>
        <w:t>Kate Allen</w:t>
      </w:r>
    </w:p>
    <w:p w:rsidR="003740BF" w:rsidRDefault="00FD1713" w:rsidP="003740BF">
      <w:pPr>
        <w:pStyle w:val="Fields"/>
        <w:jc w:val="left"/>
      </w:pPr>
      <w:r>
        <w:t>Consultant in Public Health for Children and Young People</w:t>
      </w:r>
    </w:p>
    <w:p w:rsidR="00FD1713" w:rsidRDefault="00FD1713" w:rsidP="003740BF">
      <w:pPr>
        <w:pStyle w:val="Fields"/>
        <w:jc w:val="left"/>
      </w:pPr>
    </w:p>
    <w:p w:rsidR="003740BF" w:rsidRDefault="003740BF" w:rsidP="003740BF">
      <w:pPr>
        <w:rPr>
          <w:rFonts w:cs="Arial"/>
          <w:b/>
        </w:rPr>
      </w:pPr>
      <w:r>
        <w:rPr>
          <w:rFonts w:cs="Arial"/>
          <w:b/>
        </w:rPr>
        <w:t>For any enquiries about this report please contact:</w:t>
      </w:r>
    </w:p>
    <w:p w:rsidR="00905A05" w:rsidRDefault="00905A05" w:rsidP="003740BF">
      <w:pPr>
        <w:rPr>
          <w:rFonts w:cs="Arial"/>
          <w:b/>
        </w:rPr>
      </w:pPr>
      <w:r>
        <w:rPr>
          <w:rFonts w:cs="Arial"/>
          <w:b/>
        </w:rPr>
        <w:t>Kristina McCormick</w:t>
      </w:r>
    </w:p>
    <w:p w:rsidR="003740BF" w:rsidRDefault="00CF3A68" w:rsidP="003740BF">
      <w:pPr>
        <w:rPr>
          <w:rStyle w:val="odataformanswer"/>
        </w:rPr>
      </w:pPr>
      <w:hyperlink r:id="rId11" w:history="1">
        <w:r w:rsidR="00905A05" w:rsidRPr="00093052">
          <w:rPr>
            <w:rStyle w:val="Hyperlink"/>
          </w:rPr>
          <w:t>kristina.mccormick@nottscc.gov.uk</w:t>
        </w:r>
      </w:hyperlink>
    </w:p>
    <w:p w:rsidR="00905A05" w:rsidRDefault="00905A05" w:rsidP="003740BF">
      <w:r>
        <w:rPr>
          <w:rStyle w:val="odataformanswer"/>
        </w:rPr>
        <w:t>0115 97 72800</w:t>
      </w:r>
    </w:p>
    <w:p w:rsidR="003740BF" w:rsidRDefault="003740BF" w:rsidP="003740BF"/>
    <w:p w:rsidR="00FD1713" w:rsidRPr="00FD1713" w:rsidRDefault="00FD1713" w:rsidP="00FD1713">
      <w:pPr>
        <w:spacing w:after="120"/>
        <w:rPr>
          <w:b/>
        </w:rPr>
      </w:pPr>
      <w:r w:rsidRPr="00FD1713">
        <w:rPr>
          <w:b/>
        </w:rPr>
        <w:t>Appendix A – JSNA Topics currently being refreshed</w:t>
      </w:r>
    </w:p>
    <w:p w:rsidR="00BE15D6" w:rsidRDefault="00BE15D6" w:rsidP="003740BF">
      <w:pPr>
        <w:rPr>
          <w:b/>
        </w:rPr>
      </w:pPr>
    </w:p>
    <w:p w:rsidR="004344F5" w:rsidRDefault="004344F5">
      <w:pPr>
        <w:rPr>
          <w:b/>
        </w:rPr>
      </w:pPr>
      <w:r>
        <w:rPr>
          <w:b/>
        </w:rPr>
        <w:br w:type="page"/>
      </w:r>
    </w:p>
    <w:p w:rsidR="007A5128" w:rsidRPr="00FF702E" w:rsidRDefault="00FD1713" w:rsidP="003740BF">
      <w:pPr>
        <w:rPr>
          <w:b/>
        </w:rPr>
      </w:pPr>
      <w:r w:rsidRPr="00FD1713">
        <w:rPr>
          <w:b/>
        </w:rPr>
        <w:lastRenderedPageBreak/>
        <w:t>Appendix A</w:t>
      </w:r>
      <w:r w:rsidR="00BF50E8">
        <w:rPr>
          <w:b/>
        </w:rPr>
        <w:t>:</w:t>
      </w:r>
      <w:r w:rsidRPr="00FD1713">
        <w:rPr>
          <w:b/>
        </w:rPr>
        <w:t xml:space="preserve"> </w:t>
      </w:r>
      <w:r w:rsidRPr="00FF702E">
        <w:rPr>
          <w:b/>
        </w:rPr>
        <w:t>JSNA Topics currently being refreshed</w:t>
      </w:r>
      <w:r w:rsidR="00FF702E">
        <w:rPr>
          <w:b/>
        </w:rPr>
        <w:t xml:space="preserve"> 2015-2016</w:t>
      </w:r>
    </w:p>
    <w:p w:rsidR="00BF50E8" w:rsidRDefault="00BF50E8" w:rsidP="003740BF"/>
    <w:tbl>
      <w:tblPr>
        <w:tblW w:w="0" w:type="auto"/>
        <w:tblInd w:w="10" w:type="dxa"/>
        <w:tblLook w:val="04A0" w:firstRow="1" w:lastRow="0" w:firstColumn="1" w:lastColumn="0" w:noHBand="0" w:noVBand="1"/>
      </w:tblPr>
      <w:tblGrid>
        <w:gridCol w:w="5259"/>
        <w:gridCol w:w="1376"/>
        <w:gridCol w:w="3091"/>
      </w:tblGrid>
      <w:tr w:rsidR="00450A9B" w:rsidRPr="00CF78E1" w:rsidTr="00E64270">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b/>
                <w:bCs/>
                <w:color w:val="000000"/>
                <w:sz w:val="28"/>
                <w:szCs w:val="28"/>
              </w:rPr>
            </w:pPr>
            <w:r>
              <w:t xml:space="preserve"> </w:t>
            </w:r>
            <w:r w:rsidRPr="00CF78E1">
              <w:rPr>
                <w:rFonts w:cs="Arial"/>
                <w:b/>
                <w:bCs/>
                <w:color w:val="000000"/>
                <w:sz w:val="28"/>
                <w:szCs w:val="28"/>
              </w:rPr>
              <w:t>JSNA topic chapter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50A9B" w:rsidRPr="00CF78E1" w:rsidRDefault="00450A9B" w:rsidP="00E64270">
            <w:pPr>
              <w:rPr>
                <w:rFonts w:cs="Arial"/>
                <w:b/>
                <w:bCs/>
                <w:color w:val="000000"/>
                <w:sz w:val="28"/>
                <w:szCs w:val="28"/>
              </w:rPr>
            </w:pPr>
            <w:r w:rsidRPr="00CF78E1">
              <w:rPr>
                <w:rFonts w:cs="Arial"/>
                <w:b/>
                <w:bCs/>
                <w:color w:val="000000"/>
                <w:sz w:val="28"/>
                <w:szCs w:val="28"/>
              </w:rPr>
              <w:t>Due date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50A9B" w:rsidRPr="00CF78E1" w:rsidRDefault="00450A9B" w:rsidP="00E64270">
            <w:pPr>
              <w:jc w:val="center"/>
              <w:rPr>
                <w:rFonts w:cs="Arial"/>
                <w:b/>
                <w:bCs/>
                <w:color w:val="000000"/>
                <w:sz w:val="28"/>
                <w:szCs w:val="28"/>
              </w:rPr>
            </w:pPr>
            <w:r w:rsidRPr="00CF78E1">
              <w:rPr>
                <w:rFonts w:cs="Arial"/>
                <w:b/>
                <w:bCs/>
                <w:color w:val="000000"/>
                <w:sz w:val="28"/>
                <w:szCs w:val="28"/>
              </w:rPr>
              <w:t>Refresh stage</w:t>
            </w:r>
          </w:p>
        </w:tc>
      </w:tr>
      <w:tr w:rsidR="00450A9B" w:rsidRPr="00CF78E1" w:rsidTr="00E64270">
        <w:trPr>
          <w:trHeight w:val="340"/>
        </w:trPr>
        <w:tc>
          <w:tcPr>
            <w:tcW w:w="0" w:type="auto"/>
            <w:gridSpan w:val="3"/>
            <w:tcBorders>
              <w:top w:val="nil"/>
              <w:left w:val="single" w:sz="4" w:space="0" w:color="auto"/>
              <w:bottom w:val="single" w:sz="4" w:space="0" w:color="auto"/>
              <w:right w:val="single" w:sz="4" w:space="0" w:color="auto"/>
            </w:tcBorders>
            <w:shd w:val="clear" w:color="000000" w:fill="BFBFBF"/>
            <w:vAlign w:val="bottom"/>
          </w:tcPr>
          <w:p w:rsidR="00450A9B" w:rsidRPr="00CF78E1" w:rsidRDefault="00450A9B" w:rsidP="00E64270">
            <w:pPr>
              <w:jc w:val="center"/>
              <w:rPr>
                <w:rFonts w:cs="Arial"/>
                <w:b/>
                <w:bCs/>
                <w:color w:val="000000"/>
                <w:sz w:val="22"/>
                <w:szCs w:val="22"/>
              </w:rPr>
            </w:pPr>
            <w:r w:rsidRPr="00CF78E1">
              <w:rPr>
                <w:rFonts w:cs="Arial"/>
                <w:b/>
                <w:bCs/>
                <w:color w:val="000000"/>
                <w:sz w:val="22"/>
                <w:szCs w:val="22"/>
              </w:rPr>
              <w:t>Cross cutting topics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Diet and nutrition</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Dec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Completed, pending approval</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Obesity/Excess weight</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Dec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Completed, pending approval</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Physical activity</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Dec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Completed, pending approval</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Health care associated infections in community settings</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Dec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Completed, pending approval</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Exec summary</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Mar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CCG/district overview</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Mar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Substance misuse: alcohol and drugs</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Mar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i/>
                <w:iCs/>
                <w:color w:val="000000"/>
                <w:sz w:val="22"/>
                <w:szCs w:val="22"/>
              </w:rPr>
            </w:pPr>
            <w:r w:rsidRPr="00CF78E1">
              <w:rPr>
                <w:rFonts w:cs="Arial"/>
                <w:i/>
                <w:iCs/>
                <w:color w:val="000000"/>
                <w:sz w:val="22"/>
                <w:szCs w:val="22"/>
              </w:rPr>
              <w:t>The People of Nottinghamshire:</w:t>
            </w:r>
            <w:r w:rsidRPr="00CF78E1">
              <w:rPr>
                <w:rFonts w:cs="Arial"/>
                <w:i/>
                <w:iCs/>
                <w:color w:val="000000"/>
                <w:sz w:val="22"/>
                <w:szCs w:val="22"/>
              </w:rPr>
              <w:br/>
              <w:t>population, demography &amp; wider determinants</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i/>
                <w:iCs/>
                <w:color w:val="000000"/>
                <w:sz w:val="22"/>
                <w:szCs w:val="22"/>
              </w:rPr>
            </w:pPr>
            <w:r w:rsidRPr="00CF78E1">
              <w:rPr>
                <w:rFonts w:cs="Arial"/>
                <w:i/>
                <w:iCs/>
                <w:color w:val="000000"/>
                <w:sz w:val="22"/>
                <w:szCs w:val="22"/>
              </w:rPr>
              <w:t>Jul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i/>
                <w:iCs/>
                <w:color w:val="000000"/>
                <w:sz w:val="22"/>
                <w:szCs w:val="22"/>
              </w:rPr>
            </w:pPr>
            <w:r w:rsidRPr="00CF78E1">
              <w:rPr>
                <w:rFonts w:cs="Arial"/>
                <w:i/>
                <w:iCs/>
                <w:color w:val="000000"/>
                <w:sz w:val="22"/>
                <w:szCs w:val="22"/>
              </w:rPr>
              <w:t>Completed</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i/>
                <w:iCs/>
                <w:color w:val="000000"/>
                <w:sz w:val="22"/>
                <w:szCs w:val="22"/>
              </w:rPr>
            </w:pPr>
            <w:r w:rsidRPr="00CF78E1">
              <w:rPr>
                <w:rFonts w:cs="Arial"/>
                <w:i/>
                <w:iCs/>
                <w:color w:val="000000"/>
                <w:sz w:val="22"/>
                <w:szCs w:val="22"/>
              </w:rPr>
              <w:t>Housing and homelessness</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i/>
                <w:iCs/>
                <w:color w:val="000000"/>
                <w:sz w:val="22"/>
                <w:szCs w:val="22"/>
              </w:rPr>
            </w:pPr>
            <w:r w:rsidRPr="00CF78E1">
              <w:rPr>
                <w:rFonts w:cs="Arial"/>
                <w:i/>
                <w:iCs/>
                <w:color w:val="000000"/>
                <w:sz w:val="22"/>
                <w:szCs w:val="22"/>
              </w:rPr>
              <w:t>Jul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i/>
                <w:iCs/>
                <w:color w:val="000000"/>
                <w:sz w:val="22"/>
                <w:szCs w:val="22"/>
              </w:rPr>
            </w:pPr>
            <w:r w:rsidRPr="00CF78E1">
              <w:rPr>
                <w:rFonts w:cs="Arial"/>
                <w:i/>
                <w:iCs/>
                <w:color w:val="000000"/>
                <w:sz w:val="22"/>
                <w:szCs w:val="22"/>
              </w:rPr>
              <w:t>Completed</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i/>
                <w:iCs/>
                <w:sz w:val="22"/>
                <w:szCs w:val="22"/>
              </w:rPr>
            </w:pPr>
            <w:r w:rsidRPr="00CF78E1">
              <w:rPr>
                <w:rFonts w:cs="Arial"/>
                <w:i/>
                <w:iCs/>
                <w:sz w:val="22"/>
                <w:szCs w:val="22"/>
              </w:rPr>
              <w:t>Health Impacts of Air Quality</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i/>
                <w:iCs/>
                <w:color w:val="000000"/>
                <w:sz w:val="22"/>
                <w:szCs w:val="22"/>
              </w:rPr>
            </w:pPr>
            <w:r w:rsidRPr="00CF78E1">
              <w:rPr>
                <w:rFonts w:cs="Arial"/>
                <w:i/>
                <w:iCs/>
                <w:color w:val="000000"/>
                <w:sz w:val="22"/>
                <w:szCs w:val="22"/>
              </w:rPr>
              <w:t>Jul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i/>
                <w:iCs/>
                <w:color w:val="000000"/>
                <w:sz w:val="22"/>
                <w:szCs w:val="22"/>
              </w:rPr>
            </w:pPr>
            <w:r w:rsidRPr="00CF78E1">
              <w:rPr>
                <w:rFonts w:cs="Arial"/>
                <w:i/>
                <w:iCs/>
                <w:color w:val="000000"/>
                <w:sz w:val="22"/>
                <w:szCs w:val="22"/>
              </w:rPr>
              <w:t>Completed</w:t>
            </w:r>
          </w:p>
        </w:tc>
      </w:tr>
      <w:tr w:rsidR="00450A9B" w:rsidRPr="00CF78E1" w:rsidTr="00E64270">
        <w:trPr>
          <w:trHeight w:val="340"/>
        </w:trPr>
        <w:tc>
          <w:tcPr>
            <w:tcW w:w="10112" w:type="dxa"/>
            <w:gridSpan w:val="3"/>
            <w:tcBorders>
              <w:top w:val="nil"/>
              <w:left w:val="single" w:sz="4" w:space="0" w:color="auto"/>
              <w:bottom w:val="single" w:sz="4" w:space="0" w:color="auto"/>
              <w:right w:val="single" w:sz="4" w:space="0" w:color="auto"/>
            </w:tcBorders>
            <w:shd w:val="clear" w:color="auto" w:fill="auto"/>
            <w:vAlign w:val="bottom"/>
          </w:tcPr>
          <w:p w:rsidR="00450A9B" w:rsidRPr="00CF78E1" w:rsidRDefault="00450A9B" w:rsidP="00E64270">
            <w:pPr>
              <w:jc w:val="center"/>
              <w:rPr>
                <w:rFonts w:cs="Arial"/>
                <w:sz w:val="22"/>
                <w:szCs w:val="22"/>
              </w:rPr>
            </w:pPr>
            <w:r w:rsidRPr="00CF78E1">
              <w:rPr>
                <w:rFonts w:cs="Arial"/>
                <w:b/>
                <w:bCs/>
                <w:sz w:val="22"/>
                <w:szCs w:val="22"/>
              </w:rPr>
              <w:t>Children and Young People</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b/>
                <w:bCs/>
                <w:sz w:val="22"/>
                <w:szCs w:val="22"/>
              </w:rPr>
            </w:pPr>
            <w:r w:rsidRPr="00CF78E1">
              <w:rPr>
                <w:rFonts w:cs="Arial"/>
                <w:b/>
                <w:bCs/>
                <w:sz w:val="22"/>
                <w:szCs w:val="22"/>
              </w:rPr>
              <w:t>Transitions</w:t>
            </w:r>
            <w:r>
              <w:rPr>
                <w:rFonts w:cs="Arial"/>
                <w:b/>
                <w:bCs/>
                <w:sz w:val="22"/>
                <w:szCs w:val="22"/>
              </w:rPr>
              <w:t xml:space="preserve"> to Adulthood</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right"/>
              <w:rPr>
                <w:rFonts w:cs="Arial"/>
                <w:sz w:val="22"/>
                <w:szCs w:val="22"/>
              </w:rPr>
            </w:pPr>
            <w:r w:rsidRPr="00CF78E1">
              <w:rPr>
                <w:rFonts w:cs="Arial"/>
                <w:sz w:val="22"/>
                <w:szCs w:val="22"/>
              </w:rPr>
              <w:t>Dec 2015</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Completed, pending approval</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rsidR="00450A9B" w:rsidRPr="00CF78E1" w:rsidRDefault="00450A9B" w:rsidP="00E64270">
            <w:pPr>
              <w:rPr>
                <w:rFonts w:cs="Arial"/>
                <w:b/>
                <w:bCs/>
                <w:sz w:val="22"/>
                <w:szCs w:val="22"/>
              </w:rPr>
            </w:pPr>
            <w:r>
              <w:rPr>
                <w:rFonts w:cs="Arial"/>
                <w:b/>
                <w:bCs/>
                <w:sz w:val="22"/>
                <w:szCs w:val="22"/>
              </w:rPr>
              <w:t>Maternity and Early Years</w:t>
            </w:r>
          </w:p>
        </w:tc>
        <w:tc>
          <w:tcPr>
            <w:tcW w:w="0" w:type="auto"/>
            <w:tcBorders>
              <w:top w:val="nil"/>
              <w:left w:val="nil"/>
              <w:bottom w:val="single" w:sz="4" w:space="0" w:color="auto"/>
              <w:right w:val="single" w:sz="4" w:space="0" w:color="auto"/>
            </w:tcBorders>
            <w:shd w:val="clear" w:color="auto" w:fill="auto"/>
            <w:noWrap/>
            <w:vAlign w:val="bottom"/>
          </w:tcPr>
          <w:p w:rsidR="00450A9B" w:rsidRPr="00CF78E1" w:rsidRDefault="00450A9B" w:rsidP="00E64270">
            <w:pPr>
              <w:jc w:val="right"/>
              <w:rPr>
                <w:rFonts w:cs="Arial"/>
                <w:sz w:val="22"/>
                <w:szCs w:val="22"/>
              </w:rPr>
            </w:pPr>
            <w:r>
              <w:rPr>
                <w:rFonts w:cs="Arial"/>
                <w:sz w:val="22"/>
                <w:szCs w:val="22"/>
              </w:rPr>
              <w:t>Jan 2016</w:t>
            </w:r>
          </w:p>
        </w:tc>
        <w:tc>
          <w:tcPr>
            <w:tcW w:w="0" w:type="auto"/>
            <w:tcBorders>
              <w:top w:val="nil"/>
              <w:left w:val="nil"/>
              <w:bottom w:val="single" w:sz="4" w:space="0" w:color="auto"/>
              <w:right w:val="single" w:sz="4" w:space="0" w:color="auto"/>
            </w:tcBorders>
            <w:shd w:val="clear" w:color="auto" w:fill="auto"/>
            <w:noWrap/>
            <w:vAlign w:val="bottom"/>
          </w:tcPr>
          <w:p w:rsidR="00450A9B" w:rsidRPr="00CF78E1" w:rsidRDefault="00450A9B" w:rsidP="00E64270">
            <w:pPr>
              <w:jc w:val="center"/>
              <w:rPr>
                <w:rFonts w:cs="Arial"/>
                <w:color w:val="000000"/>
                <w:sz w:val="22"/>
                <w:szCs w:val="22"/>
              </w:rPr>
            </w:pPr>
            <w:r>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b/>
                <w:bCs/>
                <w:sz w:val="22"/>
                <w:szCs w:val="22"/>
              </w:rPr>
            </w:pPr>
            <w:r w:rsidRPr="00CF78E1">
              <w:rPr>
                <w:rFonts w:cs="Arial"/>
                <w:b/>
                <w:bCs/>
                <w:sz w:val="22"/>
                <w:szCs w:val="22"/>
              </w:rPr>
              <w:t>Child Poverty</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right"/>
              <w:rPr>
                <w:rFonts w:cs="Arial"/>
                <w:sz w:val="22"/>
                <w:szCs w:val="22"/>
              </w:rPr>
            </w:pPr>
            <w:r w:rsidRPr="00CF78E1">
              <w:rPr>
                <w:rFonts w:cs="Arial"/>
                <w:sz w:val="22"/>
                <w:szCs w:val="22"/>
              </w:rPr>
              <w:t>Jan 2016</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b/>
                <w:bCs/>
                <w:sz w:val="22"/>
                <w:szCs w:val="22"/>
              </w:rPr>
            </w:pPr>
            <w:r w:rsidRPr="00CF78E1">
              <w:rPr>
                <w:rFonts w:cs="Arial"/>
                <w:b/>
                <w:bCs/>
                <w:sz w:val="22"/>
                <w:szCs w:val="22"/>
              </w:rPr>
              <w:t>Disability</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right"/>
              <w:rPr>
                <w:rFonts w:cs="Arial"/>
                <w:sz w:val="22"/>
                <w:szCs w:val="22"/>
              </w:rPr>
            </w:pPr>
            <w:r w:rsidRPr="00CF78E1">
              <w:rPr>
                <w:rFonts w:cs="Arial"/>
                <w:sz w:val="22"/>
                <w:szCs w:val="22"/>
              </w:rPr>
              <w:t>Apr 2016</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b/>
                <w:bCs/>
                <w:sz w:val="22"/>
                <w:szCs w:val="22"/>
              </w:rPr>
            </w:pPr>
            <w:r w:rsidRPr="00CF78E1">
              <w:rPr>
                <w:rFonts w:cs="Arial"/>
                <w:b/>
                <w:bCs/>
                <w:sz w:val="22"/>
                <w:szCs w:val="22"/>
              </w:rPr>
              <w:t>Looked after Children and care leavers</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right"/>
              <w:rPr>
                <w:rFonts w:cs="Arial"/>
                <w:sz w:val="22"/>
                <w:szCs w:val="22"/>
              </w:rPr>
            </w:pPr>
            <w:r w:rsidRPr="00CF78E1">
              <w:rPr>
                <w:rFonts w:cs="Arial"/>
                <w:sz w:val="22"/>
                <w:szCs w:val="22"/>
              </w:rPr>
              <w:t>Apr 2016</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b/>
                <w:bCs/>
                <w:sz w:val="22"/>
                <w:szCs w:val="22"/>
              </w:rPr>
            </w:pPr>
            <w:r w:rsidRPr="00CF78E1">
              <w:rPr>
                <w:rFonts w:cs="Arial"/>
                <w:b/>
                <w:bCs/>
                <w:sz w:val="22"/>
                <w:szCs w:val="22"/>
              </w:rPr>
              <w:t>Avoidable injuries</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right"/>
              <w:rPr>
                <w:rFonts w:cs="Arial"/>
                <w:sz w:val="22"/>
                <w:szCs w:val="22"/>
              </w:rPr>
            </w:pPr>
            <w:r w:rsidRPr="00CF78E1">
              <w:rPr>
                <w:rFonts w:cs="Arial"/>
                <w:sz w:val="22"/>
                <w:szCs w:val="22"/>
              </w:rPr>
              <w:t>Apr 2016</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gridSpan w:val="3"/>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jc w:val="center"/>
              <w:rPr>
                <w:rFonts w:cs="Arial"/>
                <w:b/>
                <w:bCs/>
                <w:sz w:val="22"/>
                <w:szCs w:val="22"/>
              </w:rPr>
            </w:pPr>
            <w:r w:rsidRPr="00CF78E1">
              <w:rPr>
                <w:rFonts w:cs="Arial"/>
                <w:b/>
                <w:bCs/>
                <w:sz w:val="22"/>
                <w:szCs w:val="22"/>
              </w:rPr>
              <w:t>Adults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sz w:val="22"/>
                <w:szCs w:val="22"/>
              </w:rPr>
            </w:pPr>
            <w:r w:rsidRPr="00CF78E1">
              <w:rPr>
                <w:rFonts w:cs="Arial"/>
                <w:sz w:val="22"/>
                <w:szCs w:val="22"/>
              </w:rPr>
              <w:t>Suicide prevention</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sz w:val="22"/>
                <w:szCs w:val="22"/>
              </w:rPr>
            </w:pPr>
            <w:r w:rsidRPr="00CF78E1">
              <w:rPr>
                <w:rFonts w:cs="Arial"/>
                <w:sz w:val="22"/>
                <w:szCs w:val="22"/>
              </w:rPr>
              <w:t>Adult &amp; older people's mental health and wellbeing</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sz w:val="22"/>
                <w:szCs w:val="22"/>
              </w:rPr>
            </w:pPr>
            <w:r w:rsidRPr="00CF78E1">
              <w:rPr>
                <w:rFonts w:cs="Arial"/>
                <w:sz w:val="22"/>
                <w:szCs w:val="22"/>
              </w:rPr>
              <w:t>Disability: autism</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Physical disability &amp; sensory impairments</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sz w:val="22"/>
                <w:szCs w:val="22"/>
              </w:rPr>
            </w:pPr>
            <w:r w:rsidRPr="00CF78E1">
              <w:rPr>
                <w:rFonts w:cs="Arial"/>
                <w:sz w:val="22"/>
                <w:szCs w:val="22"/>
              </w:rPr>
              <w:t>LTNC</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sz w:val="22"/>
                <w:szCs w:val="22"/>
              </w:rPr>
            </w:pPr>
            <w:r w:rsidRPr="00CF78E1">
              <w:rPr>
                <w:rFonts w:cs="Arial"/>
                <w:sz w:val="22"/>
                <w:szCs w:val="22"/>
              </w:rPr>
              <w:t>Cancer</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sz w:val="22"/>
                <w:szCs w:val="22"/>
              </w:rPr>
            </w:pPr>
            <w:r w:rsidRPr="00CF78E1">
              <w:rPr>
                <w:rFonts w:cs="Arial"/>
                <w:sz w:val="22"/>
                <w:szCs w:val="22"/>
              </w:rPr>
              <w:t>Stroke</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color w:val="000000"/>
                <w:sz w:val="22"/>
                <w:szCs w:val="22"/>
              </w:rPr>
            </w:pPr>
            <w:r w:rsidRPr="00CF78E1">
              <w:rPr>
                <w:rFonts w:cs="Arial"/>
                <w:color w:val="000000"/>
                <w:sz w:val="22"/>
                <w:szCs w:val="22"/>
              </w:rPr>
              <w:t>Gypsies and travellers</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Mar 2016</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000000" w:fill="BFBFBF"/>
            <w:vAlign w:val="bottom"/>
            <w:hideMark/>
          </w:tcPr>
          <w:p w:rsidR="00450A9B" w:rsidRPr="00CF78E1" w:rsidRDefault="00450A9B" w:rsidP="00E64270">
            <w:pPr>
              <w:rPr>
                <w:rFonts w:cs="Arial"/>
                <w:i/>
                <w:iCs/>
                <w:color w:val="000000"/>
                <w:sz w:val="22"/>
                <w:szCs w:val="22"/>
              </w:rPr>
            </w:pPr>
            <w:r w:rsidRPr="00CF78E1">
              <w:rPr>
                <w:rFonts w:cs="Arial"/>
                <w:i/>
                <w:iCs/>
                <w:color w:val="000000"/>
                <w:sz w:val="22"/>
                <w:szCs w:val="22"/>
              </w:rPr>
              <w:t>Sexual health</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right"/>
              <w:rPr>
                <w:rFonts w:cs="Arial"/>
                <w:i/>
                <w:iCs/>
                <w:color w:val="000000"/>
                <w:sz w:val="22"/>
                <w:szCs w:val="22"/>
              </w:rPr>
            </w:pPr>
            <w:r w:rsidRPr="00CF78E1">
              <w:rPr>
                <w:rFonts w:cs="Arial"/>
                <w:i/>
                <w:iCs/>
                <w:color w:val="000000"/>
                <w:sz w:val="22"/>
                <w:szCs w:val="22"/>
              </w:rPr>
              <w:t>Jul 2015</w:t>
            </w:r>
          </w:p>
        </w:tc>
        <w:tc>
          <w:tcPr>
            <w:tcW w:w="0" w:type="auto"/>
            <w:tcBorders>
              <w:top w:val="nil"/>
              <w:left w:val="nil"/>
              <w:bottom w:val="single" w:sz="4" w:space="0" w:color="auto"/>
              <w:right w:val="single" w:sz="4" w:space="0" w:color="auto"/>
            </w:tcBorders>
            <w:shd w:val="clear" w:color="000000" w:fill="BFBFBF"/>
            <w:noWrap/>
            <w:vAlign w:val="bottom"/>
            <w:hideMark/>
          </w:tcPr>
          <w:p w:rsidR="00450A9B" w:rsidRPr="00CF78E1" w:rsidRDefault="00450A9B" w:rsidP="00E64270">
            <w:pPr>
              <w:jc w:val="center"/>
              <w:rPr>
                <w:rFonts w:cs="Arial"/>
                <w:i/>
                <w:iCs/>
                <w:color w:val="000000"/>
                <w:sz w:val="22"/>
                <w:szCs w:val="22"/>
              </w:rPr>
            </w:pPr>
            <w:r w:rsidRPr="00CF78E1">
              <w:rPr>
                <w:rFonts w:cs="Arial"/>
                <w:i/>
                <w:iCs/>
                <w:color w:val="000000"/>
                <w:sz w:val="22"/>
                <w:szCs w:val="22"/>
              </w:rPr>
              <w:t>Completed</w:t>
            </w:r>
          </w:p>
        </w:tc>
      </w:tr>
      <w:tr w:rsidR="00450A9B" w:rsidRPr="00CF78E1" w:rsidTr="00E64270">
        <w:trPr>
          <w:trHeight w:val="340"/>
        </w:trPr>
        <w:tc>
          <w:tcPr>
            <w:tcW w:w="0" w:type="auto"/>
            <w:gridSpan w:val="3"/>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jc w:val="center"/>
              <w:rPr>
                <w:rFonts w:cs="Arial"/>
                <w:color w:val="000000"/>
                <w:sz w:val="22"/>
                <w:szCs w:val="22"/>
              </w:rPr>
            </w:pPr>
            <w:r w:rsidRPr="00CF78E1">
              <w:rPr>
                <w:rFonts w:cs="Arial"/>
                <w:b/>
                <w:bCs/>
                <w:color w:val="000000"/>
                <w:sz w:val="22"/>
                <w:szCs w:val="22"/>
              </w:rPr>
              <w:t>Older people</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color w:val="000000"/>
                <w:sz w:val="22"/>
                <w:szCs w:val="22"/>
              </w:rPr>
            </w:pPr>
            <w:r w:rsidRPr="00CF78E1">
              <w:rPr>
                <w:rFonts w:cs="Arial"/>
                <w:color w:val="000000"/>
                <w:sz w:val="22"/>
                <w:szCs w:val="22"/>
              </w:rPr>
              <w:t>Loneliness</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right"/>
              <w:rPr>
                <w:rFonts w:cs="Arial"/>
                <w:color w:val="000000"/>
                <w:sz w:val="22"/>
                <w:szCs w:val="22"/>
              </w:rPr>
            </w:pPr>
            <w:r w:rsidRPr="00CF78E1">
              <w:rPr>
                <w:rFonts w:cs="Arial"/>
                <w:color w:val="000000"/>
                <w:sz w:val="22"/>
                <w:szCs w:val="22"/>
              </w:rPr>
              <w:t>Jan 2016</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center"/>
              <w:rPr>
                <w:rFonts w:cs="Arial"/>
                <w:color w:val="000000"/>
                <w:sz w:val="22"/>
                <w:szCs w:val="22"/>
              </w:rPr>
            </w:pPr>
            <w:r w:rsidRPr="00CF78E1">
              <w:rPr>
                <w:rFonts w:cs="Arial"/>
                <w:color w:val="000000"/>
                <w:sz w:val="22"/>
                <w:szCs w:val="22"/>
              </w:rPr>
              <w:t>In progress</w:t>
            </w:r>
          </w:p>
        </w:tc>
      </w:tr>
      <w:tr w:rsidR="00450A9B" w:rsidRPr="00CF78E1" w:rsidTr="00E64270">
        <w:trPr>
          <w:trHeight w:val="3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50A9B" w:rsidRPr="00CF78E1" w:rsidRDefault="00450A9B" w:rsidP="00E64270">
            <w:pPr>
              <w:rPr>
                <w:rFonts w:cs="Arial"/>
                <w:i/>
                <w:iCs/>
                <w:color w:val="000000"/>
                <w:sz w:val="22"/>
                <w:szCs w:val="22"/>
              </w:rPr>
            </w:pPr>
            <w:r w:rsidRPr="00CF78E1">
              <w:rPr>
                <w:rFonts w:cs="Arial"/>
                <w:i/>
                <w:iCs/>
                <w:color w:val="000000"/>
                <w:sz w:val="22"/>
                <w:szCs w:val="22"/>
              </w:rPr>
              <w:t>Mobility and falls (</w:t>
            </w:r>
            <w:proofErr w:type="spellStart"/>
            <w:r w:rsidRPr="00CF78E1">
              <w:rPr>
                <w:rFonts w:cs="Arial"/>
                <w:i/>
                <w:iCs/>
                <w:color w:val="000000"/>
                <w:sz w:val="22"/>
                <w:szCs w:val="22"/>
              </w:rPr>
              <w:t>incl</w:t>
            </w:r>
            <w:proofErr w:type="spellEnd"/>
            <w:r w:rsidRPr="00CF78E1">
              <w:rPr>
                <w:rFonts w:cs="Arial"/>
                <w:i/>
                <w:iCs/>
                <w:color w:val="000000"/>
                <w:sz w:val="22"/>
                <w:szCs w:val="22"/>
              </w:rPr>
              <w:t xml:space="preserve"> Physical activity)</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right"/>
              <w:rPr>
                <w:rFonts w:cs="Arial"/>
                <w:i/>
                <w:iCs/>
                <w:color w:val="000000"/>
                <w:sz w:val="22"/>
                <w:szCs w:val="22"/>
              </w:rPr>
            </w:pPr>
            <w:r w:rsidRPr="00CF78E1">
              <w:rPr>
                <w:rFonts w:cs="Arial"/>
                <w:i/>
                <w:iCs/>
                <w:color w:val="000000"/>
                <w:sz w:val="22"/>
                <w:szCs w:val="22"/>
              </w:rPr>
              <w:t>Jul 2015</w:t>
            </w:r>
          </w:p>
        </w:tc>
        <w:tc>
          <w:tcPr>
            <w:tcW w:w="0" w:type="auto"/>
            <w:tcBorders>
              <w:top w:val="nil"/>
              <w:left w:val="nil"/>
              <w:bottom w:val="single" w:sz="4" w:space="0" w:color="auto"/>
              <w:right w:val="single" w:sz="4" w:space="0" w:color="auto"/>
            </w:tcBorders>
            <w:shd w:val="clear" w:color="auto" w:fill="auto"/>
            <w:noWrap/>
            <w:vAlign w:val="bottom"/>
            <w:hideMark/>
          </w:tcPr>
          <w:p w:rsidR="00450A9B" w:rsidRPr="00CF78E1" w:rsidRDefault="00450A9B" w:rsidP="00E64270">
            <w:pPr>
              <w:jc w:val="center"/>
              <w:rPr>
                <w:rFonts w:cs="Arial"/>
                <w:i/>
                <w:iCs/>
                <w:color w:val="000000"/>
                <w:sz w:val="22"/>
                <w:szCs w:val="22"/>
              </w:rPr>
            </w:pPr>
            <w:r w:rsidRPr="00CF78E1">
              <w:rPr>
                <w:rFonts w:cs="Arial"/>
                <w:i/>
                <w:iCs/>
                <w:color w:val="000000"/>
                <w:sz w:val="22"/>
                <w:szCs w:val="22"/>
              </w:rPr>
              <w:t>Completed</w:t>
            </w:r>
          </w:p>
        </w:tc>
      </w:tr>
    </w:tbl>
    <w:p w:rsidR="00DA58EE" w:rsidRDefault="00DA58EE" w:rsidP="004344F5"/>
    <w:sectPr w:rsidR="00DA58EE" w:rsidSect="00BE15D6">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42" w:rsidRDefault="00D70B42">
      <w:r>
        <w:separator/>
      </w:r>
    </w:p>
  </w:endnote>
  <w:endnote w:type="continuationSeparator" w:id="0">
    <w:p w:rsidR="00D70B42" w:rsidRDefault="00D7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F5" w:rsidRDefault="004344F5" w:rsidP="007A5128">
    <w:pPr>
      <w:pStyle w:val="Footer"/>
      <w:pBdr>
        <w:top w:val="single" w:sz="4" w:space="1" w:color="D9D9D9"/>
      </w:pBdr>
      <w:jc w:val="right"/>
    </w:pPr>
    <w:r>
      <w:fldChar w:fldCharType="begin"/>
    </w:r>
    <w:r>
      <w:instrText xml:space="preserve"> PAGE   \* MERGEFORMAT </w:instrText>
    </w:r>
    <w:r>
      <w:fldChar w:fldCharType="separate"/>
    </w:r>
    <w:r w:rsidR="00CF3A68">
      <w:rPr>
        <w:noProof/>
      </w:rPr>
      <w:t>4</w:t>
    </w:r>
    <w:r>
      <w:rPr>
        <w:noProof/>
      </w:rPr>
      <w:fldChar w:fldCharType="end"/>
    </w:r>
    <w:r>
      <w:t xml:space="preserve"> | </w:t>
    </w:r>
    <w:r w:rsidRPr="007A5128">
      <w:rPr>
        <w:color w:val="808080"/>
        <w:spacing w:val="60"/>
      </w:rPr>
      <w:t>Page</w:t>
    </w:r>
  </w:p>
  <w:p w:rsidR="004344F5" w:rsidRDefault="00434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42" w:rsidRDefault="00D70B42">
      <w:r>
        <w:separator/>
      </w:r>
    </w:p>
  </w:footnote>
  <w:footnote w:type="continuationSeparator" w:id="0">
    <w:p w:rsidR="00D70B42" w:rsidRDefault="00D7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0CB"/>
    <w:multiLevelType w:val="hybridMultilevel"/>
    <w:tmpl w:val="9BC44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109E6"/>
    <w:multiLevelType w:val="hybridMultilevel"/>
    <w:tmpl w:val="E95AB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70E25"/>
    <w:multiLevelType w:val="hybridMultilevel"/>
    <w:tmpl w:val="A296B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B4665"/>
    <w:multiLevelType w:val="hybridMultilevel"/>
    <w:tmpl w:val="A470FF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E1C2C"/>
    <w:multiLevelType w:val="multilevel"/>
    <w:tmpl w:val="F42CF926"/>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512"/>
        </w:tabs>
        <w:ind w:left="1512" w:hanging="432"/>
      </w:pPr>
      <w:rPr>
        <w:rFonts w:hint="default"/>
      </w:rPr>
    </w:lvl>
    <w:lvl w:ilvl="2">
      <w:start w:val="1"/>
      <w:numFmt w:val="lowerRoman"/>
      <w:lvlText w:val="%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28A74303"/>
    <w:multiLevelType w:val="hybridMultilevel"/>
    <w:tmpl w:val="0F743A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D6351"/>
    <w:multiLevelType w:val="hybridMultilevel"/>
    <w:tmpl w:val="6A165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3C2CC3"/>
    <w:multiLevelType w:val="multilevel"/>
    <w:tmpl w:val="F42CF926"/>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512"/>
        </w:tabs>
        <w:ind w:left="1512" w:hanging="432"/>
      </w:pPr>
      <w:rPr>
        <w:rFonts w:hint="default"/>
      </w:rPr>
    </w:lvl>
    <w:lvl w:ilvl="2">
      <w:start w:val="1"/>
      <w:numFmt w:val="lowerRoman"/>
      <w:lvlText w:val="%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8" w15:restartNumberingAfterBreak="0">
    <w:nsid w:val="2D3B762C"/>
    <w:multiLevelType w:val="multilevel"/>
    <w:tmpl w:val="733ADCFE"/>
    <w:lvl w:ilvl="0">
      <w:start w:val="1"/>
      <w:numFmt w:val="bullet"/>
      <w:lvlText w:val=""/>
      <w:lvlJc w:val="left"/>
      <w:pPr>
        <w:tabs>
          <w:tab w:val="num" w:pos="1080"/>
        </w:tabs>
        <w:ind w:left="1080" w:hanging="360"/>
      </w:pPr>
      <w:rPr>
        <w:rFonts w:ascii="Symbol" w:hAnsi="Symbol" w:hint="default"/>
        <w:sz w:val="24"/>
      </w:rPr>
    </w:lvl>
    <w:lvl w:ilvl="1">
      <w:start w:val="1"/>
      <w:numFmt w:val="bullet"/>
      <w:lvlText w:val=""/>
      <w:lvlJc w:val="left"/>
      <w:pPr>
        <w:tabs>
          <w:tab w:val="num" w:pos="1512"/>
        </w:tabs>
        <w:ind w:left="1512" w:hanging="432"/>
      </w:pPr>
      <w:rPr>
        <w:rFonts w:ascii="Symbol" w:hAnsi="Symbol" w:hint="default"/>
      </w:rPr>
    </w:lvl>
    <w:lvl w:ilvl="2">
      <w:start w:val="1"/>
      <w:numFmt w:val="lowerRoman"/>
      <w:lvlText w:val="%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9" w15:restartNumberingAfterBreak="0">
    <w:nsid w:val="2F3A00C2"/>
    <w:multiLevelType w:val="hybridMultilevel"/>
    <w:tmpl w:val="019C2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61135"/>
    <w:multiLevelType w:val="multilevel"/>
    <w:tmpl w:val="F42CF926"/>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tabs>
          <w:tab w:val="num" w:pos="1152"/>
        </w:tabs>
        <w:ind w:left="1152" w:hanging="432"/>
      </w:pPr>
      <w:rPr>
        <w:rFonts w:hint="default"/>
      </w:rPr>
    </w:lvl>
    <w:lvl w:ilvl="2">
      <w:start w:val="1"/>
      <w:numFmt w:val="lowerRoman"/>
      <w:lvlText w:val="%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 w15:restartNumberingAfterBreak="0">
    <w:nsid w:val="407045DE"/>
    <w:multiLevelType w:val="hybridMultilevel"/>
    <w:tmpl w:val="1F68445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065A57"/>
    <w:multiLevelType w:val="hybridMultilevel"/>
    <w:tmpl w:val="BF965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413AC5"/>
    <w:multiLevelType w:val="multilevel"/>
    <w:tmpl w:val="F42CF926"/>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512"/>
        </w:tabs>
        <w:ind w:left="1512" w:hanging="432"/>
      </w:pPr>
      <w:rPr>
        <w:rFonts w:hint="default"/>
      </w:rPr>
    </w:lvl>
    <w:lvl w:ilvl="2">
      <w:start w:val="1"/>
      <w:numFmt w:val="lowerRoman"/>
      <w:lvlText w:val="%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4"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A0C221A"/>
    <w:multiLevelType w:val="multilevel"/>
    <w:tmpl w:val="9FA64EE6"/>
    <w:numStyleLink w:val="NumberedList"/>
  </w:abstractNum>
  <w:abstractNum w:abstractNumId="16" w15:restartNumberingAfterBreak="0">
    <w:nsid w:val="6B8A52C8"/>
    <w:multiLevelType w:val="multilevel"/>
    <w:tmpl w:val="F42CF926"/>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tabs>
          <w:tab w:val="num" w:pos="1152"/>
        </w:tabs>
        <w:ind w:left="1152" w:hanging="432"/>
      </w:pPr>
      <w:rPr>
        <w:rFonts w:hint="default"/>
      </w:rPr>
    </w:lvl>
    <w:lvl w:ilvl="2">
      <w:start w:val="1"/>
      <w:numFmt w:val="lowerRoman"/>
      <w:lvlText w:val="%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7" w15:restartNumberingAfterBreak="0">
    <w:nsid w:val="6FC229A0"/>
    <w:multiLevelType w:val="multilevel"/>
    <w:tmpl w:val="F42CF926"/>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tabs>
          <w:tab w:val="num" w:pos="1152"/>
        </w:tabs>
        <w:ind w:left="1152" w:hanging="432"/>
      </w:pPr>
      <w:rPr>
        <w:rFonts w:hint="default"/>
      </w:rPr>
    </w:lvl>
    <w:lvl w:ilvl="2">
      <w:start w:val="1"/>
      <w:numFmt w:val="lowerRoman"/>
      <w:lvlText w:val="%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8" w15:restartNumberingAfterBreak="0">
    <w:nsid w:val="72D1074F"/>
    <w:multiLevelType w:val="multilevel"/>
    <w:tmpl w:val="9FA64EE6"/>
    <w:numStyleLink w:val="NumberedList"/>
  </w:abstractNum>
  <w:abstractNum w:abstractNumId="19" w15:restartNumberingAfterBreak="0">
    <w:nsid w:val="782579EF"/>
    <w:multiLevelType w:val="singleLevel"/>
    <w:tmpl w:val="7B145568"/>
    <w:lvl w:ilvl="0">
      <w:start w:val="1"/>
      <w:numFmt w:val="decimal"/>
      <w:lvlText w:val="%1."/>
      <w:lvlJc w:val="left"/>
      <w:pPr>
        <w:tabs>
          <w:tab w:val="num" w:pos="792"/>
        </w:tabs>
        <w:ind w:left="792" w:hanging="432"/>
      </w:pPr>
      <w:rPr>
        <w:rFonts w:hint="default"/>
        <w:b w:val="0"/>
      </w:rPr>
    </w:lvl>
  </w:abstractNum>
  <w:abstractNum w:abstractNumId="20" w15:restartNumberingAfterBreak="0">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4"/>
  </w:num>
  <w:num w:numId="3">
    <w:abstractNumId w:val="14"/>
  </w:num>
  <w:num w:numId="4">
    <w:abstractNumId w:val="20"/>
  </w:num>
  <w:num w:numId="5">
    <w:abstractNumId w:val="19"/>
  </w:num>
  <w:num w:numId="6">
    <w:abstractNumId w:val="7"/>
  </w:num>
  <w:num w:numId="7">
    <w:abstractNumId w:val="6"/>
  </w:num>
  <w:num w:numId="8">
    <w:abstractNumId w:val="12"/>
  </w:num>
  <w:num w:numId="9">
    <w:abstractNumId w:val="11"/>
  </w:num>
  <w:num w:numId="10">
    <w:abstractNumId w:val="2"/>
  </w:num>
  <w:num w:numId="11">
    <w:abstractNumId w:val="4"/>
  </w:num>
  <w:num w:numId="12">
    <w:abstractNumId w:val="13"/>
  </w:num>
  <w:num w:numId="13">
    <w:abstractNumId w:val="1"/>
  </w:num>
  <w:num w:numId="14">
    <w:abstractNumId w:val="5"/>
  </w:num>
  <w:num w:numId="15">
    <w:abstractNumId w:val="10"/>
  </w:num>
  <w:num w:numId="16">
    <w:abstractNumId w:val="17"/>
  </w:num>
  <w:num w:numId="17">
    <w:abstractNumId w:val="16"/>
  </w:num>
  <w:num w:numId="18">
    <w:abstractNumId w:val="8"/>
  </w:num>
  <w:num w:numId="19">
    <w:abstractNumId w:val="3"/>
  </w:num>
  <w:num w:numId="20">
    <w:abstractNumId w:val="18"/>
  </w:num>
  <w:num w:numId="21">
    <w:abstractNumId w:val="9"/>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E0"/>
    <w:rsid w:val="000505DB"/>
    <w:rsid w:val="000B5275"/>
    <w:rsid w:val="000B56FF"/>
    <w:rsid w:val="00157C5E"/>
    <w:rsid w:val="00197694"/>
    <w:rsid w:val="001C0BA7"/>
    <w:rsid w:val="001E2222"/>
    <w:rsid w:val="0022681C"/>
    <w:rsid w:val="00347E68"/>
    <w:rsid w:val="003740BF"/>
    <w:rsid w:val="00374A11"/>
    <w:rsid w:val="00385799"/>
    <w:rsid w:val="003F67F3"/>
    <w:rsid w:val="00402AE0"/>
    <w:rsid w:val="004344F5"/>
    <w:rsid w:val="00450A9B"/>
    <w:rsid w:val="004A2565"/>
    <w:rsid w:val="005452FD"/>
    <w:rsid w:val="005C24F3"/>
    <w:rsid w:val="005C5620"/>
    <w:rsid w:val="00633447"/>
    <w:rsid w:val="00687DC1"/>
    <w:rsid w:val="00696766"/>
    <w:rsid w:val="007102DD"/>
    <w:rsid w:val="007431F8"/>
    <w:rsid w:val="00791D0A"/>
    <w:rsid w:val="007A5128"/>
    <w:rsid w:val="007C7C26"/>
    <w:rsid w:val="008D3A48"/>
    <w:rsid w:val="00905A05"/>
    <w:rsid w:val="00967894"/>
    <w:rsid w:val="0098601C"/>
    <w:rsid w:val="009E787C"/>
    <w:rsid w:val="009F4C95"/>
    <w:rsid w:val="00A74CD0"/>
    <w:rsid w:val="00AB041A"/>
    <w:rsid w:val="00B051FF"/>
    <w:rsid w:val="00B16A20"/>
    <w:rsid w:val="00BA1A6E"/>
    <w:rsid w:val="00BE15D6"/>
    <w:rsid w:val="00BF50E8"/>
    <w:rsid w:val="00C14BA7"/>
    <w:rsid w:val="00C86775"/>
    <w:rsid w:val="00CA078B"/>
    <w:rsid w:val="00CF3A68"/>
    <w:rsid w:val="00D40290"/>
    <w:rsid w:val="00D70B42"/>
    <w:rsid w:val="00D721E1"/>
    <w:rsid w:val="00D85157"/>
    <w:rsid w:val="00D92033"/>
    <w:rsid w:val="00DA58EE"/>
    <w:rsid w:val="00E66DB6"/>
    <w:rsid w:val="00E776B4"/>
    <w:rsid w:val="00F365CD"/>
    <w:rsid w:val="00F75349"/>
    <w:rsid w:val="00FD1713"/>
    <w:rsid w:val="00FF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B4F9F848-DC84-4A18-B01F-4D3BA0E7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paragraph" w:customStyle="1" w:styleId="CharChar1Char">
    <w:name w:val="Char Char1 Char"/>
    <w:basedOn w:val="Normal"/>
    <w:rsid w:val="003740BF"/>
    <w:pPr>
      <w:keepLines/>
      <w:spacing w:after="300" w:line="240" w:lineRule="atLeast"/>
    </w:pPr>
    <w:rPr>
      <w:szCs w:val="24"/>
      <w:lang w:val="en-US" w:eastAsia="en-US"/>
    </w:rPr>
  </w:style>
  <w:style w:type="paragraph" w:customStyle="1" w:styleId="ReportTitle">
    <w:name w:val="Report Title"/>
    <w:basedOn w:val="Normal"/>
    <w:rsid w:val="003740BF"/>
    <w:pPr>
      <w:jc w:val="both"/>
    </w:pPr>
    <w:rPr>
      <w:rFonts w:cs="Arial"/>
      <w:b/>
      <w:bCs/>
      <w:caps/>
      <w:color w:val="000000"/>
      <w:sz w:val="28"/>
      <w:szCs w:val="28"/>
    </w:rPr>
  </w:style>
  <w:style w:type="paragraph" w:customStyle="1" w:styleId="HiddenText">
    <w:name w:val="Hidden Text"/>
    <w:basedOn w:val="Normal"/>
    <w:next w:val="Normal"/>
    <w:rsid w:val="003740BF"/>
    <w:pPr>
      <w:jc w:val="both"/>
    </w:pPr>
    <w:rPr>
      <w:vanish/>
      <w:color w:val="339966"/>
      <w:szCs w:val="24"/>
      <w:u w:val="dotted"/>
    </w:rPr>
  </w:style>
  <w:style w:type="paragraph" w:customStyle="1" w:styleId="TableFieldsBig">
    <w:name w:val="Table Fields Big"/>
    <w:basedOn w:val="Normal"/>
    <w:rsid w:val="003740BF"/>
    <w:pPr>
      <w:jc w:val="right"/>
    </w:pPr>
    <w:rPr>
      <w:b/>
      <w:sz w:val="28"/>
      <w:szCs w:val="24"/>
    </w:rPr>
  </w:style>
  <w:style w:type="paragraph" w:customStyle="1" w:styleId="TableFieldsSmall">
    <w:name w:val="Table Fields Small"/>
    <w:basedOn w:val="Normal"/>
    <w:next w:val="Normal"/>
    <w:rsid w:val="003740BF"/>
    <w:pPr>
      <w:jc w:val="right"/>
    </w:pPr>
    <w:rPr>
      <w:b/>
      <w:szCs w:val="24"/>
    </w:rPr>
  </w:style>
  <w:style w:type="paragraph" w:customStyle="1" w:styleId="SectionSub-heading">
    <w:name w:val="Section Sub-heading"/>
    <w:basedOn w:val="SectionHeadings"/>
    <w:next w:val="Normal"/>
    <w:rsid w:val="003740BF"/>
    <w:rPr>
      <w:sz w:val="24"/>
    </w:rPr>
  </w:style>
  <w:style w:type="paragraph" w:customStyle="1" w:styleId="SectionHeadings">
    <w:name w:val="Section Headings"/>
    <w:basedOn w:val="Normal"/>
    <w:next w:val="Normal"/>
    <w:rsid w:val="003740BF"/>
    <w:pPr>
      <w:jc w:val="both"/>
    </w:pPr>
    <w:rPr>
      <w:rFonts w:cs="Arial"/>
      <w:b/>
      <w:sz w:val="28"/>
      <w:szCs w:val="24"/>
    </w:rPr>
  </w:style>
  <w:style w:type="numbering" w:customStyle="1" w:styleId="NumberedList">
    <w:name w:val="Numbered List"/>
    <w:basedOn w:val="NoList"/>
    <w:rsid w:val="003740BF"/>
    <w:pPr>
      <w:numPr>
        <w:numId w:val="4"/>
      </w:numPr>
    </w:pPr>
  </w:style>
  <w:style w:type="paragraph" w:customStyle="1" w:styleId="Fields">
    <w:name w:val="Fields"/>
    <w:basedOn w:val="Normal"/>
    <w:rsid w:val="003740BF"/>
    <w:pPr>
      <w:ind w:left="720" w:hanging="720"/>
      <w:jc w:val="both"/>
    </w:pPr>
    <w:rPr>
      <w:rFonts w:cs="Arial"/>
      <w:b/>
      <w:szCs w:val="24"/>
    </w:rPr>
  </w:style>
  <w:style w:type="paragraph" w:styleId="Header">
    <w:name w:val="header"/>
    <w:basedOn w:val="Normal"/>
    <w:rsid w:val="003740BF"/>
    <w:pPr>
      <w:tabs>
        <w:tab w:val="center" w:pos="4153"/>
        <w:tab w:val="right" w:pos="8306"/>
      </w:tabs>
    </w:pPr>
  </w:style>
  <w:style w:type="paragraph" w:styleId="Footer">
    <w:name w:val="footer"/>
    <w:basedOn w:val="Normal"/>
    <w:link w:val="FooterChar"/>
    <w:uiPriority w:val="99"/>
    <w:rsid w:val="003740BF"/>
    <w:pPr>
      <w:tabs>
        <w:tab w:val="center" w:pos="4153"/>
        <w:tab w:val="right" w:pos="8306"/>
      </w:tabs>
    </w:pPr>
  </w:style>
  <w:style w:type="character" w:styleId="Hyperlink">
    <w:name w:val="Hyperlink"/>
    <w:uiPriority w:val="99"/>
    <w:unhideWhenUsed/>
    <w:rsid w:val="00791D0A"/>
    <w:rPr>
      <w:color w:val="0000FF"/>
      <w:u w:val="single"/>
    </w:rPr>
  </w:style>
  <w:style w:type="character" w:styleId="FollowedHyperlink">
    <w:name w:val="FollowedHyperlink"/>
    <w:uiPriority w:val="99"/>
    <w:semiHidden/>
    <w:unhideWhenUsed/>
    <w:rsid w:val="00791D0A"/>
    <w:rPr>
      <w:color w:val="800080"/>
      <w:u w:val="single"/>
    </w:rPr>
  </w:style>
  <w:style w:type="paragraph" w:styleId="ListParagraph">
    <w:name w:val="List Paragraph"/>
    <w:basedOn w:val="Normal"/>
    <w:uiPriority w:val="34"/>
    <w:qFormat/>
    <w:rsid w:val="00DA58EE"/>
    <w:pPr>
      <w:ind w:left="720"/>
    </w:pPr>
  </w:style>
  <w:style w:type="character" w:styleId="CommentReference">
    <w:name w:val="annotation reference"/>
    <w:uiPriority w:val="99"/>
    <w:semiHidden/>
    <w:unhideWhenUsed/>
    <w:rsid w:val="00DA58EE"/>
    <w:rPr>
      <w:sz w:val="16"/>
      <w:szCs w:val="16"/>
    </w:rPr>
  </w:style>
  <w:style w:type="paragraph" w:styleId="CommentText">
    <w:name w:val="annotation text"/>
    <w:basedOn w:val="Normal"/>
    <w:link w:val="CommentTextChar"/>
    <w:uiPriority w:val="99"/>
    <w:semiHidden/>
    <w:unhideWhenUsed/>
    <w:rsid w:val="00DA58EE"/>
    <w:rPr>
      <w:sz w:val="20"/>
    </w:rPr>
  </w:style>
  <w:style w:type="character" w:customStyle="1" w:styleId="CommentTextChar">
    <w:name w:val="Comment Text Char"/>
    <w:link w:val="CommentText"/>
    <w:uiPriority w:val="99"/>
    <w:semiHidden/>
    <w:rsid w:val="00DA58EE"/>
    <w:rPr>
      <w:rFonts w:ascii="Arial" w:hAnsi="Arial"/>
    </w:rPr>
  </w:style>
  <w:style w:type="paragraph" w:styleId="CommentSubject">
    <w:name w:val="annotation subject"/>
    <w:basedOn w:val="CommentText"/>
    <w:next w:val="CommentText"/>
    <w:link w:val="CommentSubjectChar"/>
    <w:uiPriority w:val="99"/>
    <w:semiHidden/>
    <w:unhideWhenUsed/>
    <w:rsid w:val="00DA58EE"/>
    <w:rPr>
      <w:b/>
      <w:bCs/>
    </w:rPr>
  </w:style>
  <w:style w:type="character" w:customStyle="1" w:styleId="CommentSubjectChar">
    <w:name w:val="Comment Subject Char"/>
    <w:link w:val="CommentSubject"/>
    <w:uiPriority w:val="99"/>
    <w:semiHidden/>
    <w:rsid w:val="00DA58EE"/>
    <w:rPr>
      <w:rFonts w:ascii="Arial" w:hAnsi="Arial"/>
      <w:b/>
      <w:bCs/>
    </w:rPr>
  </w:style>
  <w:style w:type="paragraph" w:styleId="BalloonText">
    <w:name w:val="Balloon Text"/>
    <w:basedOn w:val="Normal"/>
    <w:link w:val="BalloonTextChar"/>
    <w:uiPriority w:val="99"/>
    <w:semiHidden/>
    <w:unhideWhenUsed/>
    <w:rsid w:val="00DA58EE"/>
    <w:rPr>
      <w:rFonts w:ascii="Tahoma" w:hAnsi="Tahoma" w:cs="Tahoma"/>
      <w:sz w:val="16"/>
      <w:szCs w:val="16"/>
    </w:rPr>
  </w:style>
  <w:style w:type="character" w:customStyle="1" w:styleId="BalloonTextChar">
    <w:name w:val="Balloon Text Char"/>
    <w:link w:val="BalloonText"/>
    <w:uiPriority w:val="99"/>
    <w:semiHidden/>
    <w:rsid w:val="00DA58EE"/>
    <w:rPr>
      <w:rFonts w:ascii="Tahoma" w:hAnsi="Tahoma" w:cs="Tahoma"/>
      <w:sz w:val="16"/>
      <w:szCs w:val="16"/>
    </w:rPr>
  </w:style>
  <w:style w:type="paragraph" w:styleId="EndnoteText">
    <w:name w:val="endnote text"/>
    <w:basedOn w:val="Normal"/>
    <w:link w:val="EndnoteTextChar"/>
    <w:uiPriority w:val="99"/>
    <w:semiHidden/>
    <w:unhideWhenUsed/>
    <w:rsid w:val="00374A11"/>
    <w:rPr>
      <w:sz w:val="20"/>
    </w:rPr>
  </w:style>
  <w:style w:type="character" w:customStyle="1" w:styleId="EndnoteTextChar">
    <w:name w:val="Endnote Text Char"/>
    <w:link w:val="EndnoteText"/>
    <w:uiPriority w:val="99"/>
    <w:semiHidden/>
    <w:rsid w:val="00374A11"/>
    <w:rPr>
      <w:rFonts w:ascii="Arial" w:hAnsi="Arial"/>
    </w:rPr>
  </w:style>
  <w:style w:type="character" w:styleId="EndnoteReference">
    <w:name w:val="endnote reference"/>
    <w:uiPriority w:val="99"/>
    <w:semiHidden/>
    <w:unhideWhenUsed/>
    <w:rsid w:val="00374A11"/>
    <w:rPr>
      <w:vertAlign w:val="superscript"/>
    </w:rPr>
  </w:style>
  <w:style w:type="paragraph" w:styleId="FootnoteText">
    <w:name w:val="footnote text"/>
    <w:basedOn w:val="Normal"/>
    <w:link w:val="FootnoteTextChar"/>
    <w:uiPriority w:val="99"/>
    <w:semiHidden/>
    <w:unhideWhenUsed/>
    <w:rsid w:val="00374A11"/>
    <w:rPr>
      <w:sz w:val="20"/>
    </w:rPr>
  </w:style>
  <w:style w:type="character" w:customStyle="1" w:styleId="FootnoteTextChar">
    <w:name w:val="Footnote Text Char"/>
    <w:link w:val="FootnoteText"/>
    <w:uiPriority w:val="99"/>
    <w:semiHidden/>
    <w:rsid w:val="00374A11"/>
    <w:rPr>
      <w:rFonts w:ascii="Arial" w:hAnsi="Arial"/>
    </w:rPr>
  </w:style>
  <w:style w:type="character" w:styleId="FootnoteReference">
    <w:name w:val="footnote reference"/>
    <w:uiPriority w:val="99"/>
    <w:semiHidden/>
    <w:unhideWhenUsed/>
    <w:rsid w:val="00374A11"/>
    <w:rPr>
      <w:vertAlign w:val="superscript"/>
    </w:rPr>
  </w:style>
  <w:style w:type="character" w:customStyle="1" w:styleId="odataformanswer">
    <w:name w:val="odataformanswer"/>
    <w:rsid w:val="00905A05"/>
  </w:style>
  <w:style w:type="character" w:customStyle="1" w:styleId="FooterChar">
    <w:name w:val="Footer Char"/>
    <w:link w:val="Footer"/>
    <w:uiPriority w:val="99"/>
    <w:rsid w:val="007A512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mccormick@nottscc.gov.uk" TargetMode="External"/><Relationship Id="rId5" Type="http://schemas.openxmlformats.org/officeDocument/2006/relationships/webSettings" Target="webSettings.xml"/><Relationship Id="rId10" Type="http://schemas.openxmlformats.org/officeDocument/2006/relationships/hyperlink" Target="http://www.nottinghamshireinsight.org.uk/d/113016" TargetMode="External"/><Relationship Id="rId4" Type="http://schemas.openxmlformats.org/officeDocument/2006/relationships/settings" Target="settings.xml"/><Relationship Id="rId9" Type="http://schemas.openxmlformats.org/officeDocument/2006/relationships/hyperlink" Target="http://jsna.nottinghamcity.gov.uk/insight/Strategic-Framework/Nottinghamshire-JSNA.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5413-61F7-417B-B5BB-49996B09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1334</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cw112</dc:creator>
  <cp:lastModifiedBy>Christopher 1 Jones</cp:lastModifiedBy>
  <cp:revision>6</cp:revision>
  <dcterms:created xsi:type="dcterms:W3CDTF">2015-12-09T08:36:00Z</dcterms:created>
  <dcterms:modified xsi:type="dcterms:W3CDTF">2015-12-09T08:43:00Z</dcterms:modified>
</cp:coreProperties>
</file>