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8" w:type="pct"/>
        <w:tblInd w:w="108" w:type="dxa"/>
        <w:tblLook w:val="01E0" w:firstRow="1" w:lastRow="1" w:firstColumn="1" w:lastColumn="1" w:noHBand="0" w:noVBand="0"/>
      </w:tblPr>
      <w:tblGrid>
        <w:gridCol w:w="5182"/>
        <w:gridCol w:w="3890"/>
      </w:tblGrid>
      <w:tr w:rsidR="00A95093" w:rsidRPr="005C387D" w:rsidTr="00AE646E">
        <w:trPr>
          <w:trHeight w:val="495"/>
        </w:trPr>
        <w:tc>
          <w:tcPr>
            <w:tcW w:w="2856" w:type="pct"/>
            <w:vMerge w:val="restart"/>
            <w:shd w:val="clear" w:color="auto" w:fill="auto"/>
          </w:tcPr>
          <w:p w:rsidR="00A95093" w:rsidRPr="005C387D" w:rsidRDefault="00A950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br w:type="page"/>
            </w:r>
            <w:r w:rsidR="00613F4D">
              <w:rPr>
                <w:noProof/>
              </w:rPr>
              <w:drawing>
                <wp:inline distT="0" distB="0" distL="0" distR="0" wp14:anchorId="21C34B7B" wp14:editId="5C336295">
                  <wp:extent cx="2950210" cy="501015"/>
                  <wp:effectExtent l="0" t="0" r="2540" b="0"/>
                  <wp:docPr id="1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-l-head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pct"/>
            <w:shd w:val="clear" w:color="auto" w:fill="auto"/>
          </w:tcPr>
          <w:p w:rsidR="00A95093" w:rsidRPr="004D6EB7" w:rsidRDefault="00A95093" w:rsidP="00AE646E">
            <w:pPr>
              <w:pStyle w:val="TableFieldsBig"/>
              <w:tabs>
                <w:tab w:val="left" w:pos="1231"/>
              </w:tabs>
              <w:spacing w:before="120"/>
              <w:jc w:val="left"/>
            </w:pPr>
            <w:r w:rsidRPr="004D6EB7">
              <w:t>Report to</w:t>
            </w:r>
            <w:r>
              <w:t xml:space="preserve"> Children’s Trust</w:t>
            </w:r>
            <w:r w:rsidR="00AE646E">
              <w:t xml:space="preserve"> </w:t>
            </w:r>
            <w:r>
              <w:t xml:space="preserve">                          Board</w:t>
            </w:r>
          </w:p>
        </w:tc>
      </w:tr>
      <w:tr w:rsidR="00A95093" w:rsidRPr="005C387D" w:rsidTr="00AE646E">
        <w:trPr>
          <w:trHeight w:val="495"/>
        </w:trPr>
        <w:tc>
          <w:tcPr>
            <w:tcW w:w="2856" w:type="pct"/>
            <w:vMerge/>
            <w:shd w:val="clear" w:color="auto" w:fill="auto"/>
          </w:tcPr>
          <w:p w:rsidR="00A95093" w:rsidRDefault="00A95093"/>
        </w:tc>
        <w:tc>
          <w:tcPr>
            <w:tcW w:w="2144" w:type="pct"/>
            <w:shd w:val="clear" w:color="auto" w:fill="auto"/>
          </w:tcPr>
          <w:p w:rsidR="00A95093" w:rsidRPr="00621C81" w:rsidRDefault="00A95093" w:rsidP="00AE1165">
            <w:pPr>
              <w:pStyle w:val="TableFieldsSmall"/>
              <w:spacing w:before="120"/>
            </w:pPr>
            <w:r>
              <w:t xml:space="preserve">08 </w:t>
            </w:r>
            <w:r w:rsidR="00AE1165">
              <w:t>Octo</w:t>
            </w:r>
            <w:r>
              <w:t>ber 201</w:t>
            </w:r>
            <w:r w:rsidR="00AE1165">
              <w:t>5</w:t>
            </w:r>
          </w:p>
        </w:tc>
      </w:tr>
      <w:tr w:rsidR="00A95093" w:rsidRPr="005C387D" w:rsidTr="00AE646E">
        <w:trPr>
          <w:trHeight w:val="495"/>
        </w:trPr>
        <w:tc>
          <w:tcPr>
            <w:tcW w:w="2856" w:type="pct"/>
            <w:vMerge/>
            <w:shd w:val="clear" w:color="auto" w:fill="auto"/>
          </w:tcPr>
          <w:p w:rsidR="00A95093" w:rsidRDefault="00A95093"/>
        </w:tc>
        <w:tc>
          <w:tcPr>
            <w:tcW w:w="2144" w:type="pct"/>
            <w:shd w:val="clear" w:color="auto" w:fill="auto"/>
          </w:tcPr>
          <w:p w:rsidR="00A95093" w:rsidRDefault="008B1581" w:rsidP="008B1581">
            <w:pPr>
              <w:pStyle w:val="TableFieldsSmall"/>
              <w:spacing w:before="120"/>
              <w:jc w:val="center"/>
            </w:pPr>
            <w:r>
              <w:t xml:space="preserve">                             </w:t>
            </w:r>
            <w:r w:rsidR="00A95093" w:rsidRPr="004D6EB7">
              <w:t>Agenda Item:</w:t>
            </w:r>
            <w:r>
              <w:t xml:space="preserve"> 4</w:t>
            </w:r>
          </w:p>
          <w:p w:rsidR="00A95093" w:rsidRPr="007108F0" w:rsidRDefault="00A95093">
            <w:pPr>
              <w:pStyle w:val="HiddenText"/>
              <w:jc w:val="right"/>
            </w:pPr>
          </w:p>
        </w:tc>
      </w:tr>
      <w:tr w:rsidR="00A95093" w:rsidTr="00AE646E">
        <w:tc>
          <w:tcPr>
            <w:tcW w:w="5000" w:type="pct"/>
            <w:gridSpan w:val="2"/>
            <w:shd w:val="clear" w:color="auto" w:fill="auto"/>
          </w:tcPr>
          <w:p w:rsidR="00A95093" w:rsidRPr="007431F8" w:rsidRDefault="00A95093" w:rsidP="00AE1165">
            <w:pPr>
              <w:pStyle w:val="ReportTitle"/>
              <w:spacing w:before="120" w:after="120"/>
              <w:rPr>
                <w:caps w:val="0"/>
              </w:rPr>
            </w:pPr>
            <w:r w:rsidRPr="007431F8">
              <w:rPr>
                <w:caps w:val="0"/>
              </w:rPr>
              <w:t xml:space="preserve">Children’s </w:t>
            </w:r>
            <w:r>
              <w:rPr>
                <w:caps w:val="0"/>
              </w:rPr>
              <w:t>Trust Board S</w:t>
            </w:r>
            <w:r w:rsidRPr="007431F8">
              <w:rPr>
                <w:caps w:val="0"/>
              </w:rPr>
              <w:t>ponsor:</w:t>
            </w:r>
            <w:r w:rsidR="00AE1165">
              <w:rPr>
                <w:caps w:val="0"/>
              </w:rPr>
              <w:t xml:space="preserve"> Derek Higton, Service Director, Youth, Families and Culture </w:t>
            </w:r>
          </w:p>
        </w:tc>
      </w:tr>
      <w:tr w:rsidR="00A95093" w:rsidTr="00AE646E">
        <w:tc>
          <w:tcPr>
            <w:tcW w:w="5000" w:type="pct"/>
            <w:gridSpan w:val="2"/>
            <w:shd w:val="clear" w:color="auto" w:fill="auto"/>
          </w:tcPr>
          <w:p w:rsidR="00A95093" w:rsidRDefault="00906DF5" w:rsidP="00AE1165">
            <w:pPr>
              <w:pStyle w:val="ReportTitle"/>
              <w:spacing w:before="120" w:after="120"/>
            </w:pPr>
            <w:r>
              <w:t>Children, young people and families plan 201</w:t>
            </w:r>
            <w:r w:rsidR="00AE1165">
              <w:t>6</w:t>
            </w:r>
            <w:r>
              <w:t>-1</w:t>
            </w:r>
            <w:r w:rsidR="00AE1165">
              <w:t>8</w:t>
            </w:r>
            <w:r>
              <w:t xml:space="preserve"> </w:t>
            </w:r>
          </w:p>
        </w:tc>
      </w:tr>
    </w:tbl>
    <w:p w:rsidR="00A95093" w:rsidRDefault="00A95093" w:rsidP="00E72F2F">
      <w:pPr>
        <w:pStyle w:val="SectionHeadings"/>
        <w:spacing w:before="120" w:after="120"/>
        <w:jc w:val="left"/>
      </w:pPr>
      <w:r>
        <w:t>Purpose of the Report</w:t>
      </w:r>
    </w:p>
    <w:p w:rsidR="00A95093" w:rsidRDefault="00A95093" w:rsidP="00AE646E">
      <w:pPr>
        <w:numPr>
          <w:ilvl w:val="0"/>
          <w:numId w:val="5"/>
        </w:numPr>
        <w:ind w:right="-46"/>
        <w:jc w:val="both"/>
      </w:pPr>
      <w:r>
        <w:t xml:space="preserve">To </w:t>
      </w:r>
      <w:r w:rsidR="003752F4">
        <w:t xml:space="preserve">outline the proposed process </w:t>
      </w:r>
      <w:r w:rsidR="00935254">
        <w:t xml:space="preserve">including the </w:t>
      </w:r>
      <w:r w:rsidR="003752F4">
        <w:t>timeline</w:t>
      </w:r>
      <w:r w:rsidR="00935254">
        <w:t xml:space="preserve"> and proposed format</w:t>
      </w:r>
      <w:r w:rsidR="003752F4">
        <w:t xml:space="preserve"> for the development of the Not</w:t>
      </w:r>
      <w:r w:rsidR="00AD7AEA">
        <w:t>tinghamshire</w:t>
      </w:r>
      <w:r w:rsidR="00906DF5">
        <w:t xml:space="preserve"> Children, Young People and Families Plan</w:t>
      </w:r>
      <w:r w:rsidR="00935254">
        <w:t xml:space="preserve"> (CYPF Plan)</w:t>
      </w:r>
      <w:r w:rsidR="00906DF5">
        <w:t xml:space="preserve"> </w:t>
      </w:r>
      <w:r w:rsidR="003752F4">
        <w:t xml:space="preserve">for </w:t>
      </w:r>
      <w:r w:rsidR="00906DF5">
        <w:t>201</w:t>
      </w:r>
      <w:r w:rsidR="003752F4">
        <w:t>6</w:t>
      </w:r>
      <w:r w:rsidR="00906DF5">
        <w:t>-1</w:t>
      </w:r>
      <w:r w:rsidR="003752F4">
        <w:t>8</w:t>
      </w:r>
      <w:r w:rsidR="00906DF5">
        <w:t>.</w:t>
      </w:r>
    </w:p>
    <w:p w:rsidR="00935254" w:rsidRDefault="00935254" w:rsidP="00E72F2F">
      <w:pPr>
        <w:pStyle w:val="ListParagraph"/>
        <w:numPr>
          <w:ilvl w:val="0"/>
          <w:numId w:val="30"/>
        </w:numPr>
        <w:spacing w:before="120"/>
        <w:ind w:right="-46"/>
        <w:jc w:val="both"/>
      </w:pPr>
      <w:r>
        <w:t xml:space="preserve">To </w:t>
      </w:r>
      <w:r w:rsidR="00942AEE">
        <w:t xml:space="preserve">agree the draft </w:t>
      </w:r>
      <w:r>
        <w:t>priorities for the</w:t>
      </w:r>
      <w:r w:rsidR="00942AEE">
        <w:t xml:space="preserve"> CYPF Plan </w:t>
      </w:r>
      <w:r w:rsidR="00445AFF">
        <w:t xml:space="preserve">prior to </w:t>
      </w:r>
      <w:r w:rsidR="00942AEE">
        <w:t>consultation with key stakeholders.</w:t>
      </w:r>
      <w:r>
        <w:t xml:space="preserve"> </w:t>
      </w:r>
    </w:p>
    <w:p w:rsidR="00906DF5" w:rsidRDefault="00906DF5" w:rsidP="00906DF5"/>
    <w:p w:rsidR="00A95093" w:rsidRDefault="00A95093">
      <w:pPr>
        <w:pStyle w:val="SectionHeadings"/>
        <w:jc w:val="left"/>
      </w:pPr>
      <w:r>
        <w:t>Information and Advice</w:t>
      </w:r>
    </w:p>
    <w:p w:rsidR="00445AFF" w:rsidRDefault="00445AFF" w:rsidP="00C66D43">
      <w:pPr>
        <w:pStyle w:val="ListParagraph"/>
        <w:numPr>
          <w:ilvl w:val="0"/>
          <w:numId w:val="36"/>
        </w:numPr>
        <w:spacing w:before="120"/>
        <w:rPr>
          <w:b/>
        </w:rPr>
      </w:pPr>
      <w:r w:rsidRPr="00C66D43">
        <w:rPr>
          <w:b/>
        </w:rPr>
        <w:t>Background</w:t>
      </w:r>
    </w:p>
    <w:p w:rsidR="00C66D43" w:rsidRPr="00C66D43" w:rsidRDefault="00C66D43" w:rsidP="00C66D43">
      <w:pPr>
        <w:rPr>
          <w:b/>
          <w:sz w:val="12"/>
          <w:szCs w:val="12"/>
        </w:rPr>
      </w:pPr>
    </w:p>
    <w:p w:rsidR="002D77FA" w:rsidRDefault="00445AFF" w:rsidP="00E72F2F">
      <w:pPr>
        <w:pStyle w:val="ListParagraph"/>
        <w:numPr>
          <w:ilvl w:val="0"/>
          <w:numId w:val="31"/>
        </w:numPr>
        <w:spacing w:before="120"/>
        <w:jc w:val="both"/>
      </w:pPr>
      <w:r>
        <w:t xml:space="preserve">The current CYPF Plan covers the </w:t>
      </w:r>
      <w:r w:rsidR="002D77FA">
        <w:t xml:space="preserve">two year </w:t>
      </w:r>
      <w:r>
        <w:t xml:space="preserve">period </w:t>
      </w:r>
      <w:r w:rsidR="00393228">
        <w:t xml:space="preserve">up </w:t>
      </w:r>
      <w:r w:rsidR="002D77FA">
        <w:t xml:space="preserve">to the end of </w:t>
      </w:r>
      <w:r w:rsidR="00393228">
        <w:t>March</w:t>
      </w:r>
      <w:r w:rsidR="002D77FA">
        <w:t xml:space="preserve"> 2016, </w:t>
      </w:r>
      <w:r w:rsidR="00E72F2F">
        <w:t>and will therefore need</w:t>
      </w:r>
      <w:r w:rsidR="00393228">
        <w:t xml:space="preserve"> updating and</w:t>
      </w:r>
      <w:r w:rsidR="00E72F2F">
        <w:t xml:space="preserve"> revising</w:t>
      </w:r>
      <w:r w:rsidR="002D77FA">
        <w:t xml:space="preserve"> over the next few months.</w:t>
      </w:r>
    </w:p>
    <w:p w:rsidR="002D77FA" w:rsidRPr="002D77FA" w:rsidRDefault="002D77FA" w:rsidP="002D77FA">
      <w:pPr>
        <w:spacing w:before="120"/>
        <w:jc w:val="both"/>
        <w:rPr>
          <w:sz w:val="12"/>
          <w:szCs w:val="12"/>
        </w:rPr>
      </w:pPr>
    </w:p>
    <w:p w:rsidR="00445AFF" w:rsidRDefault="00E72F2F" w:rsidP="002D77FA">
      <w:pPr>
        <w:pStyle w:val="ListParagraph"/>
        <w:numPr>
          <w:ilvl w:val="0"/>
          <w:numId w:val="31"/>
        </w:numPr>
        <w:jc w:val="both"/>
      </w:pPr>
      <w:r>
        <w:t xml:space="preserve">It is intended </w:t>
      </w:r>
      <w:r w:rsidR="00445AFF">
        <w:t>t</w:t>
      </w:r>
      <w:r w:rsidR="007845DD" w:rsidRPr="007845DD">
        <w:t xml:space="preserve">he CYPF Plan for 2016-18 will be a published document outlining the priorities and key actions of Nottinghamshire Children’s Trust. </w:t>
      </w:r>
    </w:p>
    <w:p w:rsidR="00E72F2F" w:rsidRPr="00E72F2F" w:rsidRDefault="00E72F2F" w:rsidP="00E72F2F">
      <w:pPr>
        <w:spacing w:before="120"/>
        <w:jc w:val="both"/>
        <w:rPr>
          <w:sz w:val="12"/>
          <w:szCs w:val="12"/>
        </w:rPr>
      </w:pPr>
    </w:p>
    <w:p w:rsidR="00445AFF" w:rsidRPr="007845DD" w:rsidRDefault="00445AFF" w:rsidP="00E72F2F">
      <w:pPr>
        <w:pStyle w:val="ListParagraph"/>
        <w:numPr>
          <w:ilvl w:val="0"/>
          <w:numId w:val="31"/>
        </w:numPr>
        <w:jc w:val="both"/>
      </w:pPr>
      <w:r>
        <w:t>The CYPF Plan will describe how Nottinghamshire County Council will fulfil its statutory responsibility, as the lead partner in the Children’s Trust, to make arrangements to promote co-operation to improve children’s well-being (Children Act 2004).</w:t>
      </w:r>
    </w:p>
    <w:p w:rsidR="00445AFF" w:rsidRPr="00E72F2F" w:rsidRDefault="00445AFF" w:rsidP="00445AFF">
      <w:pPr>
        <w:jc w:val="both"/>
        <w:rPr>
          <w:sz w:val="12"/>
          <w:szCs w:val="12"/>
        </w:rPr>
      </w:pPr>
    </w:p>
    <w:p w:rsidR="008142E7" w:rsidRDefault="00445AFF" w:rsidP="00310062">
      <w:pPr>
        <w:numPr>
          <w:ilvl w:val="0"/>
          <w:numId w:val="31"/>
        </w:numPr>
        <w:jc w:val="both"/>
      </w:pPr>
      <w:r>
        <w:t>The CYPF Plan w</w:t>
      </w:r>
      <w:r w:rsidR="008A4D0B">
        <w:t>ill not detail all the services of partner organisations within the Children’s Trust</w:t>
      </w:r>
      <w:r>
        <w:t>,</w:t>
      </w:r>
      <w:r w:rsidR="008A4D0B">
        <w:t xml:space="preserve"> but instead will focus on co-ordinated planning and integration of services in order to improve the outcomes for children, young people and their families in Nottinghamshire.</w:t>
      </w:r>
      <w:r>
        <w:t xml:space="preserve">  It will also provide a framework for the management of performance improvement</w:t>
      </w:r>
      <w:r w:rsidR="00DF0320">
        <w:t>.</w:t>
      </w:r>
    </w:p>
    <w:p w:rsidR="008142E7" w:rsidRDefault="008142E7" w:rsidP="008142E7">
      <w:pPr>
        <w:jc w:val="both"/>
      </w:pPr>
    </w:p>
    <w:p w:rsidR="008142E7" w:rsidRPr="00C66D43" w:rsidRDefault="00720A67" w:rsidP="00C66D43">
      <w:pPr>
        <w:pStyle w:val="ListParagraph"/>
        <w:numPr>
          <w:ilvl w:val="0"/>
          <w:numId w:val="36"/>
        </w:numPr>
        <w:ind w:right="-46"/>
        <w:rPr>
          <w:b/>
        </w:rPr>
      </w:pPr>
      <w:r>
        <w:rPr>
          <w:b/>
        </w:rPr>
        <w:t>The p</w:t>
      </w:r>
      <w:r w:rsidR="00E72F2F" w:rsidRPr="00C66D43">
        <w:rPr>
          <w:b/>
        </w:rPr>
        <w:t xml:space="preserve">roposed </w:t>
      </w:r>
      <w:r w:rsidR="008142E7" w:rsidRPr="00C66D43">
        <w:rPr>
          <w:b/>
        </w:rPr>
        <w:t>timeline</w:t>
      </w:r>
      <w:r w:rsidR="00C01F20">
        <w:rPr>
          <w:b/>
        </w:rPr>
        <w:t xml:space="preserve"> and consultation process</w:t>
      </w:r>
      <w:r w:rsidR="008142E7" w:rsidRPr="00C66D43">
        <w:rPr>
          <w:b/>
        </w:rPr>
        <w:t xml:space="preserve"> for developing the </w:t>
      </w:r>
      <w:r w:rsidR="00E72F2F" w:rsidRPr="00C66D43">
        <w:rPr>
          <w:b/>
        </w:rPr>
        <w:t xml:space="preserve">CYPF </w:t>
      </w:r>
      <w:r w:rsidR="008142E7" w:rsidRPr="00C66D43">
        <w:rPr>
          <w:b/>
        </w:rPr>
        <w:t>Plan</w:t>
      </w:r>
      <w:r w:rsidR="00E72F2F" w:rsidRPr="00C66D43">
        <w:rPr>
          <w:b/>
        </w:rPr>
        <w:t xml:space="preserve"> 2016-2018</w:t>
      </w:r>
      <w:r w:rsidR="008142E7" w:rsidRPr="00C66D43">
        <w:rPr>
          <w:b/>
        </w:rPr>
        <w:t xml:space="preserve"> </w:t>
      </w:r>
    </w:p>
    <w:p w:rsidR="007845DD" w:rsidRPr="00E72F2F" w:rsidRDefault="007845DD" w:rsidP="007845DD">
      <w:pPr>
        <w:jc w:val="both"/>
        <w:rPr>
          <w:sz w:val="12"/>
          <w:szCs w:val="12"/>
        </w:rPr>
      </w:pPr>
    </w:p>
    <w:p w:rsidR="00935254" w:rsidRDefault="00935254" w:rsidP="00935254">
      <w:pPr>
        <w:numPr>
          <w:ilvl w:val="0"/>
          <w:numId w:val="31"/>
        </w:numPr>
        <w:jc w:val="both"/>
      </w:pPr>
      <w:r>
        <w:t>Table 1 below summarises the proposed timeline for</w:t>
      </w:r>
      <w:r w:rsidR="00810352">
        <w:t xml:space="preserve"> developing</w:t>
      </w:r>
      <w:r>
        <w:t xml:space="preserve"> the CYPF Plan for 2016-2018.</w:t>
      </w:r>
    </w:p>
    <w:p w:rsidR="002D77FA" w:rsidRDefault="002D77FA" w:rsidP="002D77FA">
      <w:pPr>
        <w:jc w:val="both"/>
      </w:pPr>
    </w:p>
    <w:p w:rsidR="002D77FA" w:rsidRDefault="002D77FA" w:rsidP="002D77FA">
      <w:pPr>
        <w:jc w:val="both"/>
      </w:pPr>
    </w:p>
    <w:p w:rsidR="002D77FA" w:rsidRDefault="002D77FA" w:rsidP="002D77FA">
      <w:pPr>
        <w:jc w:val="both"/>
      </w:pPr>
    </w:p>
    <w:p w:rsidR="002D77FA" w:rsidRDefault="002D77FA" w:rsidP="002D77FA">
      <w:pPr>
        <w:jc w:val="both"/>
      </w:pPr>
    </w:p>
    <w:p w:rsidR="002D77FA" w:rsidRDefault="002D77FA" w:rsidP="002D77FA">
      <w:pPr>
        <w:jc w:val="both"/>
      </w:pPr>
    </w:p>
    <w:p w:rsidR="00935254" w:rsidRDefault="00935254" w:rsidP="00E72F2F">
      <w:pPr>
        <w:spacing w:after="120"/>
        <w:ind w:left="360"/>
        <w:jc w:val="both"/>
        <w:rPr>
          <w:b/>
        </w:rPr>
      </w:pPr>
      <w:r w:rsidRPr="00935254">
        <w:rPr>
          <w:b/>
        </w:rPr>
        <w:lastRenderedPageBreak/>
        <w:t>Table 1 Timeline for the</w:t>
      </w:r>
      <w:r w:rsidR="00810352">
        <w:rPr>
          <w:b/>
        </w:rPr>
        <w:t xml:space="preserve"> development of the</w:t>
      </w:r>
      <w:r w:rsidRPr="00935254">
        <w:rPr>
          <w:b/>
        </w:rPr>
        <w:t xml:space="preserve"> CYPF Plan for 2016-2018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23"/>
        <w:gridCol w:w="2097"/>
      </w:tblGrid>
      <w:tr w:rsidR="0059492B" w:rsidTr="00E72F2F">
        <w:tc>
          <w:tcPr>
            <w:tcW w:w="6523" w:type="dxa"/>
            <w:shd w:val="clear" w:color="auto" w:fill="D9D9D9" w:themeFill="background1" w:themeFillShade="D9"/>
          </w:tcPr>
          <w:p w:rsidR="00935254" w:rsidRPr="00B10D43" w:rsidRDefault="00935254" w:rsidP="00B10D43">
            <w:pPr>
              <w:spacing w:before="120" w:after="120"/>
              <w:jc w:val="center"/>
              <w:rPr>
                <w:b/>
                <w:szCs w:val="24"/>
              </w:rPr>
            </w:pPr>
            <w:r w:rsidRPr="00B10D43">
              <w:rPr>
                <w:b/>
                <w:szCs w:val="24"/>
              </w:rPr>
              <w:t>Activity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935254" w:rsidRPr="00B10D43" w:rsidRDefault="00B10D43" w:rsidP="00B10D43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By when</w:t>
            </w:r>
          </w:p>
        </w:tc>
      </w:tr>
      <w:tr w:rsidR="00EA59C5" w:rsidTr="00E72F2F">
        <w:tc>
          <w:tcPr>
            <w:tcW w:w="6523" w:type="dxa"/>
          </w:tcPr>
          <w:p w:rsidR="00EA59C5" w:rsidRPr="0064296A" w:rsidRDefault="00EA59C5" w:rsidP="0093525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Approval by the Children’s Trust Board of proposed timeline, format and draft priorities for the CYPF Plan for 2016-2018</w:t>
            </w:r>
          </w:p>
        </w:tc>
        <w:tc>
          <w:tcPr>
            <w:tcW w:w="2097" w:type="dxa"/>
          </w:tcPr>
          <w:p w:rsidR="00EA59C5" w:rsidRPr="0064296A" w:rsidRDefault="00EA59C5" w:rsidP="008142E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8 October 2015</w:t>
            </w:r>
          </w:p>
        </w:tc>
      </w:tr>
      <w:tr w:rsidR="0059492B" w:rsidTr="00E72F2F">
        <w:tc>
          <w:tcPr>
            <w:tcW w:w="6523" w:type="dxa"/>
          </w:tcPr>
          <w:p w:rsidR="00935254" w:rsidRPr="0064296A" w:rsidRDefault="00810352" w:rsidP="00DF032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Consultation with key stakeholders including Nottinghamshire Safeguarding Children Board (NSCB), children and young people</w:t>
            </w:r>
          </w:p>
        </w:tc>
        <w:tc>
          <w:tcPr>
            <w:tcW w:w="2097" w:type="dxa"/>
          </w:tcPr>
          <w:p w:rsidR="00935254" w:rsidRPr="0064296A" w:rsidRDefault="00810352" w:rsidP="008142E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October to December 2015</w:t>
            </w:r>
          </w:p>
        </w:tc>
      </w:tr>
      <w:tr w:rsidR="0059492B" w:rsidTr="00E72F2F">
        <w:tc>
          <w:tcPr>
            <w:tcW w:w="6523" w:type="dxa"/>
          </w:tcPr>
          <w:p w:rsidR="00935254" w:rsidRPr="0064296A" w:rsidRDefault="00810352" w:rsidP="007723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 xml:space="preserve">Children’s Trust CYPF Plan </w:t>
            </w:r>
            <w:r w:rsidR="00772346" w:rsidRPr="0064296A">
              <w:rPr>
                <w:sz w:val="22"/>
                <w:szCs w:val="22"/>
              </w:rPr>
              <w:t>w</w:t>
            </w:r>
            <w:r w:rsidRPr="0064296A">
              <w:rPr>
                <w:sz w:val="22"/>
                <w:szCs w:val="22"/>
              </w:rPr>
              <w:t>orkshops</w:t>
            </w:r>
            <w:r w:rsidR="00772346" w:rsidRPr="0064296A">
              <w:rPr>
                <w:sz w:val="22"/>
                <w:szCs w:val="22"/>
              </w:rPr>
              <w:t xml:space="preserve"> for the Children’s workforce</w:t>
            </w:r>
          </w:p>
        </w:tc>
        <w:tc>
          <w:tcPr>
            <w:tcW w:w="2097" w:type="dxa"/>
          </w:tcPr>
          <w:p w:rsidR="00935254" w:rsidRPr="0064296A" w:rsidRDefault="00810352" w:rsidP="008142E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November 2015</w:t>
            </w:r>
          </w:p>
        </w:tc>
      </w:tr>
      <w:tr w:rsidR="0059492B" w:rsidTr="00E72F2F">
        <w:tc>
          <w:tcPr>
            <w:tcW w:w="6523" w:type="dxa"/>
          </w:tcPr>
          <w:p w:rsidR="00935254" w:rsidRPr="0064296A" w:rsidRDefault="00810352" w:rsidP="007723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 xml:space="preserve">First draft of the CYPF Plan </w:t>
            </w:r>
            <w:r w:rsidR="00772346" w:rsidRPr="0064296A">
              <w:rPr>
                <w:sz w:val="22"/>
                <w:szCs w:val="22"/>
              </w:rPr>
              <w:t xml:space="preserve">for </w:t>
            </w:r>
            <w:r w:rsidRPr="0064296A">
              <w:rPr>
                <w:sz w:val="22"/>
                <w:szCs w:val="22"/>
              </w:rPr>
              <w:t>approv</w:t>
            </w:r>
            <w:r w:rsidR="00772346" w:rsidRPr="0064296A">
              <w:rPr>
                <w:sz w:val="22"/>
                <w:szCs w:val="22"/>
              </w:rPr>
              <w:t>al</w:t>
            </w:r>
            <w:r w:rsidRPr="0064296A">
              <w:rPr>
                <w:sz w:val="22"/>
                <w:szCs w:val="22"/>
              </w:rPr>
              <w:t xml:space="preserve"> by the Children’s Trust Board</w:t>
            </w:r>
          </w:p>
        </w:tc>
        <w:tc>
          <w:tcPr>
            <w:tcW w:w="2097" w:type="dxa"/>
          </w:tcPr>
          <w:p w:rsidR="00935254" w:rsidRPr="0064296A" w:rsidRDefault="00772346" w:rsidP="006429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 xml:space="preserve">4 </w:t>
            </w:r>
            <w:r w:rsidR="00810352" w:rsidRPr="0064296A">
              <w:rPr>
                <w:sz w:val="22"/>
                <w:szCs w:val="22"/>
              </w:rPr>
              <w:t>February 201</w:t>
            </w:r>
            <w:r w:rsidR="0064296A" w:rsidRPr="0064296A">
              <w:rPr>
                <w:sz w:val="22"/>
                <w:szCs w:val="22"/>
              </w:rPr>
              <w:t>6</w:t>
            </w:r>
          </w:p>
        </w:tc>
      </w:tr>
      <w:tr w:rsidR="0059492B" w:rsidTr="00E72F2F">
        <w:tc>
          <w:tcPr>
            <w:tcW w:w="6523" w:type="dxa"/>
          </w:tcPr>
          <w:p w:rsidR="00935254" w:rsidRPr="0064296A" w:rsidRDefault="00810352" w:rsidP="008103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 xml:space="preserve">CYPF Plan approved by the Children’s Trust Board </w:t>
            </w:r>
          </w:p>
        </w:tc>
        <w:tc>
          <w:tcPr>
            <w:tcW w:w="2097" w:type="dxa"/>
          </w:tcPr>
          <w:p w:rsidR="00935254" w:rsidRPr="0064296A" w:rsidRDefault="006A128F" w:rsidP="006429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18</w:t>
            </w:r>
            <w:r w:rsidR="00772346" w:rsidRPr="0064296A">
              <w:rPr>
                <w:sz w:val="22"/>
                <w:szCs w:val="22"/>
              </w:rPr>
              <w:t xml:space="preserve"> </w:t>
            </w:r>
            <w:r w:rsidR="00810352" w:rsidRPr="0064296A">
              <w:rPr>
                <w:sz w:val="22"/>
                <w:szCs w:val="22"/>
              </w:rPr>
              <w:t>March 201</w:t>
            </w:r>
            <w:r w:rsidR="0064296A" w:rsidRPr="0064296A">
              <w:rPr>
                <w:sz w:val="22"/>
                <w:szCs w:val="22"/>
              </w:rPr>
              <w:t>6</w:t>
            </w:r>
          </w:p>
        </w:tc>
      </w:tr>
      <w:tr w:rsidR="0059492B" w:rsidTr="00E72F2F">
        <w:tc>
          <w:tcPr>
            <w:tcW w:w="6523" w:type="dxa"/>
          </w:tcPr>
          <w:p w:rsidR="00935254" w:rsidRPr="0064296A" w:rsidRDefault="00810352" w:rsidP="008103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CYPF Plan approved by the County Council’s Children and Young People’s Committee</w:t>
            </w:r>
          </w:p>
        </w:tc>
        <w:tc>
          <w:tcPr>
            <w:tcW w:w="2097" w:type="dxa"/>
          </w:tcPr>
          <w:p w:rsidR="00935254" w:rsidRPr="0064296A" w:rsidRDefault="00810352" w:rsidP="006429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21 March 201</w:t>
            </w:r>
            <w:r w:rsidR="0064296A" w:rsidRPr="0064296A">
              <w:rPr>
                <w:sz w:val="22"/>
                <w:szCs w:val="22"/>
              </w:rPr>
              <w:t>6</w:t>
            </w:r>
          </w:p>
        </w:tc>
      </w:tr>
      <w:tr w:rsidR="00FC4288" w:rsidTr="00E72F2F">
        <w:tc>
          <w:tcPr>
            <w:tcW w:w="6523" w:type="dxa"/>
          </w:tcPr>
          <w:p w:rsidR="00FC4288" w:rsidRPr="0064296A" w:rsidRDefault="00FC4288" w:rsidP="0093525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CYPF Plan approved by the</w:t>
            </w:r>
            <w:r>
              <w:rPr>
                <w:sz w:val="22"/>
                <w:szCs w:val="22"/>
              </w:rPr>
              <w:t xml:space="preserve"> Health and Wellbeing Board</w:t>
            </w:r>
            <w:bookmarkStart w:id="0" w:name="_GoBack"/>
            <w:bookmarkEnd w:id="0"/>
          </w:p>
        </w:tc>
        <w:tc>
          <w:tcPr>
            <w:tcW w:w="2097" w:type="dxa"/>
          </w:tcPr>
          <w:p w:rsidR="00FC4288" w:rsidRPr="0064296A" w:rsidRDefault="00FC4288" w:rsidP="008142E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April 2016</w:t>
            </w:r>
          </w:p>
        </w:tc>
      </w:tr>
      <w:tr w:rsidR="0059492B" w:rsidTr="00E72F2F">
        <w:tc>
          <w:tcPr>
            <w:tcW w:w="6523" w:type="dxa"/>
          </w:tcPr>
          <w:p w:rsidR="00935254" w:rsidRPr="0064296A" w:rsidRDefault="00810352" w:rsidP="0093525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CYPF Plan approved by the County Council’s Policy Committee</w:t>
            </w:r>
          </w:p>
        </w:tc>
        <w:tc>
          <w:tcPr>
            <w:tcW w:w="2097" w:type="dxa"/>
          </w:tcPr>
          <w:p w:rsidR="00935254" w:rsidRPr="0064296A" w:rsidRDefault="00810352" w:rsidP="008142E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20 April 201</w:t>
            </w:r>
            <w:r w:rsidR="0064296A" w:rsidRPr="0064296A">
              <w:rPr>
                <w:sz w:val="22"/>
                <w:szCs w:val="22"/>
              </w:rPr>
              <w:t>6</w:t>
            </w:r>
          </w:p>
        </w:tc>
      </w:tr>
      <w:tr w:rsidR="00810352" w:rsidTr="00E72F2F">
        <w:tc>
          <w:tcPr>
            <w:tcW w:w="6523" w:type="dxa"/>
          </w:tcPr>
          <w:p w:rsidR="00810352" w:rsidRPr="0064296A" w:rsidRDefault="00810352" w:rsidP="0093525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CYPF Plan is published on the County Council’s website</w:t>
            </w:r>
          </w:p>
        </w:tc>
        <w:tc>
          <w:tcPr>
            <w:tcW w:w="2097" w:type="dxa"/>
          </w:tcPr>
          <w:p w:rsidR="00810352" w:rsidRPr="0064296A" w:rsidRDefault="00810352" w:rsidP="008142E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96A">
              <w:rPr>
                <w:sz w:val="22"/>
                <w:szCs w:val="22"/>
              </w:rPr>
              <w:t>6 May 201</w:t>
            </w:r>
            <w:r w:rsidR="0064296A" w:rsidRPr="0064296A">
              <w:rPr>
                <w:sz w:val="22"/>
                <w:szCs w:val="22"/>
              </w:rPr>
              <w:t>6</w:t>
            </w:r>
          </w:p>
        </w:tc>
      </w:tr>
    </w:tbl>
    <w:p w:rsidR="007845DD" w:rsidRDefault="007845DD" w:rsidP="007845DD">
      <w:pPr>
        <w:jc w:val="both"/>
        <w:rPr>
          <w:szCs w:val="24"/>
        </w:rPr>
      </w:pPr>
    </w:p>
    <w:p w:rsidR="007845DD" w:rsidRDefault="00A314E9" w:rsidP="00935254">
      <w:pPr>
        <w:numPr>
          <w:ilvl w:val="0"/>
          <w:numId w:val="31"/>
        </w:numPr>
        <w:jc w:val="both"/>
        <w:rPr>
          <w:szCs w:val="24"/>
        </w:rPr>
      </w:pPr>
      <w:r w:rsidRPr="007845DD">
        <w:rPr>
          <w:szCs w:val="24"/>
        </w:rPr>
        <w:t xml:space="preserve">Between October and December 2015 it is proposed a </w:t>
      </w:r>
      <w:r w:rsidR="007845DD" w:rsidRPr="007845DD">
        <w:rPr>
          <w:szCs w:val="24"/>
        </w:rPr>
        <w:t xml:space="preserve">short </w:t>
      </w:r>
      <w:r w:rsidRPr="007845DD">
        <w:rPr>
          <w:szCs w:val="24"/>
        </w:rPr>
        <w:t xml:space="preserve">consultation process will take place across the Trust with key stakeholders and service users.  </w:t>
      </w:r>
    </w:p>
    <w:p w:rsidR="007845DD" w:rsidRPr="00E72F2F" w:rsidRDefault="007845DD" w:rsidP="007845DD">
      <w:pPr>
        <w:jc w:val="both"/>
        <w:rPr>
          <w:sz w:val="12"/>
          <w:szCs w:val="12"/>
        </w:rPr>
      </w:pPr>
    </w:p>
    <w:p w:rsidR="00A314E9" w:rsidRDefault="00A314E9" w:rsidP="00935254">
      <w:pPr>
        <w:numPr>
          <w:ilvl w:val="0"/>
          <w:numId w:val="31"/>
        </w:numPr>
        <w:jc w:val="both"/>
        <w:rPr>
          <w:szCs w:val="24"/>
        </w:rPr>
      </w:pPr>
      <w:r w:rsidRPr="007845DD">
        <w:rPr>
          <w:szCs w:val="24"/>
        </w:rPr>
        <w:t xml:space="preserve">Key groups to be consulted with will include the Nottinghamshire Safeguarding Children Board (NSCB) and the Young People’s Board.  During November 2015, three locality ‘roadshows’ will be held to </w:t>
      </w:r>
      <w:r w:rsidR="006A128F">
        <w:rPr>
          <w:szCs w:val="24"/>
        </w:rPr>
        <w:t>consult f</w:t>
      </w:r>
      <w:r w:rsidRPr="007845DD">
        <w:rPr>
          <w:szCs w:val="24"/>
        </w:rPr>
        <w:t xml:space="preserve">ront line practitioners and team managers </w:t>
      </w:r>
      <w:r w:rsidR="006A128F">
        <w:rPr>
          <w:szCs w:val="24"/>
        </w:rPr>
        <w:t xml:space="preserve">about </w:t>
      </w:r>
      <w:r w:rsidRPr="007845DD">
        <w:rPr>
          <w:szCs w:val="24"/>
        </w:rPr>
        <w:t>the CYPF Plan.</w:t>
      </w:r>
    </w:p>
    <w:p w:rsidR="007845DD" w:rsidRPr="00E72F2F" w:rsidRDefault="007845DD" w:rsidP="007845DD">
      <w:pPr>
        <w:pStyle w:val="ListParagraph"/>
        <w:rPr>
          <w:sz w:val="12"/>
          <w:szCs w:val="12"/>
        </w:rPr>
      </w:pPr>
    </w:p>
    <w:p w:rsidR="007845DD" w:rsidRPr="007845DD" w:rsidRDefault="007845DD" w:rsidP="00935254">
      <w:pPr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Following this consultation a final draft </w:t>
      </w:r>
      <w:r>
        <w:t xml:space="preserve">of the CYPF Plan will be presented to the Children’s Trust Board at its meeting in February 2016.  </w:t>
      </w:r>
    </w:p>
    <w:p w:rsidR="00A314E9" w:rsidRPr="00E72F2F" w:rsidRDefault="00A314E9" w:rsidP="00A314E9">
      <w:pPr>
        <w:jc w:val="both"/>
        <w:rPr>
          <w:sz w:val="12"/>
          <w:szCs w:val="12"/>
        </w:rPr>
      </w:pPr>
    </w:p>
    <w:p w:rsidR="00AE646E" w:rsidRDefault="00192F87" w:rsidP="00935254">
      <w:pPr>
        <w:numPr>
          <w:ilvl w:val="0"/>
          <w:numId w:val="31"/>
        </w:numPr>
        <w:jc w:val="both"/>
      </w:pPr>
      <w:r>
        <w:t>Partners represented on the Children’s Trust will be invited to seek approval through their own governance structures. The County Council will seek approval for the C</w:t>
      </w:r>
      <w:r w:rsidR="00906DF5">
        <w:t xml:space="preserve">YPF Plan </w:t>
      </w:r>
      <w:r>
        <w:t>at the meetings of</w:t>
      </w:r>
      <w:r w:rsidR="007B0862">
        <w:t xml:space="preserve"> the</w:t>
      </w:r>
      <w:r w:rsidR="0059492B">
        <w:t xml:space="preserve"> Children and Young People’s Committee in March 2016 and the Policy Committee in </w:t>
      </w:r>
      <w:r w:rsidR="00AE646E">
        <w:t>April 2016</w:t>
      </w:r>
      <w:r w:rsidR="0059492B">
        <w:t xml:space="preserve">.  </w:t>
      </w:r>
      <w:r>
        <w:t>Following approval i</w:t>
      </w:r>
      <w:r w:rsidR="0059492B">
        <w:t xml:space="preserve">t will </w:t>
      </w:r>
      <w:r w:rsidR="00906DF5">
        <w:t>then</w:t>
      </w:r>
      <w:r w:rsidR="0059492B">
        <w:t xml:space="preserve"> be</w:t>
      </w:r>
      <w:r w:rsidR="00906DF5">
        <w:t xml:space="preserve"> published on the Council’s website.  </w:t>
      </w:r>
    </w:p>
    <w:p w:rsidR="00E72F2F" w:rsidRPr="00E72F2F" w:rsidRDefault="00E72F2F" w:rsidP="00E72F2F">
      <w:pPr>
        <w:pStyle w:val="ListParagraph"/>
        <w:rPr>
          <w:sz w:val="12"/>
          <w:szCs w:val="12"/>
        </w:rPr>
      </w:pPr>
    </w:p>
    <w:p w:rsidR="00145555" w:rsidRDefault="00192F87" w:rsidP="00E35275">
      <w:pPr>
        <w:numPr>
          <w:ilvl w:val="0"/>
          <w:numId w:val="31"/>
        </w:numPr>
        <w:jc w:val="both"/>
      </w:pPr>
      <w:r>
        <w:t xml:space="preserve">To support the delivery of the CYPF Plan, </w:t>
      </w:r>
      <w:r w:rsidR="008A4D0B">
        <w:t>annual</w:t>
      </w:r>
      <w:r>
        <w:t xml:space="preserve"> delivery plan</w:t>
      </w:r>
      <w:r w:rsidR="0064296A">
        <w:t>s</w:t>
      </w:r>
      <w:r>
        <w:t xml:space="preserve"> </w:t>
      </w:r>
      <w:r w:rsidR="008A4D0B">
        <w:t>will</w:t>
      </w:r>
      <w:r w:rsidR="00145555">
        <w:t xml:space="preserve"> be developed to</w:t>
      </w:r>
      <w:r w:rsidR="008A4D0B">
        <w:t xml:space="preserve"> </w:t>
      </w:r>
      <w:r w:rsidR="00145555">
        <w:t>provide more detail on specific actions and responsibilities</w:t>
      </w:r>
      <w:r w:rsidR="00445AFF">
        <w:t>.</w:t>
      </w:r>
      <w:r w:rsidR="00145555">
        <w:t xml:space="preserve"> </w:t>
      </w:r>
    </w:p>
    <w:p w:rsidR="00E72F2F" w:rsidRDefault="00E72F2F" w:rsidP="00E72F2F">
      <w:pPr>
        <w:pStyle w:val="ListParagraph"/>
      </w:pPr>
    </w:p>
    <w:p w:rsidR="006962D5" w:rsidRPr="00C66D43" w:rsidRDefault="00720A67" w:rsidP="00C66D4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p</w:t>
      </w:r>
      <w:r w:rsidR="006962D5" w:rsidRPr="00C66D43">
        <w:rPr>
          <w:b/>
        </w:rPr>
        <w:t>roposed format of the CYPF Plan 201</w:t>
      </w:r>
      <w:r w:rsidR="003752F4" w:rsidRPr="00C66D43">
        <w:rPr>
          <w:b/>
        </w:rPr>
        <w:t>6</w:t>
      </w:r>
      <w:r w:rsidR="006962D5" w:rsidRPr="00C66D43">
        <w:rPr>
          <w:b/>
        </w:rPr>
        <w:t>-1</w:t>
      </w:r>
      <w:r w:rsidR="003752F4" w:rsidRPr="00C66D43">
        <w:rPr>
          <w:b/>
        </w:rPr>
        <w:t>8</w:t>
      </w:r>
    </w:p>
    <w:p w:rsidR="006962D5" w:rsidRPr="00E72F2F" w:rsidRDefault="006962D5" w:rsidP="001F0C58">
      <w:pPr>
        <w:rPr>
          <w:sz w:val="12"/>
          <w:szCs w:val="12"/>
          <w:u w:val="single"/>
        </w:rPr>
      </w:pPr>
    </w:p>
    <w:p w:rsidR="00C01F20" w:rsidRPr="00C01F20" w:rsidRDefault="006962D5" w:rsidP="00DF61C6">
      <w:pPr>
        <w:numPr>
          <w:ilvl w:val="0"/>
          <w:numId w:val="31"/>
        </w:numPr>
        <w:jc w:val="both"/>
        <w:rPr>
          <w:b/>
        </w:rPr>
      </w:pPr>
      <w:r>
        <w:t xml:space="preserve">It is </w:t>
      </w:r>
      <w:r w:rsidR="006F2236">
        <w:t>suggested</w:t>
      </w:r>
      <w:r>
        <w:t xml:space="preserve"> that the CYPF Plan be produced </w:t>
      </w:r>
      <w:r w:rsidR="00AD7AEA">
        <w:t xml:space="preserve">as </w:t>
      </w:r>
      <w:r w:rsidR="00B76221">
        <w:t>an electronically-published do</w:t>
      </w:r>
      <w:r>
        <w:t>cument,</w:t>
      </w:r>
      <w:r w:rsidR="00B76221">
        <w:t xml:space="preserve"> its size being the e</w:t>
      </w:r>
      <w:r w:rsidR="00D40551">
        <w:t xml:space="preserve">quivalent of </w:t>
      </w:r>
      <w:r w:rsidR="006A128F">
        <w:t xml:space="preserve">no more than </w:t>
      </w:r>
      <w:r w:rsidR="00B76221">
        <w:t xml:space="preserve">about </w:t>
      </w:r>
      <w:r w:rsidR="006A128F">
        <w:t xml:space="preserve">twelve </w:t>
      </w:r>
      <w:r w:rsidR="00D40551">
        <w:t xml:space="preserve">pages of </w:t>
      </w:r>
      <w:r w:rsidR="00D40551">
        <w:lastRenderedPageBreak/>
        <w:t>A4.</w:t>
      </w:r>
      <w:r w:rsidR="006F2236">
        <w:t xml:space="preserve"> </w:t>
      </w:r>
      <w:r w:rsidR="00C01F20">
        <w:t>Table 2 below outlines th</w:t>
      </w:r>
      <w:r w:rsidR="006A128F">
        <w:t>e proposed structure</w:t>
      </w:r>
      <w:r w:rsidR="00C01F20">
        <w:t xml:space="preserve"> and contents</w:t>
      </w:r>
      <w:r w:rsidR="006A128F">
        <w:t xml:space="preserve"> </w:t>
      </w:r>
      <w:r w:rsidR="00C01F20">
        <w:t>of</w:t>
      </w:r>
      <w:r w:rsidR="006A128F">
        <w:t xml:space="preserve"> the CYPF Plan</w:t>
      </w:r>
      <w:r w:rsidR="00DF0320">
        <w:t>.</w:t>
      </w:r>
      <w:r w:rsidR="006A128F">
        <w:t xml:space="preserve"> </w:t>
      </w:r>
    </w:p>
    <w:p w:rsidR="00C01F20" w:rsidRPr="00C01F20" w:rsidRDefault="00C01F20" w:rsidP="00C01F20">
      <w:pPr>
        <w:jc w:val="both"/>
        <w:rPr>
          <w:b/>
        </w:rPr>
      </w:pPr>
    </w:p>
    <w:p w:rsidR="00EA59C5" w:rsidRPr="00C01F20" w:rsidRDefault="00C01F20" w:rsidP="00C01F20">
      <w:pPr>
        <w:ind w:firstLine="360"/>
        <w:jc w:val="both"/>
        <w:rPr>
          <w:b/>
        </w:rPr>
      </w:pPr>
      <w:r w:rsidRPr="00C01F20">
        <w:rPr>
          <w:b/>
        </w:rPr>
        <w:t>T</w:t>
      </w:r>
      <w:r w:rsidR="00EA59C5" w:rsidRPr="00C01F20">
        <w:rPr>
          <w:b/>
        </w:rPr>
        <w:t xml:space="preserve">able 2 Proposed </w:t>
      </w:r>
      <w:r w:rsidRPr="00C01F20">
        <w:rPr>
          <w:b/>
        </w:rPr>
        <w:t xml:space="preserve">structure and </w:t>
      </w:r>
      <w:r w:rsidR="00EA59C5" w:rsidRPr="00C01F20">
        <w:rPr>
          <w:b/>
        </w:rPr>
        <w:t>content of the CYPF Plan for 2016-2018</w:t>
      </w:r>
    </w:p>
    <w:p w:rsidR="00C66D43" w:rsidRPr="00C66D43" w:rsidRDefault="00C66D43" w:rsidP="00EA59C5">
      <w:pPr>
        <w:ind w:left="360"/>
        <w:rPr>
          <w:b/>
          <w:sz w:val="12"/>
          <w:szCs w:val="12"/>
        </w:rPr>
      </w:pPr>
    </w:p>
    <w:tbl>
      <w:tblPr>
        <w:tblW w:w="4754" w:type="pct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44"/>
        <w:gridCol w:w="6943"/>
      </w:tblGrid>
      <w:tr w:rsidR="00673E0F" w:rsidRPr="006F2236" w:rsidTr="00EF3D0F">
        <w:trPr>
          <w:trHeight w:val="382"/>
          <w:tblHeader/>
        </w:trPr>
        <w:tc>
          <w:tcPr>
            <w:tcW w:w="1049" w:type="pct"/>
            <w:shd w:val="clear" w:color="auto" w:fill="D9D9D9" w:themeFill="background1" w:themeFillShade="D9"/>
          </w:tcPr>
          <w:p w:rsidR="00673E0F" w:rsidRDefault="00673E0F" w:rsidP="00673E0F">
            <w:pPr>
              <w:spacing w:before="120" w:after="120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951" w:type="pct"/>
            <w:shd w:val="clear" w:color="auto" w:fill="D9D9D9" w:themeFill="background1" w:themeFillShade="D9"/>
          </w:tcPr>
          <w:p w:rsidR="00673E0F" w:rsidRDefault="00673E0F" w:rsidP="00673E0F">
            <w:pPr>
              <w:spacing w:before="120" w:after="12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73E0F" w:rsidRPr="006F2236" w:rsidTr="00EF3D0F">
        <w:trPr>
          <w:trHeight w:val="666"/>
        </w:trPr>
        <w:tc>
          <w:tcPr>
            <w:tcW w:w="1049" w:type="pct"/>
            <w:shd w:val="clear" w:color="auto" w:fill="auto"/>
          </w:tcPr>
          <w:p w:rsidR="00673E0F" w:rsidRDefault="00673E0F" w:rsidP="00486B16">
            <w:pPr>
              <w:spacing w:before="120" w:after="120"/>
              <w:rPr>
                <w:b/>
              </w:rPr>
            </w:pPr>
            <w:r>
              <w:rPr>
                <w:b/>
              </w:rPr>
              <w:t>For</w:t>
            </w:r>
            <w:r w:rsidR="00486B16">
              <w:rPr>
                <w:b/>
              </w:rPr>
              <w:t>e</w:t>
            </w:r>
            <w:r>
              <w:rPr>
                <w:b/>
              </w:rPr>
              <w:t>w</w:t>
            </w:r>
            <w:r w:rsidR="00486B16">
              <w:rPr>
                <w:b/>
              </w:rPr>
              <w:t>o</w:t>
            </w:r>
            <w:r>
              <w:rPr>
                <w:b/>
              </w:rPr>
              <w:t xml:space="preserve">rd </w:t>
            </w:r>
          </w:p>
        </w:tc>
        <w:tc>
          <w:tcPr>
            <w:tcW w:w="3951" w:type="pct"/>
            <w:shd w:val="clear" w:color="auto" w:fill="auto"/>
          </w:tcPr>
          <w:p w:rsidR="00673E0F" w:rsidRDefault="00673E0F" w:rsidP="00673E0F">
            <w:pPr>
              <w:spacing w:before="120" w:after="120"/>
              <w:rPr>
                <w:b/>
              </w:rPr>
            </w:pPr>
            <w:r w:rsidRPr="00673E0F">
              <w:t>Chair of the Children and Young People’s Committee and the Corporate Director for Children, Families and Cultural Services</w:t>
            </w:r>
          </w:p>
        </w:tc>
      </w:tr>
      <w:tr w:rsidR="00673E0F" w:rsidRPr="006F2236" w:rsidTr="00EF3D0F">
        <w:trPr>
          <w:trHeight w:val="700"/>
        </w:trPr>
        <w:tc>
          <w:tcPr>
            <w:tcW w:w="1049" w:type="pct"/>
            <w:shd w:val="clear" w:color="auto" w:fill="auto"/>
          </w:tcPr>
          <w:p w:rsidR="00673E0F" w:rsidRDefault="00673E0F" w:rsidP="006A7C83">
            <w:pPr>
              <w:spacing w:before="120" w:after="120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951" w:type="pct"/>
            <w:shd w:val="clear" w:color="auto" w:fill="auto"/>
          </w:tcPr>
          <w:p w:rsidR="00673E0F" w:rsidRPr="00EF3D0F" w:rsidRDefault="00673E0F" w:rsidP="006A7C83">
            <w:pPr>
              <w:spacing w:before="120" w:after="120"/>
            </w:pPr>
            <w:r w:rsidRPr="00EF3D0F">
              <w:t>Purpose of the CYPF Plan; the contributing partners</w:t>
            </w:r>
            <w:r w:rsidR="00EF3D0F" w:rsidRPr="00EF3D0F">
              <w:t>, ambition and principles</w:t>
            </w:r>
          </w:p>
        </w:tc>
      </w:tr>
      <w:tr w:rsidR="00673E0F" w:rsidRPr="006F2236" w:rsidTr="00EF3D0F">
        <w:trPr>
          <w:trHeight w:val="697"/>
        </w:trPr>
        <w:tc>
          <w:tcPr>
            <w:tcW w:w="1049" w:type="pct"/>
            <w:shd w:val="clear" w:color="auto" w:fill="auto"/>
          </w:tcPr>
          <w:p w:rsidR="00673E0F" w:rsidRDefault="00EF3D0F" w:rsidP="006A7C83">
            <w:pPr>
              <w:spacing w:before="120" w:after="120"/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3951" w:type="pct"/>
            <w:shd w:val="clear" w:color="auto" w:fill="auto"/>
          </w:tcPr>
          <w:p w:rsidR="00673E0F" w:rsidRPr="00EF3D0F" w:rsidRDefault="00EF3D0F" w:rsidP="00EF3D0F">
            <w:pPr>
              <w:spacing w:before="120" w:after="120"/>
            </w:pPr>
            <w:r w:rsidRPr="00EF3D0F">
              <w:t xml:space="preserve">Current performance (KPI’s), Ofsted, JSNA, key drivers &amp; priorities for the next couple of years </w:t>
            </w:r>
            <w:r>
              <w:t xml:space="preserve">including </w:t>
            </w:r>
            <w:r w:rsidRPr="00EF3D0F">
              <w:t>why the priorities were chosen, and</w:t>
            </w:r>
            <w:r>
              <w:t xml:space="preserve"> the</w:t>
            </w:r>
            <w:r w:rsidRPr="00EF3D0F">
              <w:t xml:space="preserve"> consultation process to produce the plan</w:t>
            </w:r>
          </w:p>
        </w:tc>
      </w:tr>
      <w:tr w:rsidR="00673E0F" w:rsidRPr="006F2236" w:rsidTr="00EF3D0F">
        <w:trPr>
          <w:trHeight w:val="851"/>
        </w:trPr>
        <w:tc>
          <w:tcPr>
            <w:tcW w:w="1049" w:type="pct"/>
            <w:shd w:val="clear" w:color="auto" w:fill="auto"/>
          </w:tcPr>
          <w:p w:rsidR="00673E0F" w:rsidRDefault="00EF3D0F" w:rsidP="006A7C83">
            <w:pPr>
              <w:spacing w:before="120" w:after="120"/>
              <w:rPr>
                <w:b/>
              </w:rPr>
            </w:pPr>
            <w:r>
              <w:rPr>
                <w:b/>
              </w:rPr>
              <w:t>Priorities for 2016-2018</w:t>
            </w:r>
          </w:p>
        </w:tc>
        <w:tc>
          <w:tcPr>
            <w:tcW w:w="3951" w:type="pct"/>
            <w:shd w:val="clear" w:color="auto" w:fill="auto"/>
          </w:tcPr>
          <w:p w:rsidR="00FA3FE2" w:rsidRDefault="00FA3FE2" w:rsidP="00EF3D0F">
            <w:pPr>
              <w:spacing w:before="120" w:after="120"/>
            </w:pPr>
            <w:r>
              <w:t>For each priority no more than two sheets will provide the following information:</w:t>
            </w:r>
          </w:p>
          <w:p w:rsidR="00FA3FE2" w:rsidRDefault="00FA3FE2" w:rsidP="00EF3D0F">
            <w:pPr>
              <w:spacing w:before="120" w:after="120"/>
            </w:pPr>
            <w:r>
              <w:t>Why is this important</w:t>
            </w:r>
          </w:p>
          <w:p w:rsidR="00FA3FE2" w:rsidRDefault="00FA3FE2" w:rsidP="00EF3D0F">
            <w:pPr>
              <w:spacing w:before="120" w:after="120"/>
            </w:pPr>
            <w:r>
              <w:t>What are our key actions</w:t>
            </w:r>
          </w:p>
          <w:p w:rsidR="00FA3FE2" w:rsidRDefault="00FA3FE2" w:rsidP="00EF3D0F">
            <w:pPr>
              <w:spacing w:before="120" w:after="120"/>
            </w:pPr>
            <w:r>
              <w:t xml:space="preserve">What will success </w:t>
            </w:r>
          </w:p>
          <w:p w:rsidR="00FA3FE2" w:rsidRDefault="00FA3FE2" w:rsidP="00EF3D0F">
            <w:pPr>
              <w:spacing w:before="120" w:after="120"/>
            </w:pPr>
            <w:r>
              <w:t>What children, young people and families tell us?</w:t>
            </w:r>
          </w:p>
          <w:p w:rsidR="00673E0F" w:rsidRPr="00EF3D0F" w:rsidRDefault="00FA3FE2" w:rsidP="00FA3FE2">
            <w:pPr>
              <w:spacing w:before="120" w:after="120"/>
            </w:pPr>
            <w:r>
              <w:t>What we will do – including milestones and outcome measures</w:t>
            </w:r>
          </w:p>
        </w:tc>
      </w:tr>
      <w:tr w:rsidR="00673E0F" w:rsidRPr="006F2236" w:rsidTr="00EF3D0F">
        <w:trPr>
          <w:trHeight w:val="1090"/>
        </w:trPr>
        <w:tc>
          <w:tcPr>
            <w:tcW w:w="1049" w:type="pct"/>
            <w:shd w:val="clear" w:color="auto" w:fill="auto"/>
          </w:tcPr>
          <w:p w:rsidR="00673E0F" w:rsidRDefault="00EF3D0F" w:rsidP="006A7C83">
            <w:pPr>
              <w:spacing w:before="120" w:after="120"/>
              <w:rPr>
                <w:b/>
              </w:rPr>
            </w:pPr>
            <w:r>
              <w:rPr>
                <w:b/>
              </w:rPr>
              <w:t>How we will deliver these priorities?</w:t>
            </w:r>
          </w:p>
        </w:tc>
        <w:tc>
          <w:tcPr>
            <w:tcW w:w="3951" w:type="pct"/>
            <w:shd w:val="clear" w:color="auto" w:fill="auto"/>
          </w:tcPr>
          <w:p w:rsidR="00673E0F" w:rsidRPr="00FA3FE2" w:rsidRDefault="00FA3FE2" w:rsidP="00FA3FE2">
            <w:pPr>
              <w:spacing w:before="120" w:after="120"/>
            </w:pPr>
            <w:r w:rsidRPr="00FA3FE2">
              <w:t>Developing the children’s workforce, further integration of services based upon localities and the targeting of resources</w:t>
            </w:r>
          </w:p>
        </w:tc>
      </w:tr>
      <w:tr w:rsidR="00673E0F" w:rsidRPr="006F2236" w:rsidTr="00EF3D0F">
        <w:trPr>
          <w:trHeight w:val="771"/>
        </w:trPr>
        <w:tc>
          <w:tcPr>
            <w:tcW w:w="1049" w:type="pct"/>
            <w:shd w:val="clear" w:color="auto" w:fill="auto"/>
          </w:tcPr>
          <w:p w:rsidR="00673E0F" w:rsidRDefault="00EF3D0F" w:rsidP="006A7C83">
            <w:pPr>
              <w:spacing w:before="120" w:after="120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3951" w:type="pct"/>
            <w:shd w:val="clear" w:color="auto" w:fill="auto"/>
          </w:tcPr>
          <w:p w:rsidR="00673E0F" w:rsidRPr="00EF3D0F" w:rsidRDefault="00EF3D0F" w:rsidP="00EF3D0F">
            <w:pPr>
              <w:spacing w:before="120" w:after="120"/>
            </w:pPr>
            <w:r>
              <w:t>How the CYPF Plan will be monitored and reviewed; r</w:t>
            </w:r>
            <w:r w:rsidRPr="00EF3D0F">
              <w:t>elated plans and strategies</w:t>
            </w:r>
            <w:r w:rsidR="00FA3FE2">
              <w:t>, glossary</w:t>
            </w:r>
          </w:p>
        </w:tc>
      </w:tr>
    </w:tbl>
    <w:p w:rsidR="0059492B" w:rsidRDefault="0059492B" w:rsidP="001F0C58">
      <w:pPr>
        <w:rPr>
          <w:b/>
        </w:rPr>
      </w:pPr>
    </w:p>
    <w:p w:rsidR="0064296A" w:rsidRPr="0064296A" w:rsidRDefault="0064296A" w:rsidP="00FA3FE2">
      <w:pPr>
        <w:pStyle w:val="ListParagraph"/>
        <w:numPr>
          <w:ilvl w:val="0"/>
          <w:numId w:val="31"/>
        </w:numPr>
      </w:pPr>
      <w:r w:rsidRPr="0064296A">
        <w:t>An Equality Impact Assessment will be developed alongside the CYPF plan.</w:t>
      </w:r>
    </w:p>
    <w:p w:rsidR="0064296A" w:rsidRDefault="0064296A" w:rsidP="001F0C58">
      <w:pPr>
        <w:rPr>
          <w:b/>
        </w:rPr>
      </w:pPr>
    </w:p>
    <w:p w:rsidR="006A128F" w:rsidRDefault="006A128F" w:rsidP="00C66D43">
      <w:pPr>
        <w:numPr>
          <w:ilvl w:val="0"/>
          <w:numId w:val="31"/>
        </w:numPr>
        <w:jc w:val="both"/>
      </w:pPr>
      <w:r w:rsidRPr="006A128F">
        <w:rPr>
          <w:b/>
        </w:rPr>
        <w:t>Appendix A</w:t>
      </w:r>
      <w:r>
        <w:t xml:space="preserve"> provides an example of the proposed layout for each of the Plan’s priorities</w:t>
      </w:r>
      <w:r w:rsidR="0064296A">
        <w:t>.</w:t>
      </w:r>
      <w:r w:rsidRPr="006A128F">
        <w:t xml:space="preserve"> </w:t>
      </w:r>
    </w:p>
    <w:p w:rsidR="006A128F" w:rsidRDefault="006A128F" w:rsidP="001F0C58">
      <w:pPr>
        <w:rPr>
          <w:b/>
        </w:rPr>
      </w:pPr>
    </w:p>
    <w:p w:rsidR="001F0C58" w:rsidRDefault="00720A67" w:rsidP="001F0C58">
      <w:pPr>
        <w:rPr>
          <w:b/>
        </w:rPr>
      </w:pPr>
      <w:r>
        <w:rPr>
          <w:b/>
        </w:rPr>
        <w:t>The p</w:t>
      </w:r>
      <w:r w:rsidR="004B6BD8" w:rsidRPr="003752F4">
        <w:rPr>
          <w:b/>
        </w:rPr>
        <w:t xml:space="preserve">roposed </w:t>
      </w:r>
      <w:r>
        <w:rPr>
          <w:b/>
        </w:rPr>
        <w:t>p</w:t>
      </w:r>
      <w:r w:rsidR="001F0C58" w:rsidRPr="003752F4">
        <w:rPr>
          <w:b/>
        </w:rPr>
        <w:t>riorities for the CYPF Plan 201</w:t>
      </w:r>
      <w:r w:rsidR="003752F4">
        <w:rPr>
          <w:b/>
        </w:rPr>
        <w:t>6</w:t>
      </w:r>
      <w:r w:rsidR="001F0C58" w:rsidRPr="003752F4">
        <w:rPr>
          <w:b/>
        </w:rPr>
        <w:t>-1</w:t>
      </w:r>
      <w:r w:rsidR="003752F4">
        <w:rPr>
          <w:b/>
        </w:rPr>
        <w:t>8</w:t>
      </w:r>
    </w:p>
    <w:p w:rsidR="002B4E94" w:rsidRPr="00E72F2F" w:rsidRDefault="002B4E94" w:rsidP="001F0C58">
      <w:pPr>
        <w:rPr>
          <w:b/>
          <w:sz w:val="12"/>
          <w:szCs w:val="12"/>
        </w:rPr>
      </w:pPr>
    </w:p>
    <w:p w:rsidR="00250BA9" w:rsidRDefault="00250BA9" w:rsidP="00FA3FE2">
      <w:pPr>
        <w:pStyle w:val="ListParagraph"/>
        <w:numPr>
          <w:ilvl w:val="0"/>
          <w:numId w:val="34"/>
        </w:numPr>
        <w:jc w:val="both"/>
      </w:pPr>
      <w:r w:rsidRPr="00250BA9">
        <w:t xml:space="preserve">It is proposed that </w:t>
      </w:r>
      <w:r>
        <w:t>the four priorities for the CYPF Plan for 2016-2018 will be as follows:</w:t>
      </w:r>
    </w:p>
    <w:p w:rsidR="00250BA9" w:rsidRPr="00250BA9" w:rsidRDefault="00250BA9" w:rsidP="00250BA9">
      <w:pPr>
        <w:rPr>
          <w:sz w:val="12"/>
          <w:szCs w:val="12"/>
        </w:rPr>
      </w:pPr>
    </w:p>
    <w:p w:rsidR="002B4E94" w:rsidRDefault="00250BA9" w:rsidP="00C66D43">
      <w:pPr>
        <w:pStyle w:val="ListParagraph"/>
        <w:numPr>
          <w:ilvl w:val="1"/>
          <w:numId w:val="34"/>
        </w:numPr>
        <w:jc w:val="both"/>
        <w:rPr>
          <w:b/>
          <w:szCs w:val="24"/>
        </w:rPr>
      </w:pPr>
      <w:r w:rsidRPr="00C66D43">
        <w:rPr>
          <w:b/>
          <w:szCs w:val="24"/>
        </w:rPr>
        <w:t>Children and young people are safe in Nottinghamshire</w:t>
      </w:r>
    </w:p>
    <w:p w:rsidR="00C66D43" w:rsidRPr="00C66D43" w:rsidRDefault="00C66D43" w:rsidP="00C66D43">
      <w:pPr>
        <w:ind w:left="360"/>
        <w:jc w:val="both"/>
        <w:rPr>
          <w:b/>
          <w:sz w:val="8"/>
          <w:szCs w:val="8"/>
        </w:rPr>
      </w:pPr>
    </w:p>
    <w:p w:rsidR="00250BA9" w:rsidRDefault="00250BA9" w:rsidP="00C66D43">
      <w:pPr>
        <w:pStyle w:val="ListParagraph"/>
        <w:numPr>
          <w:ilvl w:val="1"/>
          <w:numId w:val="34"/>
        </w:numPr>
        <w:jc w:val="both"/>
        <w:rPr>
          <w:b/>
        </w:rPr>
      </w:pPr>
      <w:r w:rsidRPr="00C66D43">
        <w:rPr>
          <w:b/>
        </w:rPr>
        <w:t>Children and young people are happy and healthy in Nottinghamshire</w:t>
      </w:r>
    </w:p>
    <w:p w:rsidR="00C66D43" w:rsidRPr="00C66D43" w:rsidRDefault="00C66D43" w:rsidP="00C66D43">
      <w:pPr>
        <w:pStyle w:val="ListParagraph"/>
        <w:rPr>
          <w:b/>
          <w:sz w:val="8"/>
          <w:szCs w:val="8"/>
        </w:rPr>
      </w:pPr>
    </w:p>
    <w:p w:rsidR="00250BA9" w:rsidRDefault="00250BA9" w:rsidP="00250BA9">
      <w:pPr>
        <w:pStyle w:val="ListParagraph"/>
        <w:numPr>
          <w:ilvl w:val="1"/>
          <w:numId w:val="34"/>
        </w:numPr>
        <w:rPr>
          <w:b/>
        </w:rPr>
      </w:pPr>
      <w:r w:rsidRPr="00C66D43">
        <w:rPr>
          <w:b/>
        </w:rPr>
        <w:t>Children and young people achieve their potential in Nottinghamshire</w:t>
      </w:r>
    </w:p>
    <w:p w:rsidR="00C66D43" w:rsidRPr="00C66D43" w:rsidRDefault="00C66D43" w:rsidP="00C66D43">
      <w:pPr>
        <w:rPr>
          <w:b/>
          <w:sz w:val="8"/>
          <w:szCs w:val="8"/>
        </w:rPr>
      </w:pPr>
    </w:p>
    <w:p w:rsidR="00250BA9" w:rsidRPr="00C66D43" w:rsidRDefault="00250BA9" w:rsidP="00250BA9">
      <w:pPr>
        <w:pStyle w:val="ListParagraph"/>
        <w:numPr>
          <w:ilvl w:val="1"/>
          <w:numId w:val="34"/>
        </w:numPr>
        <w:rPr>
          <w:b/>
        </w:rPr>
      </w:pPr>
      <w:r w:rsidRPr="00C66D43">
        <w:rPr>
          <w:b/>
        </w:rPr>
        <w:lastRenderedPageBreak/>
        <w:t>Children and young people and families receive the support they need when required in Nottinghamshire</w:t>
      </w:r>
    </w:p>
    <w:p w:rsidR="007B0862" w:rsidRDefault="007B0862" w:rsidP="001F0C58">
      <w:pPr>
        <w:rPr>
          <w:b/>
        </w:rPr>
      </w:pPr>
    </w:p>
    <w:p w:rsidR="00C66D43" w:rsidRDefault="00250BA9" w:rsidP="00C66D43">
      <w:pPr>
        <w:pStyle w:val="ListParagraph"/>
        <w:numPr>
          <w:ilvl w:val="0"/>
          <w:numId w:val="34"/>
        </w:numPr>
        <w:jc w:val="both"/>
      </w:pPr>
      <w:r w:rsidRPr="00250BA9">
        <w:rPr>
          <w:b/>
        </w:rPr>
        <w:t>Appendix B</w:t>
      </w:r>
      <w:r w:rsidRPr="00250BA9">
        <w:t xml:space="preserve"> illustrates how these proposed priorities</w:t>
      </w:r>
      <w:r w:rsidR="00C66D43">
        <w:t xml:space="preserve"> match across to the priorities in other strategic plans including the Health and </w:t>
      </w:r>
      <w:r w:rsidR="00DF0320">
        <w:t>W</w:t>
      </w:r>
      <w:r w:rsidR="00C66D43">
        <w:t>ellbeing Board Strategy and the County Council’s Strategic Plan.</w:t>
      </w:r>
    </w:p>
    <w:p w:rsidR="00C66D43" w:rsidRDefault="00C66D43" w:rsidP="00C66D43"/>
    <w:p w:rsidR="00250BA9" w:rsidRDefault="00C66D43" w:rsidP="00C66D43">
      <w:pPr>
        <w:pStyle w:val="ListParagraph"/>
        <w:numPr>
          <w:ilvl w:val="0"/>
          <w:numId w:val="34"/>
        </w:numPr>
        <w:jc w:val="both"/>
      </w:pPr>
      <w:r>
        <w:t xml:space="preserve">The CYPF Plan 2012-2014 had a </w:t>
      </w:r>
      <w:r w:rsidR="00C01F20">
        <w:t xml:space="preserve">fifth </w:t>
      </w:r>
      <w:r>
        <w:t xml:space="preserve">priority </w:t>
      </w:r>
      <w:r w:rsidR="00C01F20">
        <w:t xml:space="preserve">which was </w:t>
      </w:r>
      <w:r>
        <w:t>for the d</w:t>
      </w:r>
      <w:r w:rsidRPr="00C66D43">
        <w:t>eliver</w:t>
      </w:r>
      <w:r>
        <w:t>y of</w:t>
      </w:r>
      <w:r w:rsidRPr="00C66D43">
        <w:t xml:space="preserve"> integrated services for children and young people with complex needs or disabilities</w:t>
      </w:r>
      <w:r>
        <w:t xml:space="preserve">.  </w:t>
      </w:r>
      <w:r w:rsidR="00C01F20">
        <w:t xml:space="preserve">The last two years has seen the implementation of the SEND reforms including the Education, Health and Care Plan, as outlined in the Children and Families Act 2014.  In addition, a work programme has been established for the integration of services.  The various elements of this work programme </w:t>
      </w:r>
      <w:r w:rsidR="007D6987">
        <w:t xml:space="preserve">will be </w:t>
      </w:r>
      <w:r w:rsidR="00C01F20">
        <w:t xml:space="preserve">covered by </w:t>
      </w:r>
      <w:r w:rsidR="007D6987">
        <w:t xml:space="preserve">the </w:t>
      </w:r>
      <w:r w:rsidR="00C01F20">
        <w:t xml:space="preserve">four priorities </w:t>
      </w:r>
      <w:r w:rsidR="00DF0320">
        <w:t xml:space="preserve">in </w:t>
      </w:r>
      <w:r w:rsidR="007D6987">
        <w:t>par</w:t>
      </w:r>
      <w:r w:rsidR="00C01F20">
        <w:t xml:space="preserve">agraph 15 </w:t>
      </w:r>
      <w:r w:rsidR="007D6987">
        <w:t xml:space="preserve">above.  It is </w:t>
      </w:r>
      <w:r w:rsidR="00C01F20">
        <w:t xml:space="preserve">therefore </w:t>
      </w:r>
      <w:r w:rsidR="007D6987">
        <w:t xml:space="preserve">proposed not to have a separate </w:t>
      </w:r>
      <w:r w:rsidR="00C01F20">
        <w:t xml:space="preserve">priority covering the needs of </w:t>
      </w:r>
      <w:r w:rsidR="00C01F20" w:rsidRPr="00C66D43">
        <w:t>children and young people with complex needs or disabilities</w:t>
      </w:r>
      <w:r w:rsidR="00C01F20">
        <w:t xml:space="preserve">.  </w:t>
      </w:r>
    </w:p>
    <w:p w:rsidR="007D6987" w:rsidRDefault="007D6987" w:rsidP="007D6987">
      <w:pPr>
        <w:pStyle w:val="ListParagraph"/>
      </w:pPr>
    </w:p>
    <w:p w:rsidR="007B0862" w:rsidRPr="00250BA9" w:rsidRDefault="007D6987" w:rsidP="003810A7">
      <w:pPr>
        <w:pStyle w:val="ListParagraph"/>
        <w:numPr>
          <w:ilvl w:val="0"/>
          <w:numId w:val="34"/>
        </w:numPr>
        <w:jc w:val="both"/>
      </w:pPr>
      <w:r>
        <w:t>In addition to the four priorities two key areas for development running through the CYP Plan 2016-2018 will be the further integration of children’s services and the workforce development of the children’s workforce.</w:t>
      </w:r>
    </w:p>
    <w:p w:rsidR="00B10D43" w:rsidRDefault="00B10D43">
      <w:pPr>
        <w:pStyle w:val="SectionHeadings"/>
        <w:jc w:val="left"/>
      </w:pPr>
    </w:p>
    <w:p w:rsidR="00A95093" w:rsidRDefault="00A95093">
      <w:pPr>
        <w:pStyle w:val="SectionHeadings"/>
        <w:jc w:val="left"/>
      </w:pPr>
      <w:r>
        <w:t>RECOMMENDATION/S</w:t>
      </w:r>
    </w:p>
    <w:p w:rsidR="00A95093" w:rsidRPr="00E72F2F" w:rsidRDefault="00A95093">
      <w:pPr>
        <w:rPr>
          <w:sz w:val="12"/>
          <w:szCs w:val="12"/>
        </w:rPr>
      </w:pPr>
    </w:p>
    <w:p w:rsidR="003752F4" w:rsidRDefault="003752F4" w:rsidP="00942AEE">
      <w:pPr>
        <w:pStyle w:val="ListParagraph"/>
        <w:numPr>
          <w:ilvl w:val="0"/>
          <w:numId w:val="6"/>
        </w:numPr>
        <w:jc w:val="both"/>
      </w:pPr>
      <w:r w:rsidRPr="003752F4">
        <w:t>That the Children’s Trust Board approves the proposed process and timeline for the development of the Nottinghamshire Children, Young People and Families Plan for 2016-18.</w:t>
      </w:r>
    </w:p>
    <w:p w:rsidR="00942AEE" w:rsidRPr="00E72F2F" w:rsidRDefault="00942AEE" w:rsidP="00942AEE">
      <w:pPr>
        <w:rPr>
          <w:sz w:val="12"/>
          <w:szCs w:val="12"/>
        </w:rPr>
      </w:pPr>
    </w:p>
    <w:p w:rsidR="00601EA1" w:rsidRDefault="00942AEE" w:rsidP="00942AEE">
      <w:pPr>
        <w:pStyle w:val="ListParagraph"/>
        <w:numPr>
          <w:ilvl w:val="0"/>
          <w:numId w:val="6"/>
        </w:numPr>
        <w:jc w:val="both"/>
      </w:pPr>
      <w:r w:rsidRPr="003752F4">
        <w:t>That the Children’s Trust Board approves</w:t>
      </w:r>
      <w:r>
        <w:t xml:space="preserve"> </w:t>
      </w:r>
      <w:r w:rsidRPr="00942AEE">
        <w:t xml:space="preserve">the draft priorities for the CYPF Plan for consultation with key stakeholders. </w:t>
      </w:r>
    </w:p>
    <w:p w:rsidR="00601EA1" w:rsidRDefault="00601EA1" w:rsidP="00601EA1"/>
    <w:p w:rsidR="003752F4" w:rsidRDefault="003752F4">
      <w:pPr>
        <w:pStyle w:val="Fields"/>
      </w:pPr>
    </w:p>
    <w:p w:rsidR="00A95093" w:rsidRPr="006A0178" w:rsidRDefault="0031122B">
      <w:pPr>
        <w:pStyle w:val="Fields"/>
      </w:pPr>
      <w:r>
        <w:t>Chris Jones</w:t>
      </w:r>
    </w:p>
    <w:p w:rsidR="00A95093" w:rsidRDefault="0031122B">
      <w:pPr>
        <w:pStyle w:val="Fields"/>
        <w:jc w:val="left"/>
      </w:pPr>
      <w:r>
        <w:t>Senior Practitioner, Strategy and Planning</w:t>
      </w:r>
      <w:r w:rsidR="001458D0">
        <w:tab/>
      </w:r>
    </w:p>
    <w:p w:rsidR="0031122B" w:rsidRDefault="0031122B">
      <w:pPr>
        <w:pStyle w:val="Fields"/>
        <w:jc w:val="left"/>
      </w:pPr>
    </w:p>
    <w:p w:rsidR="00A95093" w:rsidRDefault="00A95093">
      <w:pPr>
        <w:rPr>
          <w:rFonts w:cs="Arial"/>
          <w:b/>
        </w:rPr>
      </w:pPr>
      <w:r>
        <w:rPr>
          <w:rFonts w:cs="Arial"/>
          <w:b/>
        </w:rPr>
        <w:t>For any enquiries about this report please contact:</w:t>
      </w:r>
    </w:p>
    <w:p w:rsidR="0031122B" w:rsidRDefault="0031122B">
      <w:pPr>
        <w:rPr>
          <w:rFonts w:cs="Arial"/>
        </w:rPr>
      </w:pPr>
      <w:r>
        <w:rPr>
          <w:rFonts w:cs="Arial"/>
        </w:rPr>
        <w:t>Chris Jones, Senior Practitioner, Strategy and Planning</w:t>
      </w:r>
    </w:p>
    <w:p w:rsidR="0031122B" w:rsidRDefault="00A95093">
      <w:r>
        <w:t xml:space="preserve">T: </w:t>
      </w:r>
      <w:r w:rsidR="0031122B">
        <w:t>07824869067</w:t>
      </w:r>
    </w:p>
    <w:p w:rsidR="00A95093" w:rsidRPr="00E33DE0" w:rsidRDefault="00A95093">
      <w:pPr>
        <w:rPr>
          <w:lang w:val="de-DE"/>
        </w:rPr>
      </w:pPr>
      <w:r w:rsidRPr="00E33DE0">
        <w:rPr>
          <w:lang w:val="de-DE"/>
        </w:rPr>
        <w:t xml:space="preserve">E: </w:t>
      </w:r>
      <w:r w:rsidR="0031122B">
        <w:rPr>
          <w:lang w:val="de-DE"/>
        </w:rPr>
        <w:t>christopher.1.jones@nottscc.gov.uk</w:t>
      </w:r>
    </w:p>
    <w:p w:rsidR="001458D0" w:rsidRDefault="001458D0">
      <w:pPr>
        <w:pStyle w:val="SectionSub-heading"/>
        <w:jc w:val="left"/>
      </w:pPr>
    </w:p>
    <w:p w:rsidR="00FE73BE" w:rsidRDefault="00A95093">
      <w:pPr>
        <w:pStyle w:val="SectionSub-heading"/>
        <w:jc w:val="left"/>
        <w:rPr>
          <w:b w:val="0"/>
        </w:rPr>
      </w:pPr>
      <w:r>
        <w:t>Background Papers</w:t>
      </w:r>
      <w:r>
        <w:tab/>
      </w:r>
      <w:r w:rsidRPr="00932F04">
        <w:rPr>
          <w:b w:val="0"/>
        </w:rPr>
        <w:t>None</w:t>
      </w:r>
    </w:p>
    <w:p w:rsidR="00FE73BE" w:rsidRDefault="00FE73BE" w:rsidP="00FE73BE">
      <w:pPr>
        <w:rPr>
          <w:b/>
          <w:sz w:val="28"/>
          <w:szCs w:val="28"/>
        </w:rPr>
      </w:pPr>
    </w:p>
    <w:p w:rsidR="00FE73BE" w:rsidRDefault="00192F87" w:rsidP="00FE73BE">
      <w:pPr>
        <w:rPr>
          <w:b/>
          <w:szCs w:val="24"/>
        </w:rPr>
      </w:pPr>
      <w:r w:rsidRPr="00192F87">
        <w:rPr>
          <w:b/>
          <w:szCs w:val="24"/>
        </w:rPr>
        <w:t xml:space="preserve">Appendix </w:t>
      </w:r>
      <w:r w:rsidR="00EB7959">
        <w:rPr>
          <w:b/>
          <w:szCs w:val="24"/>
        </w:rPr>
        <w:t>A</w:t>
      </w:r>
      <w:r w:rsidRPr="00192F87">
        <w:rPr>
          <w:b/>
          <w:szCs w:val="24"/>
        </w:rPr>
        <w:t xml:space="preserve"> – Proposed format of the Children, Young People and Families Plan (2016-2018) </w:t>
      </w:r>
    </w:p>
    <w:p w:rsidR="00192F87" w:rsidRDefault="00192F87" w:rsidP="00FE73BE">
      <w:pPr>
        <w:rPr>
          <w:b/>
          <w:szCs w:val="24"/>
        </w:rPr>
      </w:pPr>
    </w:p>
    <w:p w:rsidR="0060254F" w:rsidRDefault="00EB7959" w:rsidP="0060254F">
      <w:pPr>
        <w:rPr>
          <w:b/>
          <w:szCs w:val="24"/>
        </w:rPr>
      </w:pPr>
      <w:r>
        <w:rPr>
          <w:b/>
          <w:szCs w:val="24"/>
        </w:rPr>
        <w:t xml:space="preserve">Appendix B – </w:t>
      </w:r>
      <w:r w:rsidR="0060254F">
        <w:rPr>
          <w:b/>
          <w:szCs w:val="24"/>
        </w:rPr>
        <w:t>Related Priorities in Key Strategic Plans</w:t>
      </w:r>
    </w:p>
    <w:p w:rsidR="00EB7959" w:rsidRDefault="00EB7959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</w:p>
    <w:p w:rsidR="00486B16" w:rsidRDefault="004B2101" w:rsidP="00486B16">
      <w:pPr>
        <w:rPr>
          <w:b/>
          <w:szCs w:val="24"/>
        </w:rPr>
      </w:pPr>
      <w:r>
        <w:rPr>
          <w:b/>
          <w:szCs w:val="24"/>
        </w:rPr>
        <w:t>Appendix A</w:t>
      </w:r>
      <w:r w:rsidR="00486B16">
        <w:rPr>
          <w:b/>
          <w:szCs w:val="24"/>
        </w:rPr>
        <w:t xml:space="preserve"> </w:t>
      </w:r>
      <w:r w:rsidR="00486B16" w:rsidRPr="00192F87">
        <w:rPr>
          <w:b/>
          <w:szCs w:val="24"/>
        </w:rPr>
        <w:t xml:space="preserve">– Proposed format of the CYPF Plan (2016-2018) </w:t>
      </w: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3B442244" wp14:editId="3FE35542">
            <wp:extent cx="5886450" cy="8295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9329" cy="829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01" w:rsidRDefault="004B2101" w:rsidP="00FE73BE">
      <w:pPr>
        <w:rPr>
          <w:b/>
          <w:szCs w:val="24"/>
        </w:rPr>
      </w:pPr>
    </w:p>
    <w:p w:rsidR="004B2101" w:rsidRDefault="004B2101" w:rsidP="00FE73BE">
      <w:pPr>
        <w:rPr>
          <w:b/>
          <w:szCs w:val="24"/>
        </w:rPr>
        <w:sectPr w:rsidR="004B2101" w:rsidSect="0059492B"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B2101" w:rsidRDefault="004B2101" w:rsidP="00FE73BE">
      <w:pPr>
        <w:rPr>
          <w:b/>
          <w:szCs w:val="24"/>
        </w:rPr>
        <w:sectPr w:rsidR="004B2101" w:rsidSect="004B210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0F0A7BE" wp14:editId="7B5FECB3">
            <wp:extent cx="9382124" cy="575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87241" cy="575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59" w:rsidRDefault="00EB7959" w:rsidP="00FE73BE">
      <w:pPr>
        <w:rPr>
          <w:b/>
          <w:szCs w:val="24"/>
        </w:rPr>
      </w:pPr>
      <w:r>
        <w:rPr>
          <w:b/>
          <w:szCs w:val="24"/>
        </w:rPr>
        <w:lastRenderedPageBreak/>
        <w:t xml:space="preserve">Appendix B – Related Priorities in </w:t>
      </w:r>
      <w:r w:rsidR="0060254F">
        <w:rPr>
          <w:b/>
          <w:szCs w:val="24"/>
        </w:rPr>
        <w:t xml:space="preserve">Key </w:t>
      </w:r>
      <w:r>
        <w:rPr>
          <w:b/>
          <w:szCs w:val="24"/>
        </w:rPr>
        <w:t>Strategic Plans</w:t>
      </w:r>
    </w:p>
    <w:p w:rsidR="00EB7959" w:rsidRDefault="00EB7959" w:rsidP="00FE73BE">
      <w:pPr>
        <w:rPr>
          <w:b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969"/>
        <w:gridCol w:w="4819"/>
      </w:tblGrid>
      <w:tr w:rsidR="00F86D4A" w:rsidRPr="0059492B" w:rsidTr="0098524A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EB7959" w:rsidRPr="0059492B" w:rsidRDefault="00EB7959" w:rsidP="00E77ACF">
            <w:pPr>
              <w:spacing w:before="120" w:after="120"/>
              <w:rPr>
                <w:b/>
                <w:sz w:val="22"/>
                <w:szCs w:val="22"/>
              </w:rPr>
            </w:pPr>
            <w:r w:rsidRPr="0059492B">
              <w:rPr>
                <w:b/>
                <w:sz w:val="22"/>
                <w:szCs w:val="22"/>
              </w:rPr>
              <w:t>Proposed priority for the CYPF Plan 2016-2018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B7959" w:rsidRPr="0059492B" w:rsidRDefault="00EB7959" w:rsidP="00E77ACF">
            <w:pPr>
              <w:spacing w:before="120" w:after="120"/>
              <w:rPr>
                <w:b/>
                <w:sz w:val="22"/>
                <w:szCs w:val="22"/>
              </w:rPr>
            </w:pPr>
            <w:r w:rsidRPr="0059492B">
              <w:rPr>
                <w:b/>
                <w:sz w:val="22"/>
                <w:szCs w:val="22"/>
              </w:rPr>
              <w:t>NCC Delivery Plan 2014-18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B7959" w:rsidRPr="0059492B" w:rsidRDefault="00EB7959" w:rsidP="00E77ACF">
            <w:pPr>
              <w:spacing w:before="120" w:after="120"/>
              <w:rPr>
                <w:b/>
                <w:sz w:val="22"/>
                <w:szCs w:val="22"/>
              </w:rPr>
            </w:pPr>
            <w:r w:rsidRPr="0059492B">
              <w:rPr>
                <w:b/>
                <w:sz w:val="22"/>
                <w:szCs w:val="22"/>
              </w:rPr>
              <w:t>Health and Wellbeing Strategy 2014-17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B7959" w:rsidRPr="0059492B" w:rsidRDefault="00EB7959" w:rsidP="00E77ACF">
            <w:pPr>
              <w:spacing w:before="120" w:after="120"/>
              <w:rPr>
                <w:b/>
                <w:sz w:val="22"/>
                <w:szCs w:val="22"/>
              </w:rPr>
            </w:pPr>
            <w:r w:rsidRPr="0059492B">
              <w:rPr>
                <w:b/>
                <w:sz w:val="22"/>
                <w:szCs w:val="22"/>
              </w:rPr>
              <w:t>NSCB Business Plan</w:t>
            </w:r>
            <w:r>
              <w:rPr>
                <w:b/>
                <w:sz w:val="22"/>
                <w:szCs w:val="22"/>
              </w:rPr>
              <w:t xml:space="preserve"> 2014-16</w:t>
            </w:r>
          </w:p>
        </w:tc>
      </w:tr>
      <w:tr w:rsidR="0060254F" w:rsidRPr="002B4E94" w:rsidTr="0098524A">
        <w:tc>
          <w:tcPr>
            <w:tcW w:w="3402" w:type="dxa"/>
          </w:tcPr>
          <w:p w:rsidR="00EB7959" w:rsidRPr="00C05042" w:rsidRDefault="00EB7959" w:rsidP="00E77ACF">
            <w:pPr>
              <w:spacing w:before="120" w:after="120"/>
              <w:rPr>
                <w:b/>
                <w:i/>
                <w:color w:val="4F81BD" w:themeColor="accent1"/>
                <w:sz w:val="20"/>
              </w:rPr>
            </w:pPr>
            <w:r w:rsidRPr="00C05042">
              <w:rPr>
                <w:b/>
                <w:i/>
                <w:color w:val="4F81BD" w:themeColor="accent1"/>
                <w:sz w:val="20"/>
              </w:rPr>
              <w:t>Children and young people are safe in Nottinghamshire</w:t>
            </w:r>
          </w:p>
        </w:tc>
        <w:tc>
          <w:tcPr>
            <w:tcW w:w="3119" w:type="dxa"/>
          </w:tcPr>
          <w:p w:rsidR="009F553D" w:rsidRPr="009F553D" w:rsidRDefault="009F553D" w:rsidP="009F553D">
            <w:pPr>
              <w:spacing w:before="120" w:after="120"/>
              <w:rPr>
                <w:b/>
                <w:sz w:val="20"/>
              </w:rPr>
            </w:pPr>
            <w:r w:rsidRPr="009F553D">
              <w:rPr>
                <w:b/>
                <w:sz w:val="20"/>
              </w:rPr>
              <w:t>The most vulnerable children and adults will be effectively protected and supported</w:t>
            </w:r>
          </w:p>
          <w:p w:rsidR="00EB7959" w:rsidRPr="009F553D" w:rsidRDefault="00EB7959" w:rsidP="009F553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07E27" w:rsidRPr="00807E27" w:rsidRDefault="00807E27" w:rsidP="00807E27">
            <w:pPr>
              <w:spacing w:before="120" w:after="120"/>
              <w:rPr>
                <w:b/>
                <w:sz w:val="20"/>
              </w:rPr>
            </w:pPr>
            <w:r w:rsidRPr="00807E27">
              <w:rPr>
                <w:b/>
                <w:sz w:val="20"/>
              </w:rPr>
              <w:t xml:space="preserve">Work together to keep children and young people safe </w:t>
            </w:r>
          </w:p>
          <w:p w:rsidR="00807E27" w:rsidRPr="00807E27" w:rsidRDefault="00807E27" w:rsidP="00807E27">
            <w:pPr>
              <w:spacing w:before="120" w:after="120"/>
              <w:rPr>
                <w:b/>
                <w:sz w:val="20"/>
              </w:rPr>
            </w:pPr>
          </w:p>
          <w:p w:rsidR="00EB7959" w:rsidRDefault="00EB7959" w:rsidP="00807E27">
            <w:pPr>
              <w:spacing w:before="120" w:after="120"/>
              <w:rPr>
                <w:b/>
              </w:rPr>
            </w:pPr>
          </w:p>
        </w:tc>
        <w:tc>
          <w:tcPr>
            <w:tcW w:w="4819" w:type="dxa"/>
          </w:tcPr>
          <w:p w:rsidR="00EB7959" w:rsidRDefault="00EB7959" w:rsidP="00E77A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2B4E94">
              <w:rPr>
                <w:b/>
                <w:sz w:val="20"/>
              </w:rPr>
              <w:t>o ensure that the work of the NSCB and its partner agencies is focussed on the most vulnerable</w:t>
            </w:r>
          </w:p>
          <w:p w:rsidR="00EB7959" w:rsidRDefault="00EB7959" w:rsidP="00E77ACF">
            <w:pPr>
              <w:spacing w:before="120" w:after="120"/>
              <w:rPr>
                <w:b/>
                <w:sz w:val="20"/>
              </w:rPr>
            </w:pPr>
            <w:r w:rsidRPr="002B4E94">
              <w:rPr>
                <w:b/>
                <w:sz w:val="20"/>
              </w:rPr>
              <w:t>To provide effective scrutiny of safeguarding outcomes for children</w:t>
            </w:r>
            <w:r>
              <w:rPr>
                <w:b/>
                <w:sz w:val="20"/>
              </w:rPr>
              <w:t xml:space="preserve"> (including workforce development,  procedures</w:t>
            </w:r>
            <w:r w:rsidRPr="002B4E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&amp; guidance) </w:t>
            </w:r>
          </w:p>
          <w:p w:rsidR="00EB7959" w:rsidRDefault="00EB7959" w:rsidP="00E77A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To s</w:t>
            </w:r>
            <w:r w:rsidRPr="002B4E94">
              <w:rPr>
                <w:b/>
                <w:sz w:val="20"/>
              </w:rPr>
              <w:t>trengthen the role and engagement of partner agencies in the work of the NSCB</w:t>
            </w:r>
          </w:p>
          <w:p w:rsidR="00EB7959" w:rsidRPr="002B4E94" w:rsidRDefault="00EB7959" w:rsidP="00E77A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To e</w:t>
            </w:r>
            <w:r w:rsidRPr="002B4E94">
              <w:rPr>
                <w:b/>
                <w:sz w:val="20"/>
              </w:rPr>
              <w:t>nsur</w:t>
            </w:r>
            <w:r>
              <w:rPr>
                <w:b/>
                <w:sz w:val="20"/>
              </w:rPr>
              <w:t>e</w:t>
            </w:r>
            <w:r w:rsidRPr="002B4E94">
              <w:rPr>
                <w:b/>
                <w:sz w:val="20"/>
              </w:rPr>
              <w:t xml:space="preserve"> frameworks to support safeguarding are in place and that the NSCB is effective at the delivery of its core purpose</w:t>
            </w:r>
          </w:p>
        </w:tc>
      </w:tr>
      <w:tr w:rsidR="0060254F" w:rsidTr="0098524A">
        <w:tc>
          <w:tcPr>
            <w:tcW w:w="3402" w:type="dxa"/>
          </w:tcPr>
          <w:p w:rsidR="00EB7959" w:rsidRPr="00C05042" w:rsidRDefault="00EB7959" w:rsidP="00E77ACF">
            <w:pPr>
              <w:spacing w:before="120" w:after="120"/>
              <w:rPr>
                <w:b/>
                <w:i/>
                <w:color w:val="4F81BD" w:themeColor="accent1"/>
                <w:sz w:val="20"/>
              </w:rPr>
            </w:pPr>
            <w:r w:rsidRPr="00C05042">
              <w:rPr>
                <w:b/>
                <w:i/>
                <w:color w:val="4F81BD" w:themeColor="accent1"/>
                <w:sz w:val="20"/>
              </w:rPr>
              <w:t>Children and young people are happy and healthy in Nottinghamshire</w:t>
            </w:r>
          </w:p>
        </w:tc>
        <w:tc>
          <w:tcPr>
            <w:tcW w:w="3119" w:type="dxa"/>
          </w:tcPr>
          <w:p w:rsidR="00EB7959" w:rsidRDefault="00EB7959" w:rsidP="00807E2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</w:tcPr>
          <w:p w:rsidR="00EB7959" w:rsidRDefault="00807E27" w:rsidP="00822405">
            <w:pPr>
              <w:spacing w:before="120" w:after="120"/>
              <w:rPr>
                <w:b/>
              </w:rPr>
            </w:pPr>
            <w:r w:rsidRPr="00807E27">
              <w:rPr>
                <w:b/>
                <w:sz w:val="20"/>
              </w:rPr>
              <w:t xml:space="preserve">Improve children and young people's health outcomes through the integrated commissioning of services </w:t>
            </w:r>
          </w:p>
        </w:tc>
        <w:tc>
          <w:tcPr>
            <w:tcW w:w="4819" w:type="dxa"/>
          </w:tcPr>
          <w:p w:rsidR="00EB7959" w:rsidRDefault="00EB7959" w:rsidP="00E77ACF">
            <w:pPr>
              <w:spacing w:before="120" w:after="120"/>
              <w:rPr>
                <w:b/>
              </w:rPr>
            </w:pPr>
          </w:p>
        </w:tc>
      </w:tr>
      <w:tr w:rsidR="0060254F" w:rsidTr="0098524A">
        <w:tc>
          <w:tcPr>
            <w:tcW w:w="3402" w:type="dxa"/>
          </w:tcPr>
          <w:p w:rsidR="00EB7959" w:rsidRPr="00C05042" w:rsidRDefault="00EB7959" w:rsidP="00E77ACF">
            <w:pPr>
              <w:spacing w:before="120" w:after="120"/>
              <w:rPr>
                <w:b/>
                <w:i/>
                <w:color w:val="4F81BD" w:themeColor="accent1"/>
                <w:sz w:val="20"/>
              </w:rPr>
            </w:pPr>
            <w:r w:rsidRPr="00C05042">
              <w:rPr>
                <w:b/>
                <w:i/>
                <w:color w:val="4F81BD" w:themeColor="accent1"/>
                <w:sz w:val="20"/>
              </w:rPr>
              <w:t>Children and young people achieve their potential in Nottinghamshire</w:t>
            </w:r>
          </w:p>
        </w:tc>
        <w:tc>
          <w:tcPr>
            <w:tcW w:w="3119" w:type="dxa"/>
          </w:tcPr>
          <w:p w:rsidR="009F553D" w:rsidRPr="009F553D" w:rsidRDefault="009F553D" w:rsidP="009F553D">
            <w:pPr>
              <w:spacing w:before="120" w:after="120"/>
              <w:rPr>
                <w:b/>
                <w:sz w:val="20"/>
              </w:rPr>
            </w:pPr>
            <w:r w:rsidRPr="009F553D">
              <w:rPr>
                <w:b/>
                <w:sz w:val="20"/>
              </w:rPr>
              <w:t>More young people will be in work,</w:t>
            </w:r>
            <w:r w:rsidR="00DF0320">
              <w:rPr>
                <w:b/>
                <w:sz w:val="20"/>
              </w:rPr>
              <w:t xml:space="preserve"> education or training</w:t>
            </w:r>
          </w:p>
          <w:p w:rsidR="009F553D" w:rsidRPr="009F553D" w:rsidRDefault="009F553D" w:rsidP="009F553D">
            <w:pPr>
              <w:spacing w:before="120" w:after="120"/>
              <w:rPr>
                <w:b/>
                <w:sz w:val="20"/>
              </w:rPr>
            </w:pPr>
            <w:r w:rsidRPr="009F553D">
              <w:rPr>
                <w:b/>
                <w:sz w:val="20"/>
              </w:rPr>
              <w:t>Our children and young people will attain higher educational standards than the national average in good and outstanding schools</w:t>
            </w:r>
          </w:p>
          <w:p w:rsidR="009F553D" w:rsidRPr="009F553D" w:rsidRDefault="009F553D" w:rsidP="009F553D">
            <w:pPr>
              <w:spacing w:before="120" w:after="120"/>
              <w:rPr>
                <w:b/>
                <w:sz w:val="20"/>
              </w:rPr>
            </w:pPr>
            <w:r w:rsidRPr="009F553D">
              <w:rPr>
                <w:b/>
                <w:sz w:val="20"/>
              </w:rPr>
              <w:t>The attainment gap in education continues to close for all ages</w:t>
            </w:r>
          </w:p>
          <w:p w:rsidR="009F553D" w:rsidRDefault="009F553D" w:rsidP="009F553D">
            <w:pPr>
              <w:spacing w:before="120" w:after="120"/>
              <w:rPr>
                <w:b/>
                <w:sz w:val="20"/>
              </w:rPr>
            </w:pPr>
            <w:r w:rsidRPr="009F553D">
              <w:rPr>
                <w:b/>
                <w:sz w:val="20"/>
              </w:rPr>
              <w:t>Additional school places will be available where they are most needed</w:t>
            </w:r>
          </w:p>
          <w:p w:rsidR="00EB7959" w:rsidRPr="009F553D" w:rsidRDefault="009F553D" w:rsidP="009F553D">
            <w:pPr>
              <w:spacing w:before="120" w:after="120"/>
              <w:rPr>
                <w:b/>
                <w:sz w:val="20"/>
              </w:rPr>
            </w:pPr>
            <w:r w:rsidRPr="009F553D">
              <w:rPr>
                <w:b/>
                <w:sz w:val="20"/>
              </w:rPr>
              <w:t>Young people are supported to reach their potential</w:t>
            </w:r>
          </w:p>
        </w:tc>
        <w:tc>
          <w:tcPr>
            <w:tcW w:w="3969" w:type="dxa"/>
          </w:tcPr>
          <w:p w:rsidR="00EB7959" w:rsidRDefault="00807E27" w:rsidP="00F86D4A">
            <w:pPr>
              <w:spacing w:before="120" w:after="120"/>
              <w:rPr>
                <w:b/>
              </w:rPr>
            </w:pPr>
            <w:r w:rsidRPr="00807E27">
              <w:rPr>
                <w:b/>
                <w:sz w:val="20"/>
              </w:rPr>
              <w:t xml:space="preserve">Close the gap in educational attainment </w:t>
            </w:r>
          </w:p>
        </w:tc>
        <w:tc>
          <w:tcPr>
            <w:tcW w:w="4819" w:type="dxa"/>
          </w:tcPr>
          <w:p w:rsidR="00EB7959" w:rsidRDefault="00EB7959" w:rsidP="00E77ACF">
            <w:pPr>
              <w:spacing w:before="120" w:after="120"/>
              <w:rPr>
                <w:b/>
              </w:rPr>
            </w:pPr>
          </w:p>
        </w:tc>
      </w:tr>
      <w:tr w:rsidR="0060254F" w:rsidTr="0098524A">
        <w:tc>
          <w:tcPr>
            <w:tcW w:w="3402" w:type="dxa"/>
          </w:tcPr>
          <w:p w:rsidR="00EB7959" w:rsidRPr="00C05042" w:rsidRDefault="00EB7959" w:rsidP="00E77ACF">
            <w:pPr>
              <w:spacing w:before="120" w:after="120"/>
              <w:rPr>
                <w:b/>
                <w:i/>
                <w:color w:val="4F81BD" w:themeColor="accent1"/>
              </w:rPr>
            </w:pPr>
            <w:r w:rsidRPr="00C05042">
              <w:rPr>
                <w:b/>
                <w:i/>
                <w:color w:val="4F81BD" w:themeColor="accent1"/>
                <w:sz w:val="20"/>
              </w:rPr>
              <w:lastRenderedPageBreak/>
              <w:t>Children and young people and families receive support when required in Nottinghamshire</w:t>
            </w:r>
          </w:p>
        </w:tc>
        <w:tc>
          <w:tcPr>
            <w:tcW w:w="3119" w:type="dxa"/>
          </w:tcPr>
          <w:p w:rsidR="00EB7959" w:rsidRDefault="009F553D" w:rsidP="009F553D">
            <w:pPr>
              <w:spacing w:before="120" w:after="120"/>
              <w:rPr>
                <w:b/>
              </w:rPr>
            </w:pPr>
            <w:r w:rsidRPr="009F553D">
              <w:rPr>
                <w:b/>
                <w:sz w:val="20"/>
              </w:rPr>
              <w:t>Children and young people receive the help and support they require to be safe and thrive</w:t>
            </w:r>
          </w:p>
        </w:tc>
        <w:tc>
          <w:tcPr>
            <w:tcW w:w="3969" w:type="dxa"/>
          </w:tcPr>
          <w:p w:rsidR="00EB7959" w:rsidRDefault="00807E27" w:rsidP="00F86D4A">
            <w:pPr>
              <w:spacing w:before="120" w:after="120"/>
              <w:rPr>
                <w:b/>
              </w:rPr>
            </w:pPr>
            <w:r w:rsidRPr="00807E27">
              <w:rPr>
                <w:b/>
                <w:sz w:val="20"/>
              </w:rPr>
              <w:t xml:space="preserve">Provide children and young people with the early help support they need </w:t>
            </w:r>
          </w:p>
        </w:tc>
        <w:tc>
          <w:tcPr>
            <w:tcW w:w="4819" w:type="dxa"/>
          </w:tcPr>
          <w:p w:rsidR="00EB7959" w:rsidRDefault="00EB7959" w:rsidP="00E77ACF">
            <w:pPr>
              <w:spacing w:before="120" w:after="120"/>
              <w:rPr>
                <w:b/>
              </w:rPr>
            </w:pPr>
          </w:p>
        </w:tc>
      </w:tr>
      <w:tr w:rsidR="00F86D4A" w:rsidTr="0098524A">
        <w:tc>
          <w:tcPr>
            <w:tcW w:w="3402" w:type="dxa"/>
          </w:tcPr>
          <w:p w:rsidR="00807E27" w:rsidRPr="00B10D43" w:rsidRDefault="00807E27" w:rsidP="00E77ACF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807E27" w:rsidRDefault="00807E27" w:rsidP="00807E27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07E27" w:rsidRDefault="00807E27" w:rsidP="00E77ACF">
            <w:pPr>
              <w:spacing w:before="120" w:after="120"/>
              <w:rPr>
                <w:b/>
              </w:rPr>
            </w:pPr>
            <w:r w:rsidRPr="00807E27">
              <w:rPr>
                <w:b/>
                <w:sz w:val="20"/>
              </w:rPr>
              <w:t xml:space="preserve">Deliver integrated services for children and young people with complex needs or disabilities </w:t>
            </w:r>
          </w:p>
        </w:tc>
        <w:tc>
          <w:tcPr>
            <w:tcW w:w="4819" w:type="dxa"/>
          </w:tcPr>
          <w:p w:rsidR="00807E27" w:rsidRDefault="00807E27" w:rsidP="00E77ACF">
            <w:pPr>
              <w:spacing w:before="120" w:after="120"/>
              <w:rPr>
                <w:b/>
              </w:rPr>
            </w:pPr>
          </w:p>
        </w:tc>
      </w:tr>
    </w:tbl>
    <w:p w:rsidR="00EB7959" w:rsidRPr="00192F87" w:rsidRDefault="00EB7959" w:rsidP="00FE73BE">
      <w:pPr>
        <w:rPr>
          <w:b/>
          <w:szCs w:val="24"/>
        </w:rPr>
      </w:pPr>
    </w:p>
    <w:sectPr w:rsidR="00EB7959" w:rsidRPr="00192F87" w:rsidSect="004B21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EF" w:rsidRDefault="006B24EF">
      <w:r>
        <w:separator/>
      </w:r>
    </w:p>
  </w:endnote>
  <w:endnote w:type="continuationSeparator" w:id="0">
    <w:p w:rsidR="006B24EF" w:rsidRDefault="006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19208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1122B" w:rsidRPr="007C33F8" w:rsidRDefault="0031122B">
        <w:pPr>
          <w:pStyle w:val="Footer"/>
          <w:jc w:val="right"/>
          <w:rPr>
            <w:sz w:val="20"/>
          </w:rPr>
        </w:pPr>
        <w:r w:rsidRPr="007C33F8">
          <w:rPr>
            <w:sz w:val="20"/>
          </w:rPr>
          <w:fldChar w:fldCharType="begin"/>
        </w:r>
        <w:r w:rsidRPr="007C33F8">
          <w:rPr>
            <w:sz w:val="20"/>
          </w:rPr>
          <w:instrText xml:space="preserve"> PAGE   \* MERGEFORMAT </w:instrText>
        </w:r>
        <w:r w:rsidRPr="007C33F8">
          <w:rPr>
            <w:sz w:val="20"/>
          </w:rPr>
          <w:fldChar w:fldCharType="separate"/>
        </w:r>
        <w:r w:rsidR="00FC4288">
          <w:rPr>
            <w:noProof/>
            <w:sz w:val="20"/>
          </w:rPr>
          <w:t>2</w:t>
        </w:r>
        <w:r w:rsidRPr="007C33F8">
          <w:rPr>
            <w:noProof/>
            <w:sz w:val="20"/>
          </w:rPr>
          <w:fldChar w:fldCharType="end"/>
        </w:r>
      </w:p>
    </w:sdtContent>
  </w:sdt>
  <w:p w:rsidR="0031122B" w:rsidRDefault="00311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EF" w:rsidRDefault="006B24EF">
      <w:r>
        <w:separator/>
      </w:r>
    </w:p>
  </w:footnote>
  <w:footnote w:type="continuationSeparator" w:id="0">
    <w:p w:rsidR="006B24EF" w:rsidRDefault="006B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DA6"/>
    <w:multiLevelType w:val="multilevel"/>
    <w:tmpl w:val="9A7E7B8A"/>
    <w:numStyleLink w:val="Recommendations"/>
  </w:abstractNum>
  <w:abstractNum w:abstractNumId="1">
    <w:nsid w:val="0307526C"/>
    <w:multiLevelType w:val="hybridMultilevel"/>
    <w:tmpl w:val="AC70C594"/>
    <w:lvl w:ilvl="0" w:tplc="7E783D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D219C"/>
    <w:multiLevelType w:val="hybridMultilevel"/>
    <w:tmpl w:val="0EC8892A"/>
    <w:lvl w:ilvl="0" w:tplc="B9B0312C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08FF"/>
    <w:multiLevelType w:val="hybridMultilevel"/>
    <w:tmpl w:val="72FA433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3B4096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B4C58"/>
    <w:multiLevelType w:val="multilevel"/>
    <w:tmpl w:val="D3C2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A26CB"/>
    <w:multiLevelType w:val="hybridMultilevel"/>
    <w:tmpl w:val="E1922B36"/>
    <w:lvl w:ilvl="0" w:tplc="BF3E58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EE4C3A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83984"/>
    <w:multiLevelType w:val="hybridMultilevel"/>
    <w:tmpl w:val="6CBCD2A0"/>
    <w:lvl w:ilvl="0" w:tplc="74B8429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35387"/>
    <w:multiLevelType w:val="hybridMultilevel"/>
    <w:tmpl w:val="702E3118"/>
    <w:lvl w:ilvl="0" w:tplc="74B8429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C3AE9"/>
    <w:multiLevelType w:val="hybridMultilevel"/>
    <w:tmpl w:val="6BDAE90A"/>
    <w:lvl w:ilvl="0" w:tplc="B206134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110A"/>
    <w:multiLevelType w:val="hybridMultilevel"/>
    <w:tmpl w:val="07E68310"/>
    <w:lvl w:ilvl="0" w:tplc="74B8429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B41A8"/>
    <w:multiLevelType w:val="multilevel"/>
    <w:tmpl w:val="28DA89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A6282"/>
    <w:multiLevelType w:val="hybridMultilevel"/>
    <w:tmpl w:val="FE7A2F68"/>
    <w:lvl w:ilvl="0" w:tplc="B5F4D2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06E99"/>
    <w:multiLevelType w:val="hybridMultilevel"/>
    <w:tmpl w:val="5930F07E"/>
    <w:lvl w:ilvl="0" w:tplc="7E783D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86520"/>
    <w:multiLevelType w:val="hybridMultilevel"/>
    <w:tmpl w:val="71B0FD04"/>
    <w:lvl w:ilvl="0" w:tplc="3E50F7B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A1FC2"/>
    <w:multiLevelType w:val="multilevel"/>
    <w:tmpl w:val="64AEE7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80D32E9"/>
    <w:multiLevelType w:val="hybridMultilevel"/>
    <w:tmpl w:val="99DAD42A"/>
    <w:lvl w:ilvl="0" w:tplc="7CB224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7D5B"/>
    <w:multiLevelType w:val="multilevel"/>
    <w:tmpl w:val="6764D9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CF02256"/>
    <w:multiLevelType w:val="multilevel"/>
    <w:tmpl w:val="36A844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8">
    <w:nsid w:val="3AF171DD"/>
    <w:multiLevelType w:val="hybridMultilevel"/>
    <w:tmpl w:val="04383A24"/>
    <w:lvl w:ilvl="0" w:tplc="B9B0312C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E4F9A"/>
    <w:multiLevelType w:val="hybridMultilevel"/>
    <w:tmpl w:val="3EA82D08"/>
    <w:lvl w:ilvl="0" w:tplc="C7884EF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74764"/>
    <w:multiLevelType w:val="hybridMultilevel"/>
    <w:tmpl w:val="76CCD986"/>
    <w:lvl w:ilvl="0" w:tplc="B5F4D2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0687E"/>
    <w:multiLevelType w:val="multilevel"/>
    <w:tmpl w:val="9A7E7B8A"/>
    <w:styleLink w:val="Recommendations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4511735"/>
    <w:multiLevelType w:val="hybridMultilevel"/>
    <w:tmpl w:val="28DA89CE"/>
    <w:lvl w:ilvl="0" w:tplc="B5F4D2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47228"/>
    <w:multiLevelType w:val="hybridMultilevel"/>
    <w:tmpl w:val="4FD8860E"/>
    <w:lvl w:ilvl="0" w:tplc="FAC038F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81B4C"/>
    <w:multiLevelType w:val="hybridMultilevel"/>
    <w:tmpl w:val="D3C233DC"/>
    <w:lvl w:ilvl="0" w:tplc="74B8429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E5694"/>
    <w:multiLevelType w:val="hybridMultilevel"/>
    <w:tmpl w:val="7A9E6AA0"/>
    <w:lvl w:ilvl="0" w:tplc="E22651F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F14FD"/>
    <w:multiLevelType w:val="hybridMultilevel"/>
    <w:tmpl w:val="C3C85422"/>
    <w:lvl w:ilvl="0" w:tplc="7E783D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D48D0"/>
    <w:multiLevelType w:val="multilevel"/>
    <w:tmpl w:val="3DDA29E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8444508"/>
    <w:multiLevelType w:val="hybridMultilevel"/>
    <w:tmpl w:val="1682E42C"/>
    <w:lvl w:ilvl="0" w:tplc="74B8429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F3097"/>
    <w:multiLevelType w:val="hybridMultilevel"/>
    <w:tmpl w:val="84CAC578"/>
    <w:lvl w:ilvl="0" w:tplc="B206134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C221A"/>
    <w:multiLevelType w:val="multilevel"/>
    <w:tmpl w:val="9FA64EE6"/>
    <w:numStyleLink w:val="NumberedList"/>
  </w:abstractNum>
  <w:abstractNum w:abstractNumId="32">
    <w:nsid w:val="6CF24B95"/>
    <w:multiLevelType w:val="hybridMultilevel"/>
    <w:tmpl w:val="9482DDB2"/>
    <w:lvl w:ilvl="0" w:tplc="7D7693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7258A"/>
    <w:multiLevelType w:val="hybridMultilevel"/>
    <w:tmpl w:val="869C8638"/>
    <w:lvl w:ilvl="0" w:tplc="6788640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F80FD6"/>
    <w:multiLevelType w:val="hybridMultilevel"/>
    <w:tmpl w:val="94C4AA14"/>
    <w:lvl w:ilvl="0" w:tplc="74B8429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5">
    <w:nsid w:val="787C7C55"/>
    <w:multiLevelType w:val="multilevel"/>
    <w:tmpl w:val="9FA64EE6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BCF1864"/>
    <w:multiLevelType w:val="hybridMultilevel"/>
    <w:tmpl w:val="A71AFBA4"/>
    <w:lvl w:ilvl="0" w:tplc="D4F2C3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C8160C"/>
    <w:multiLevelType w:val="hybridMultilevel"/>
    <w:tmpl w:val="085AAE20"/>
    <w:lvl w:ilvl="0" w:tplc="7CB224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35"/>
  </w:num>
  <w:num w:numId="5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6">
    <w:abstractNumId w:val="33"/>
  </w:num>
  <w:num w:numId="7">
    <w:abstractNumId w:val="21"/>
  </w:num>
  <w:num w:numId="8">
    <w:abstractNumId w:val="0"/>
  </w:num>
  <w:num w:numId="9">
    <w:abstractNumId w:val="19"/>
  </w:num>
  <w:num w:numId="10">
    <w:abstractNumId w:val="29"/>
  </w:num>
  <w:num w:numId="11">
    <w:abstractNumId w:val="7"/>
  </w:num>
  <w:num w:numId="12">
    <w:abstractNumId w:val="24"/>
  </w:num>
  <w:num w:numId="13">
    <w:abstractNumId w:val="34"/>
  </w:num>
  <w:num w:numId="14">
    <w:abstractNumId w:val="9"/>
  </w:num>
  <w:num w:numId="15">
    <w:abstractNumId w:val="23"/>
  </w:num>
  <w:num w:numId="16">
    <w:abstractNumId w:val="4"/>
  </w:num>
  <w:num w:numId="17">
    <w:abstractNumId w:val="12"/>
  </w:num>
  <w:num w:numId="18">
    <w:abstractNumId w:val="26"/>
  </w:num>
  <w:num w:numId="19">
    <w:abstractNumId w:val="1"/>
  </w:num>
  <w:num w:numId="20">
    <w:abstractNumId w:val="5"/>
  </w:num>
  <w:num w:numId="21">
    <w:abstractNumId w:val="18"/>
  </w:num>
  <w:num w:numId="22">
    <w:abstractNumId w:val="2"/>
  </w:num>
  <w:num w:numId="23">
    <w:abstractNumId w:val="20"/>
  </w:num>
  <w:num w:numId="24">
    <w:abstractNumId w:val="22"/>
  </w:num>
  <w:num w:numId="25">
    <w:abstractNumId w:val="11"/>
  </w:num>
  <w:num w:numId="26">
    <w:abstractNumId w:val="32"/>
  </w:num>
  <w:num w:numId="27">
    <w:abstractNumId w:val="25"/>
  </w:num>
  <w:num w:numId="28">
    <w:abstractNumId w:val="6"/>
  </w:num>
  <w:num w:numId="29">
    <w:abstractNumId w:val="10"/>
  </w:num>
  <w:num w:numId="30">
    <w:abstractNumId w:val="36"/>
  </w:num>
  <w:num w:numId="31">
    <w:abstractNumId w:val="16"/>
  </w:num>
  <w:num w:numId="32">
    <w:abstractNumId w:val="17"/>
  </w:num>
  <w:num w:numId="33">
    <w:abstractNumId w:val="13"/>
  </w:num>
  <w:num w:numId="34">
    <w:abstractNumId w:val="27"/>
  </w:num>
  <w:num w:numId="35">
    <w:abstractNumId w:val="14"/>
  </w:num>
  <w:num w:numId="36">
    <w:abstractNumId w:val="3"/>
  </w:num>
  <w:num w:numId="37">
    <w:abstractNumId w:val="37"/>
  </w:num>
  <w:num w:numId="38">
    <w:abstractNumId w:val="15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9E"/>
    <w:rsid w:val="00051CA8"/>
    <w:rsid w:val="00060461"/>
    <w:rsid w:val="000B6D82"/>
    <w:rsid w:val="000F02AD"/>
    <w:rsid w:val="00100CA8"/>
    <w:rsid w:val="00145555"/>
    <w:rsid w:val="001458D0"/>
    <w:rsid w:val="001637B7"/>
    <w:rsid w:val="00192F87"/>
    <w:rsid w:val="00196F17"/>
    <w:rsid w:val="001A4CB8"/>
    <w:rsid w:val="001D459E"/>
    <w:rsid w:val="001F0C58"/>
    <w:rsid w:val="001F4FCB"/>
    <w:rsid w:val="002223D8"/>
    <w:rsid w:val="00250BA9"/>
    <w:rsid w:val="002609EF"/>
    <w:rsid w:val="00262B04"/>
    <w:rsid w:val="00267A3D"/>
    <w:rsid w:val="002B4E94"/>
    <w:rsid w:val="002C21B4"/>
    <w:rsid w:val="002D77FA"/>
    <w:rsid w:val="002E7812"/>
    <w:rsid w:val="002F3C50"/>
    <w:rsid w:val="0031122B"/>
    <w:rsid w:val="00334F5B"/>
    <w:rsid w:val="003752F4"/>
    <w:rsid w:val="00393228"/>
    <w:rsid w:val="00406B89"/>
    <w:rsid w:val="00425CB1"/>
    <w:rsid w:val="00445AFF"/>
    <w:rsid w:val="00486B16"/>
    <w:rsid w:val="004B2101"/>
    <w:rsid w:val="004B6BD8"/>
    <w:rsid w:val="00534887"/>
    <w:rsid w:val="00560633"/>
    <w:rsid w:val="005718A2"/>
    <w:rsid w:val="0059492B"/>
    <w:rsid w:val="00601EA1"/>
    <w:rsid w:val="00601FA0"/>
    <w:rsid w:val="0060254F"/>
    <w:rsid w:val="00613F4D"/>
    <w:rsid w:val="0064296A"/>
    <w:rsid w:val="00673E0F"/>
    <w:rsid w:val="006962D5"/>
    <w:rsid w:val="006A128F"/>
    <w:rsid w:val="006A7C83"/>
    <w:rsid w:val="006B24EF"/>
    <w:rsid w:val="006C3FC4"/>
    <w:rsid w:val="006D6EDA"/>
    <w:rsid w:val="006F2236"/>
    <w:rsid w:val="006F596C"/>
    <w:rsid w:val="00720587"/>
    <w:rsid w:val="00720A67"/>
    <w:rsid w:val="00743F56"/>
    <w:rsid w:val="00772346"/>
    <w:rsid w:val="007845DD"/>
    <w:rsid w:val="00784EC6"/>
    <w:rsid w:val="007B0862"/>
    <w:rsid w:val="007C33F8"/>
    <w:rsid w:val="007D5C84"/>
    <w:rsid w:val="007D6987"/>
    <w:rsid w:val="00807E27"/>
    <w:rsid w:val="00810352"/>
    <w:rsid w:val="00813ED5"/>
    <w:rsid w:val="008142E7"/>
    <w:rsid w:val="00822405"/>
    <w:rsid w:val="00856CC5"/>
    <w:rsid w:val="008A4D0B"/>
    <w:rsid w:val="008B1581"/>
    <w:rsid w:val="00906DF5"/>
    <w:rsid w:val="00935254"/>
    <w:rsid w:val="00942AEE"/>
    <w:rsid w:val="0098524A"/>
    <w:rsid w:val="009B4037"/>
    <w:rsid w:val="009F553D"/>
    <w:rsid w:val="00A314E9"/>
    <w:rsid w:val="00A35998"/>
    <w:rsid w:val="00A95093"/>
    <w:rsid w:val="00AD131D"/>
    <w:rsid w:val="00AD7AEA"/>
    <w:rsid w:val="00AE1165"/>
    <w:rsid w:val="00AE646E"/>
    <w:rsid w:val="00B10D43"/>
    <w:rsid w:val="00B76221"/>
    <w:rsid w:val="00BF4AD2"/>
    <w:rsid w:val="00C01F20"/>
    <w:rsid w:val="00C03F4F"/>
    <w:rsid w:val="00C05042"/>
    <w:rsid w:val="00C20CAF"/>
    <w:rsid w:val="00C27C5C"/>
    <w:rsid w:val="00C66D43"/>
    <w:rsid w:val="00C670A4"/>
    <w:rsid w:val="00CC4529"/>
    <w:rsid w:val="00CE3C4E"/>
    <w:rsid w:val="00D40551"/>
    <w:rsid w:val="00D6190D"/>
    <w:rsid w:val="00D61B62"/>
    <w:rsid w:val="00D7231E"/>
    <w:rsid w:val="00DE003D"/>
    <w:rsid w:val="00DF0320"/>
    <w:rsid w:val="00E12EE8"/>
    <w:rsid w:val="00E72F2F"/>
    <w:rsid w:val="00EA59C5"/>
    <w:rsid w:val="00EB7959"/>
    <w:rsid w:val="00EF3D0F"/>
    <w:rsid w:val="00F163D1"/>
    <w:rsid w:val="00F86D4A"/>
    <w:rsid w:val="00FA3FE2"/>
    <w:rsid w:val="00FC428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pPr>
      <w:numPr>
        <w:numId w:val="3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pPr>
      <w:numPr>
        <w:ilvl w:val="2"/>
      </w:numPr>
    </w:pPr>
    <w:rPr>
      <w:b w:val="0"/>
    </w:rPr>
  </w:style>
  <w:style w:type="paragraph" w:customStyle="1" w:styleId="CharChar1Char">
    <w:name w:val="Char Char1 Char"/>
    <w:basedOn w:val="Normal"/>
    <w:pPr>
      <w:keepLines/>
      <w:spacing w:after="300" w:line="240" w:lineRule="atLeast"/>
    </w:pPr>
    <w:rPr>
      <w:szCs w:val="24"/>
      <w:lang w:val="en-US" w:eastAsia="en-US"/>
    </w:rPr>
  </w:style>
  <w:style w:type="paragraph" w:customStyle="1" w:styleId="ReportTitle">
    <w:name w:val="Report Title"/>
    <w:basedOn w:val="Normal"/>
    <w:pPr>
      <w:jc w:val="both"/>
    </w:pPr>
    <w:rPr>
      <w:rFonts w:cs="Arial"/>
      <w:b/>
      <w:bCs/>
      <w:caps/>
      <w:color w:val="000000"/>
      <w:sz w:val="28"/>
      <w:szCs w:val="28"/>
    </w:rPr>
  </w:style>
  <w:style w:type="paragraph" w:customStyle="1" w:styleId="HiddenText">
    <w:name w:val="Hidden Text"/>
    <w:basedOn w:val="Normal"/>
    <w:next w:val="Normal"/>
    <w:pPr>
      <w:jc w:val="both"/>
    </w:pPr>
    <w:rPr>
      <w:vanish/>
      <w:color w:val="339966"/>
      <w:szCs w:val="24"/>
      <w:u w:val="dotted"/>
    </w:rPr>
  </w:style>
  <w:style w:type="paragraph" w:customStyle="1" w:styleId="TableFieldsBig">
    <w:name w:val="Table Fields Big"/>
    <w:basedOn w:val="Normal"/>
    <w:pPr>
      <w:jc w:val="right"/>
    </w:pPr>
    <w:rPr>
      <w:b/>
      <w:sz w:val="28"/>
      <w:szCs w:val="24"/>
    </w:rPr>
  </w:style>
  <w:style w:type="paragraph" w:customStyle="1" w:styleId="TableFieldsSmall">
    <w:name w:val="Table Fields Small"/>
    <w:basedOn w:val="Normal"/>
    <w:next w:val="Normal"/>
    <w:pPr>
      <w:jc w:val="right"/>
    </w:pPr>
    <w:rPr>
      <w:b/>
      <w:szCs w:val="24"/>
    </w:rPr>
  </w:style>
  <w:style w:type="paragraph" w:customStyle="1" w:styleId="SectionSub-heading">
    <w:name w:val="Section Sub-heading"/>
    <w:basedOn w:val="SectionHeadings"/>
    <w:next w:val="Normal"/>
    <w:rPr>
      <w:sz w:val="24"/>
    </w:rPr>
  </w:style>
  <w:style w:type="paragraph" w:customStyle="1" w:styleId="SectionHeadings">
    <w:name w:val="Section Headings"/>
    <w:basedOn w:val="Normal"/>
    <w:next w:val="Normal"/>
    <w:pPr>
      <w:jc w:val="both"/>
    </w:pPr>
    <w:rPr>
      <w:rFonts w:cs="Arial"/>
      <w:b/>
      <w:sz w:val="28"/>
      <w:szCs w:val="24"/>
    </w:rPr>
  </w:style>
  <w:style w:type="numbering" w:customStyle="1" w:styleId="NumberedList">
    <w:name w:val="Numbered List"/>
    <w:basedOn w:val="NoList"/>
    <w:pPr>
      <w:numPr>
        <w:numId w:val="4"/>
      </w:numPr>
    </w:pPr>
  </w:style>
  <w:style w:type="paragraph" w:customStyle="1" w:styleId="Fields">
    <w:name w:val="Fields"/>
    <w:basedOn w:val="Normal"/>
    <w:pPr>
      <w:ind w:left="720" w:hanging="720"/>
      <w:jc w:val="both"/>
    </w:pPr>
    <w:rPr>
      <w:rFonts w:cs="Arial"/>
      <w:b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arChar1CharCharCharCharCharCharCharCharChar">
    <w:name w:val="Char Char1 Char Char Char Char Char Char Char Char Char"/>
    <w:basedOn w:val="Normal"/>
    <w:pPr>
      <w:keepLines/>
      <w:spacing w:after="300" w:line="240" w:lineRule="atLeast"/>
    </w:pPr>
    <w:rPr>
      <w:szCs w:val="24"/>
      <w:lang w:val="en-US" w:eastAsia="en-US"/>
    </w:rPr>
  </w:style>
  <w:style w:type="numbering" w:customStyle="1" w:styleId="Recommendations">
    <w:name w:val="Recommendations"/>
    <w:basedOn w:val="NoList"/>
    <w:pPr>
      <w:numPr>
        <w:numId w:val="7"/>
      </w:numPr>
    </w:pPr>
  </w:style>
  <w:style w:type="character" w:styleId="Hyperlink">
    <w:name w:val="Hyperlink"/>
    <w:rPr>
      <w:color w:val="0000FF"/>
      <w:u w:val="single"/>
    </w:rPr>
  </w:style>
  <w:style w:type="paragraph" w:customStyle="1" w:styleId="Char1CharCharCharChar">
    <w:name w:val="Char1 Char Char Char Char"/>
    <w:basedOn w:val="Normal"/>
    <w:rsid w:val="00C03F4F"/>
    <w:pPr>
      <w:keepLines/>
    </w:pPr>
    <w:rPr>
      <w:sz w:val="22"/>
      <w:szCs w:val="22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D40551"/>
    <w:pPr>
      <w:keepLines/>
      <w:spacing w:after="300" w:line="240" w:lineRule="atLeast"/>
    </w:pPr>
    <w:rPr>
      <w:szCs w:val="24"/>
      <w:lang w:eastAsia="en-US"/>
    </w:rPr>
  </w:style>
  <w:style w:type="paragraph" w:customStyle="1" w:styleId="Char1CharCharChar">
    <w:name w:val="Char1 Char Char Char"/>
    <w:basedOn w:val="Normal"/>
    <w:rsid w:val="006F2236"/>
    <w:pPr>
      <w:keepLines/>
    </w:pPr>
    <w:rPr>
      <w:sz w:val="22"/>
      <w:szCs w:val="22"/>
      <w:lang w:eastAsia="en-US"/>
    </w:rPr>
  </w:style>
  <w:style w:type="table" w:styleId="TableGrid">
    <w:name w:val="Table Grid"/>
    <w:basedOn w:val="TableNormal"/>
    <w:rsid w:val="006F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E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122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7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pPr>
      <w:numPr>
        <w:numId w:val="3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pPr>
      <w:numPr>
        <w:ilvl w:val="2"/>
      </w:numPr>
    </w:pPr>
    <w:rPr>
      <w:b w:val="0"/>
    </w:rPr>
  </w:style>
  <w:style w:type="paragraph" w:customStyle="1" w:styleId="CharChar1Char">
    <w:name w:val="Char Char1 Char"/>
    <w:basedOn w:val="Normal"/>
    <w:pPr>
      <w:keepLines/>
      <w:spacing w:after="300" w:line="240" w:lineRule="atLeast"/>
    </w:pPr>
    <w:rPr>
      <w:szCs w:val="24"/>
      <w:lang w:val="en-US" w:eastAsia="en-US"/>
    </w:rPr>
  </w:style>
  <w:style w:type="paragraph" w:customStyle="1" w:styleId="ReportTitle">
    <w:name w:val="Report Title"/>
    <w:basedOn w:val="Normal"/>
    <w:pPr>
      <w:jc w:val="both"/>
    </w:pPr>
    <w:rPr>
      <w:rFonts w:cs="Arial"/>
      <w:b/>
      <w:bCs/>
      <w:caps/>
      <w:color w:val="000000"/>
      <w:sz w:val="28"/>
      <w:szCs w:val="28"/>
    </w:rPr>
  </w:style>
  <w:style w:type="paragraph" w:customStyle="1" w:styleId="HiddenText">
    <w:name w:val="Hidden Text"/>
    <w:basedOn w:val="Normal"/>
    <w:next w:val="Normal"/>
    <w:pPr>
      <w:jc w:val="both"/>
    </w:pPr>
    <w:rPr>
      <w:vanish/>
      <w:color w:val="339966"/>
      <w:szCs w:val="24"/>
      <w:u w:val="dotted"/>
    </w:rPr>
  </w:style>
  <w:style w:type="paragraph" w:customStyle="1" w:styleId="TableFieldsBig">
    <w:name w:val="Table Fields Big"/>
    <w:basedOn w:val="Normal"/>
    <w:pPr>
      <w:jc w:val="right"/>
    </w:pPr>
    <w:rPr>
      <w:b/>
      <w:sz w:val="28"/>
      <w:szCs w:val="24"/>
    </w:rPr>
  </w:style>
  <w:style w:type="paragraph" w:customStyle="1" w:styleId="TableFieldsSmall">
    <w:name w:val="Table Fields Small"/>
    <w:basedOn w:val="Normal"/>
    <w:next w:val="Normal"/>
    <w:pPr>
      <w:jc w:val="right"/>
    </w:pPr>
    <w:rPr>
      <w:b/>
      <w:szCs w:val="24"/>
    </w:rPr>
  </w:style>
  <w:style w:type="paragraph" w:customStyle="1" w:styleId="SectionSub-heading">
    <w:name w:val="Section Sub-heading"/>
    <w:basedOn w:val="SectionHeadings"/>
    <w:next w:val="Normal"/>
    <w:rPr>
      <w:sz w:val="24"/>
    </w:rPr>
  </w:style>
  <w:style w:type="paragraph" w:customStyle="1" w:styleId="SectionHeadings">
    <w:name w:val="Section Headings"/>
    <w:basedOn w:val="Normal"/>
    <w:next w:val="Normal"/>
    <w:pPr>
      <w:jc w:val="both"/>
    </w:pPr>
    <w:rPr>
      <w:rFonts w:cs="Arial"/>
      <w:b/>
      <w:sz w:val="28"/>
      <w:szCs w:val="24"/>
    </w:rPr>
  </w:style>
  <w:style w:type="numbering" w:customStyle="1" w:styleId="NumberedList">
    <w:name w:val="Numbered List"/>
    <w:basedOn w:val="NoList"/>
    <w:pPr>
      <w:numPr>
        <w:numId w:val="4"/>
      </w:numPr>
    </w:pPr>
  </w:style>
  <w:style w:type="paragraph" w:customStyle="1" w:styleId="Fields">
    <w:name w:val="Fields"/>
    <w:basedOn w:val="Normal"/>
    <w:pPr>
      <w:ind w:left="720" w:hanging="720"/>
      <w:jc w:val="both"/>
    </w:pPr>
    <w:rPr>
      <w:rFonts w:cs="Arial"/>
      <w:b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arChar1CharCharCharCharCharCharCharCharChar">
    <w:name w:val="Char Char1 Char Char Char Char Char Char Char Char Char"/>
    <w:basedOn w:val="Normal"/>
    <w:pPr>
      <w:keepLines/>
      <w:spacing w:after="300" w:line="240" w:lineRule="atLeast"/>
    </w:pPr>
    <w:rPr>
      <w:szCs w:val="24"/>
      <w:lang w:val="en-US" w:eastAsia="en-US"/>
    </w:rPr>
  </w:style>
  <w:style w:type="numbering" w:customStyle="1" w:styleId="Recommendations">
    <w:name w:val="Recommendations"/>
    <w:basedOn w:val="NoList"/>
    <w:pPr>
      <w:numPr>
        <w:numId w:val="7"/>
      </w:numPr>
    </w:pPr>
  </w:style>
  <w:style w:type="character" w:styleId="Hyperlink">
    <w:name w:val="Hyperlink"/>
    <w:rPr>
      <w:color w:val="0000FF"/>
      <w:u w:val="single"/>
    </w:rPr>
  </w:style>
  <w:style w:type="paragraph" w:customStyle="1" w:styleId="Char1CharCharCharChar">
    <w:name w:val="Char1 Char Char Char Char"/>
    <w:basedOn w:val="Normal"/>
    <w:rsid w:val="00C03F4F"/>
    <w:pPr>
      <w:keepLines/>
    </w:pPr>
    <w:rPr>
      <w:sz w:val="22"/>
      <w:szCs w:val="22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D40551"/>
    <w:pPr>
      <w:keepLines/>
      <w:spacing w:after="300" w:line="240" w:lineRule="atLeast"/>
    </w:pPr>
    <w:rPr>
      <w:szCs w:val="24"/>
      <w:lang w:eastAsia="en-US"/>
    </w:rPr>
  </w:style>
  <w:style w:type="paragraph" w:customStyle="1" w:styleId="Char1CharCharChar">
    <w:name w:val="Char1 Char Char Char"/>
    <w:basedOn w:val="Normal"/>
    <w:rsid w:val="006F2236"/>
    <w:pPr>
      <w:keepLines/>
    </w:pPr>
    <w:rPr>
      <w:sz w:val="22"/>
      <w:szCs w:val="22"/>
      <w:lang w:eastAsia="en-US"/>
    </w:rPr>
  </w:style>
  <w:style w:type="table" w:styleId="TableGrid">
    <w:name w:val="Table Grid"/>
    <w:basedOn w:val="TableNormal"/>
    <w:rsid w:val="006F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E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122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7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9325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mailto:margaret.pape@nottscc.gov.uk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cw112</dc:creator>
  <cp:lastModifiedBy>Christopher 1 Jones</cp:lastModifiedBy>
  <cp:revision>2</cp:revision>
  <cp:lastPrinted>2015-09-18T09:22:00Z</cp:lastPrinted>
  <dcterms:created xsi:type="dcterms:W3CDTF">2015-10-01T08:53:00Z</dcterms:created>
  <dcterms:modified xsi:type="dcterms:W3CDTF">2015-10-01T08:53:00Z</dcterms:modified>
</cp:coreProperties>
</file>