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36" w:rsidRPr="00352836" w:rsidRDefault="00352836" w:rsidP="00B14376">
      <w:pPr>
        <w:rPr>
          <w:u w:val="single"/>
        </w:rPr>
      </w:pPr>
      <w:r>
        <w:rPr>
          <w:u w:val="single"/>
        </w:rPr>
        <w:t>Finance &amp; HR Key Stakeholders</w:t>
      </w:r>
    </w:p>
    <w:p w:rsidR="00B14376" w:rsidRDefault="00B14376" w:rsidP="00B14376">
      <w:pPr>
        <w:pStyle w:val="ListParagraph"/>
        <w:numPr>
          <w:ilvl w:val="0"/>
          <w:numId w:val="4"/>
        </w:numPr>
      </w:pPr>
      <w:r>
        <w:t>Please provide the contact information for the councils Director of Finance:</w:t>
      </w:r>
    </w:p>
    <w:p w:rsidR="00B14376" w:rsidRDefault="00676754" w:rsidP="00B14376">
      <w:pPr>
        <w:pStyle w:val="ListParagraph"/>
        <w:numPr>
          <w:ilvl w:val="1"/>
          <w:numId w:val="4"/>
        </w:numPr>
      </w:pPr>
      <w:r>
        <w:t>Nigel Stevenson</w:t>
      </w:r>
    </w:p>
    <w:p w:rsidR="00B14376" w:rsidRDefault="00676754" w:rsidP="00B14376">
      <w:pPr>
        <w:pStyle w:val="ListParagraph"/>
        <w:numPr>
          <w:ilvl w:val="1"/>
          <w:numId w:val="4"/>
        </w:numPr>
      </w:pPr>
      <w:r>
        <w:t>Nigel.stevenson@nottscc.gov.uk</w:t>
      </w:r>
    </w:p>
    <w:p w:rsidR="00B14376" w:rsidRDefault="00676754" w:rsidP="00676754">
      <w:pPr>
        <w:pStyle w:val="ListParagraph"/>
        <w:numPr>
          <w:ilvl w:val="1"/>
          <w:numId w:val="4"/>
        </w:numPr>
      </w:pPr>
      <w:r w:rsidRPr="00676754">
        <w:t>0300 500 80 80</w:t>
      </w:r>
    </w:p>
    <w:p w:rsidR="00B14376" w:rsidRDefault="00B14376" w:rsidP="00B14376">
      <w:pPr>
        <w:pStyle w:val="ListParagraph"/>
        <w:ind w:left="1440"/>
      </w:pPr>
    </w:p>
    <w:p w:rsidR="00B14376" w:rsidRDefault="00B14376" w:rsidP="00B14376">
      <w:pPr>
        <w:pStyle w:val="ListParagraph"/>
        <w:numPr>
          <w:ilvl w:val="0"/>
          <w:numId w:val="4"/>
        </w:numPr>
      </w:pPr>
      <w:r>
        <w:t>Please provide the contact information for the councils HR Director</w:t>
      </w:r>
      <w:r w:rsidR="00CB669C">
        <w:t xml:space="preserve"> (or equivalent)</w:t>
      </w:r>
      <w:r>
        <w:t>:</w:t>
      </w:r>
    </w:p>
    <w:p w:rsidR="00B14376" w:rsidRDefault="00676754" w:rsidP="00B14376">
      <w:pPr>
        <w:pStyle w:val="ListParagraph"/>
        <w:numPr>
          <w:ilvl w:val="1"/>
          <w:numId w:val="4"/>
        </w:numPr>
      </w:pPr>
      <w:r>
        <w:t>Marjorie Toward</w:t>
      </w:r>
    </w:p>
    <w:p w:rsidR="00B14376" w:rsidRDefault="00676754" w:rsidP="00B14376">
      <w:pPr>
        <w:pStyle w:val="ListParagraph"/>
        <w:numPr>
          <w:ilvl w:val="1"/>
          <w:numId w:val="4"/>
        </w:numPr>
      </w:pPr>
      <w:r>
        <w:t>Marjorie.toward@nottscc.gov.uk</w:t>
      </w:r>
    </w:p>
    <w:p w:rsidR="00B14376" w:rsidRDefault="00676754" w:rsidP="00676754">
      <w:pPr>
        <w:pStyle w:val="ListParagraph"/>
        <w:numPr>
          <w:ilvl w:val="1"/>
          <w:numId w:val="4"/>
        </w:numPr>
      </w:pPr>
      <w:r w:rsidRPr="00676754">
        <w:t>0300 500 80 80</w:t>
      </w:r>
      <w:bookmarkStart w:id="0" w:name="_GoBack"/>
      <w:bookmarkEnd w:id="0"/>
    </w:p>
    <w:p w:rsidR="00B14376" w:rsidRPr="00791FDC" w:rsidRDefault="00B14376" w:rsidP="00B14376">
      <w:pPr>
        <w:pStyle w:val="ListParagraph"/>
      </w:pPr>
    </w:p>
    <w:p w:rsidR="00B14376" w:rsidRDefault="00B14376" w:rsidP="00B14376">
      <w:pPr>
        <w:rPr>
          <w:u w:val="single"/>
        </w:rPr>
      </w:pPr>
      <w:r>
        <w:rPr>
          <w:u w:val="single"/>
        </w:rPr>
        <w:t>Accounts Payable</w:t>
      </w:r>
    </w:p>
    <w:p w:rsidR="00066983" w:rsidRDefault="00B14376" w:rsidP="00B14376">
      <w:pPr>
        <w:pStyle w:val="ListParagraph"/>
        <w:numPr>
          <w:ilvl w:val="0"/>
          <w:numId w:val="2"/>
        </w:numPr>
      </w:pPr>
      <w:r>
        <w:t xml:space="preserve">Has the organisation undergone an </w:t>
      </w:r>
      <w:r w:rsidR="00CB669C">
        <w:t>audit reviewing accounts payable (AP) to recover monies paid in error</w:t>
      </w:r>
      <w:r>
        <w:t xml:space="preserve"> in the last five financial years (12/13 – 16/17)?</w:t>
      </w:r>
      <w:r w:rsidR="00066983">
        <w:t xml:space="preserve"> </w:t>
      </w:r>
      <w:r w:rsidR="00066983" w:rsidRPr="008F0891">
        <w:rPr>
          <w:b/>
          <w:color w:val="FF0000"/>
        </w:rPr>
        <w:t>Yes</w:t>
      </w:r>
    </w:p>
    <w:p w:rsidR="00B14376" w:rsidRDefault="00B14376" w:rsidP="00066983">
      <w:pPr>
        <w:pStyle w:val="ListParagraph"/>
      </w:pPr>
      <w:r>
        <w:t xml:space="preserve"> If so, please provide the following information based on the review</w:t>
      </w:r>
    </w:p>
    <w:p w:rsidR="00B14376" w:rsidRPr="008F0891" w:rsidRDefault="00B14376" w:rsidP="00B14376">
      <w:pPr>
        <w:pStyle w:val="ListParagraph"/>
        <w:numPr>
          <w:ilvl w:val="1"/>
          <w:numId w:val="2"/>
        </w:numPr>
        <w:rPr>
          <w:b/>
          <w:color w:val="FF0000"/>
        </w:rPr>
      </w:pPr>
      <w:r>
        <w:t>Name of third party supplier</w:t>
      </w:r>
      <w:r w:rsidR="00066983">
        <w:t xml:space="preserve"> –</w:t>
      </w:r>
      <w:r w:rsidR="00066983" w:rsidRPr="00066983">
        <w:rPr>
          <w:b/>
          <w:color w:val="C45911" w:themeColor="accent2" w:themeShade="BF"/>
        </w:rPr>
        <w:t xml:space="preserve"> </w:t>
      </w:r>
      <w:r w:rsidR="00066983" w:rsidRPr="008F0891">
        <w:rPr>
          <w:b/>
          <w:color w:val="FF0000"/>
        </w:rPr>
        <w:t>Review performed by NCC’s AP Staff</w:t>
      </w:r>
    </w:p>
    <w:p w:rsidR="00B14376" w:rsidRDefault="00B14376" w:rsidP="00B14376">
      <w:pPr>
        <w:pStyle w:val="ListParagraph"/>
        <w:numPr>
          <w:ilvl w:val="1"/>
          <w:numId w:val="2"/>
        </w:numPr>
      </w:pPr>
      <w:r>
        <w:t>Duration of the review</w:t>
      </w:r>
      <w:r w:rsidR="00066983">
        <w:t xml:space="preserve"> - </w:t>
      </w:r>
      <w:r w:rsidR="00066983" w:rsidRPr="008F0891">
        <w:rPr>
          <w:b/>
          <w:color w:val="FF0000"/>
        </w:rPr>
        <w:t>Ongoing</w:t>
      </w:r>
    </w:p>
    <w:p w:rsidR="00B14376" w:rsidRPr="008F0891" w:rsidRDefault="00B14376" w:rsidP="00B14376">
      <w:pPr>
        <w:pStyle w:val="ListParagraph"/>
        <w:numPr>
          <w:ilvl w:val="1"/>
          <w:numId w:val="2"/>
        </w:numPr>
        <w:rPr>
          <w:b/>
          <w:color w:val="FF0000"/>
        </w:rPr>
      </w:pPr>
      <w:r>
        <w:lastRenderedPageBreak/>
        <w:t>Total value of duplicated invoices/erroneous payments identified</w:t>
      </w:r>
      <w:r w:rsidR="00066983">
        <w:t xml:space="preserve">, </w:t>
      </w:r>
      <w:r w:rsidR="00066983" w:rsidRPr="008F0891">
        <w:rPr>
          <w:b/>
          <w:color w:val="FF0000"/>
        </w:rPr>
        <w:t>Duplicates  &amp; invoice</w:t>
      </w:r>
      <w:r w:rsidR="008F0891">
        <w:rPr>
          <w:b/>
          <w:color w:val="FF0000"/>
        </w:rPr>
        <w:t xml:space="preserve"> queries </w:t>
      </w:r>
      <w:r w:rsidR="00066983" w:rsidRPr="008F0891">
        <w:rPr>
          <w:b/>
          <w:color w:val="FF0000"/>
        </w:rPr>
        <w:t>are stopped before payment</w:t>
      </w:r>
    </w:p>
    <w:p w:rsidR="00B14376" w:rsidRPr="00066983" w:rsidRDefault="00B14376" w:rsidP="00B14376">
      <w:pPr>
        <w:pStyle w:val="ListParagraph"/>
        <w:numPr>
          <w:ilvl w:val="1"/>
          <w:numId w:val="2"/>
        </w:numPr>
        <w:rPr>
          <w:b/>
          <w:color w:val="C45911" w:themeColor="accent2" w:themeShade="BF"/>
        </w:rPr>
      </w:pPr>
      <w:r>
        <w:t>How much did the third party invoice for any review work undertaken?</w:t>
      </w:r>
      <w:r w:rsidR="00066983">
        <w:t xml:space="preserve"> </w:t>
      </w:r>
      <w:r w:rsidR="00066983" w:rsidRPr="008F0891">
        <w:rPr>
          <w:b/>
          <w:color w:val="FF0000"/>
        </w:rPr>
        <w:t>N/A</w:t>
      </w:r>
    </w:p>
    <w:p w:rsidR="00B14376" w:rsidRPr="005A3C26" w:rsidRDefault="00B14376" w:rsidP="00B14376">
      <w:pPr>
        <w:pStyle w:val="ListParagraph"/>
        <w:numPr>
          <w:ilvl w:val="1"/>
          <w:numId w:val="2"/>
        </w:numPr>
      </w:pPr>
      <w:r>
        <w:t xml:space="preserve">Did the organisation procure these services through a framework? If so, please state </w:t>
      </w:r>
      <w:r w:rsidRPr="005A3C26">
        <w:t>which framework</w:t>
      </w:r>
      <w:r w:rsidR="00066983">
        <w:t xml:space="preserve"> </w:t>
      </w:r>
      <w:r w:rsidR="00066983" w:rsidRPr="008F0891">
        <w:rPr>
          <w:b/>
          <w:color w:val="FF0000"/>
        </w:rPr>
        <w:t>N/A</w:t>
      </w:r>
    </w:p>
    <w:p w:rsidR="00B14376" w:rsidRPr="005A3C26" w:rsidRDefault="00B14376" w:rsidP="00B14376">
      <w:pPr>
        <w:pStyle w:val="ListParagraph"/>
        <w:numPr>
          <w:ilvl w:val="1"/>
          <w:numId w:val="2"/>
        </w:numPr>
      </w:pPr>
      <w:r w:rsidRPr="005A3C26">
        <w:t xml:space="preserve">Please state the following detail for the stakeholder responsible for signing the accounts payable contract: </w:t>
      </w:r>
      <w:r w:rsidR="00066983" w:rsidRPr="008F0891">
        <w:rPr>
          <w:color w:val="FF0000"/>
        </w:rPr>
        <w:t xml:space="preserve"> </w:t>
      </w:r>
      <w:r w:rsidR="00066983" w:rsidRPr="008F0891">
        <w:rPr>
          <w:b/>
          <w:color w:val="FF0000"/>
        </w:rPr>
        <w:t>N/A</w:t>
      </w:r>
    </w:p>
    <w:p w:rsidR="00B14376" w:rsidRPr="005A3C26" w:rsidRDefault="00B14376" w:rsidP="00B14376">
      <w:pPr>
        <w:pStyle w:val="ListParagraph"/>
        <w:numPr>
          <w:ilvl w:val="2"/>
          <w:numId w:val="2"/>
        </w:numPr>
      </w:pPr>
      <w:r w:rsidRPr="005A3C26">
        <w:t>Name</w:t>
      </w:r>
    </w:p>
    <w:p w:rsidR="00B14376" w:rsidRPr="005A3C26" w:rsidRDefault="00B14376" w:rsidP="00B14376">
      <w:pPr>
        <w:pStyle w:val="ListParagraph"/>
        <w:numPr>
          <w:ilvl w:val="2"/>
          <w:numId w:val="2"/>
        </w:numPr>
      </w:pPr>
      <w:r w:rsidRPr="005A3C26">
        <w:t>Job title</w:t>
      </w:r>
    </w:p>
    <w:p w:rsidR="00B14376" w:rsidRPr="005A3C26" w:rsidRDefault="00B14376" w:rsidP="00B14376">
      <w:pPr>
        <w:pStyle w:val="ListParagraph"/>
        <w:numPr>
          <w:ilvl w:val="2"/>
          <w:numId w:val="2"/>
        </w:numPr>
      </w:pPr>
      <w:r w:rsidRPr="005A3C26">
        <w:t>Email Address</w:t>
      </w:r>
    </w:p>
    <w:p w:rsidR="00B14376" w:rsidRPr="00FB19B2" w:rsidRDefault="00B14376" w:rsidP="00B14376">
      <w:pPr>
        <w:pStyle w:val="ListParagraph"/>
        <w:numPr>
          <w:ilvl w:val="2"/>
          <w:numId w:val="2"/>
        </w:numPr>
      </w:pPr>
      <w:r w:rsidRPr="005A3C26">
        <w:t>Phone number</w:t>
      </w:r>
    </w:p>
    <w:p w:rsidR="00B14376" w:rsidRDefault="00B14376" w:rsidP="00B14376">
      <w:pPr>
        <w:rPr>
          <w:u w:val="single"/>
        </w:rPr>
      </w:pPr>
      <w:r>
        <w:rPr>
          <w:u w:val="single"/>
        </w:rPr>
        <w:t>N</w:t>
      </w:r>
      <w:r w:rsidR="00352836">
        <w:rPr>
          <w:u w:val="single"/>
        </w:rPr>
        <w:t xml:space="preserve">ational </w:t>
      </w:r>
      <w:r>
        <w:rPr>
          <w:u w:val="single"/>
        </w:rPr>
        <w:t>F</w:t>
      </w:r>
      <w:r w:rsidR="00352836">
        <w:rPr>
          <w:u w:val="single"/>
        </w:rPr>
        <w:t xml:space="preserve">raud </w:t>
      </w:r>
      <w:r>
        <w:rPr>
          <w:u w:val="single"/>
        </w:rPr>
        <w:t>I</w:t>
      </w:r>
      <w:r w:rsidR="00352836">
        <w:rPr>
          <w:u w:val="single"/>
        </w:rPr>
        <w:t>nitiative (NFI)</w:t>
      </w:r>
      <w:r>
        <w:rPr>
          <w:u w:val="single"/>
        </w:rPr>
        <w:t xml:space="preserve"> Review</w:t>
      </w:r>
    </w:p>
    <w:p w:rsidR="00B14376" w:rsidRDefault="00B14376" w:rsidP="00B14376">
      <w:pPr>
        <w:pStyle w:val="ListParagraph"/>
        <w:numPr>
          <w:ilvl w:val="0"/>
          <w:numId w:val="1"/>
        </w:numPr>
      </w:pPr>
      <w:r w:rsidRPr="00085D29">
        <w:rPr>
          <w:u w:val="single"/>
        </w:rPr>
        <w:t>For each audit</w:t>
      </w:r>
      <w:r>
        <w:t xml:space="preserve"> completed as part of the National Fraud Initiative (NFI) over the last five years, please provide the following information. Please create a new table for each NFI.</w:t>
      </w:r>
    </w:p>
    <w:p w:rsidR="00066983" w:rsidRPr="008F0891" w:rsidRDefault="00066983" w:rsidP="00066983">
      <w:pPr>
        <w:pStyle w:val="ListParagraph"/>
        <w:rPr>
          <w:b/>
          <w:color w:val="FF0000"/>
        </w:rPr>
      </w:pPr>
      <w:r w:rsidRPr="008F0891">
        <w:rPr>
          <w:b/>
          <w:color w:val="FF0000"/>
        </w:rPr>
        <w:t xml:space="preserve">Please Note that NFI is performed </w:t>
      </w:r>
      <w:proofErr w:type="gramStart"/>
      <w:r w:rsidRPr="008F0891">
        <w:rPr>
          <w:b/>
          <w:color w:val="FF0000"/>
        </w:rPr>
        <w:t>every</w:t>
      </w:r>
      <w:r w:rsidR="008F0891">
        <w:rPr>
          <w:b/>
          <w:color w:val="FF0000"/>
        </w:rPr>
        <w:t xml:space="preserve"> </w:t>
      </w:r>
      <w:r w:rsidRPr="008F0891">
        <w:rPr>
          <w:b/>
          <w:color w:val="FF0000"/>
        </w:rPr>
        <w:t xml:space="preserve"> 2</w:t>
      </w:r>
      <w:proofErr w:type="gramEnd"/>
      <w:r w:rsidRPr="008F0891">
        <w:rPr>
          <w:b/>
          <w:color w:val="FF0000"/>
        </w:rPr>
        <w:t xml:space="preserve"> years only, not annually so a 5 year period is not applicable.</w:t>
      </w:r>
    </w:p>
    <w:p w:rsidR="00066983" w:rsidRDefault="00066983" w:rsidP="00066983">
      <w:pPr>
        <w:pStyle w:val="ListParagraph"/>
      </w:pPr>
    </w:p>
    <w:p w:rsidR="00B14376" w:rsidRPr="00066983" w:rsidRDefault="00066983" w:rsidP="00B14376">
      <w:pPr>
        <w:pStyle w:val="ListParagraph"/>
        <w:rPr>
          <w:b/>
        </w:rPr>
      </w:pPr>
      <w:r w:rsidRPr="008F0891">
        <w:rPr>
          <w:b/>
          <w:color w:val="FF0000"/>
        </w:rPr>
        <w:t>2014/15</w:t>
      </w:r>
    </w:p>
    <w:tbl>
      <w:tblPr>
        <w:tblStyle w:val="TableGrid"/>
        <w:tblW w:w="0" w:type="auto"/>
        <w:tblInd w:w="357" w:type="dxa"/>
        <w:tblLook w:val="04A0" w:firstRow="1" w:lastRow="0" w:firstColumn="1" w:lastColumn="0" w:noHBand="0" w:noVBand="1"/>
      </w:tblPr>
      <w:tblGrid>
        <w:gridCol w:w="4741"/>
        <w:gridCol w:w="1276"/>
        <w:gridCol w:w="1236"/>
        <w:gridCol w:w="1224"/>
      </w:tblGrid>
      <w:tr w:rsidR="00B14376" w:rsidTr="008F0891">
        <w:trPr>
          <w:trHeight w:val="331"/>
        </w:trPr>
        <w:tc>
          <w:tcPr>
            <w:tcW w:w="4741" w:type="dxa"/>
            <w:vAlign w:val="center"/>
          </w:tcPr>
          <w:p w:rsidR="00B14376" w:rsidRDefault="00B14376" w:rsidP="00521096">
            <w:pPr>
              <w:pStyle w:val="ListParagraph"/>
              <w:ind w:left="0"/>
            </w:pPr>
          </w:p>
        </w:tc>
        <w:tc>
          <w:tcPr>
            <w:tcW w:w="1276" w:type="dxa"/>
            <w:vAlign w:val="center"/>
          </w:tcPr>
          <w:p w:rsidR="00B14376" w:rsidRDefault="00B14376" w:rsidP="00521096">
            <w:pPr>
              <w:pStyle w:val="ListParagraph"/>
              <w:ind w:left="0"/>
              <w:jc w:val="center"/>
            </w:pPr>
            <w:r>
              <w:t>Pensions</w:t>
            </w:r>
          </w:p>
        </w:tc>
        <w:tc>
          <w:tcPr>
            <w:tcW w:w="1236" w:type="dxa"/>
            <w:vAlign w:val="center"/>
          </w:tcPr>
          <w:p w:rsidR="00B14376" w:rsidRDefault="00B14376" w:rsidP="00521096">
            <w:pPr>
              <w:pStyle w:val="ListParagraph"/>
              <w:ind w:left="0"/>
              <w:jc w:val="center"/>
            </w:pPr>
            <w:r>
              <w:t>Payroll</w:t>
            </w:r>
          </w:p>
        </w:tc>
        <w:tc>
          <w:tcPr>
            <w:tcW w:w="1224" w:type="dxa"/>
            <w:vAlign w:val="center"/>
          </w:tcPr>
          <w:p w:rsidR="00B14376" w:rsidRPr="008F0891" w:rsidRDefault="00B14376" w:rsidP="00521096">
            <w:pPr>
              <w:pStyle w:val="ListParagraph"/>
              <w:ind w:left="0"/>
              <w:jc w:val="center"/>
            </w:pPr>
            <w:r w:rsidRPr="008F0891">
              <w:t>Creditors</w:t>
            </w:r>
          </w:p>
        </w:tc>
      </w:tr>
      <w:tr w:rsidR="00C5575A" w:rsidTr="008F0891">
        <w:trPr>
          <w:trHeight w:val="313"/>
        </w:trPr>
        <w:tc>
          <w:tcPr>
            <w:tcW w:w="4741" w:type="dxa"/>
            <w:vAlign w:val="center"/>
          </w:tcPr>
          <w:p w:rsidR="00C5575A" w:rsidRDefault="00C5575A" w:rsidP="00C5575A">
            <w:pPr>
              <w:pStyle w:val="ListParagraph"/>
              <w:ind w:left="0"/>
            </w:pPr>
            <w:r>
              <w:t>Identified by NFI review (£)</w:t>
            </w:r>
          </w:p>
        </w:tc>
        <w:tc>
          <w:tcPr>
            <w:tcW w:w="1276" w:type="dxa"/>
            <w:vMerge w:val="restart"/>
            <w:vAlign w:val="center"/>
          </w:tcPr>
          <w:p w:rsidR="00C5575A" w:rsidRDefault="00C5575A" w:rsidP="00C5575A">
            <w:pPr>
              <w:pStyle w:val="ListParagraph"/>
              <w:ind w:left="0"/>
            </w:pPr>
            <w:r>
              <w:t>* Please see note below</w:t>
            </w:r>
          </w:p>
        </w:tc>
        <w:tc>
          <w:tcPr>
            <w:tcW w:w="1236" w:type="dxa"/>
            <w:vMerge w:val="restart"/>
            <w:vAlign w:val="center"/>
          </w:tcPr>
          <w:p w:rsidR="00C5575A" w:rsidRDefault="00C5575A" w:rsidP="00C5575A">
            <w:pPr>
              <w:pStyle w:val="ListParagraph"/>
              <w:ind w:left="0"/>
            </w:pPr>
            <w:r>
              <w:t>** Please see note below</w:t>
            </w:r>
          </w:p>
        </w:tc>
        <w:tc>
          <w:tcPr>
            <w:tcW w:w="1224" w:type="dxa"/>
            <w:vAlign w:val="center"/>
          </w:tcPr>
          <w:p w:rsidR="00C5575A" w:rsidRPr="008F0891" w:rsidRDefault="00C5575A" w:rsidP="00C5575A">
            <w:pPr>
              <w:pStyle w:val="ListParagraph"/>
              <w:ind w:left="0"/>
            </w:pPr>
            <w:r w:rsidRPr="008F0891">
              <w:t>£42,205.99</w:t>
            </w:r>
          </w:p>
        </w:tc>
      </w:tr>
      <w:tr w:rsidR="00C5575A" w:rsidTr="008F0891">
        <w:trPr>
          <w:trHeight w:val="331"/>
        </w:trPr>
        <w:tc>
          <w:tcPr>
            <w:tcW w:w="4741" w:type="dxa"/>
            <w:vAlign w:val="center"/>
          </w:tcPr>
          <w:p w:rsidR="00C5575A" w:rsidRDefault="00C5575A" w:rsidP="00C5575A">
            <w:pPr>
              <w:pStyle w:val="ListParagraph"/>
              <w:ind w:left="0"/>
            </w:pPr>
            <w:r>
              <w:lastRenderedPageBreak/>
              <w:t>Errors followed-up (£)</w:t>
            </w:r>
          </w:p>
        </w:tc>
        <w:tc>
          <w:tcPr>
            <w:tcW w:w="1276" w:type="dxa"/>
            <w:vMerge/>
            <w:vAlign w:val="center"/>
          </w:tcPr>
          <w:p w:rsidR="00C5575A" w:rsidRDefault="00C5575A" w:rsidP="00C5575A">
            <w:pPr>
              <w:pStyle w:val="ListParagraph"/>
              <w:ind w:left="0"/>
            </w:pPr>
          </w:p>
        </w:tc>
        <w:tc>
          <w:tcPr>
            <w:tcW w:w="1236" w:type="dxa"/>
            <w:vMerge/>
            <w:vAlign w:val="center"/>
          </w:tcPr>
          <w:p w:rsidR="00C5575A" w:rsidRDefault="00C5575A" w:rsidP="00C5575A">
            <w:pPr>
              <w:pStyle w:val="ListParagraph"/>
              <w:ind w:left="0"/>
            </w:pPr>
          </w:p>
        </w:tc>
        <w:tc>
          <w:tcPr>
            <w:tcW w:w="1224" w:type="dxa"/>
            <w:vAlign w:val="center"/>
          </w:tcPr>
          <w:p w:rsidR="00C5575A" w:rsidRPr="008F0891" w:rsidRDefault="00C5575A" w:rsidP="00C5575A">
            <w:pPr>
              <w:pStyle w:val="ListParagraph"/>
              <w:ind w:left="0"/>
            </w:pPr>
            <w:r w:rsidRPr="008F0891">
              <w:t>£42,205.99</w:t>
            </w:r>
          </w:p>
        </w:tc>
      </w:tr>
      <w:tr w:rsidR="00C5575A" w:rsidTr="008F0891">
        <w:trPr>
          <w:trHeight w:val="313"/>
        </w:trPr>
        <w:tc>
          <w:tcPr>
            <w:tcW w:w="4741" w:type="dxa"/>
            <w:vAlign w:val="center"/>
          </w:tcPr>
          <w:p w:rsidR="00C5575A" w:rsidRDefault="00C5575A" w:rsidP="00C5575A">
            <w:pPr>
              <w:pStyle w:val="ListParagraph"/>
              <w:ind w:left="0"/>
            </w:pPr>
            <w:r>
              <w:t>Total recovered (£)</w:t>
            </w:r>
          </w:p>
        </w:tc>
        <w:tc>
          <w:tcPr>
            <w:tcW w:w="1276" w:type="dxa"/>
            <w:vMerge/>
            <w:vAlign w:val="center"/>
          </w:tcPr>
          <w:p w:rsidR="00C5575A" w:rsidRDefault="00C5575A" w:rsidP="00C5575A">
            <w:pPr>
              <w:pStyle w:val="ListParagraph"/>
              <w:ind w:left="0"/>
            </w:pPr>
          </w:p>
        </w:tc>
        <w:tc>
          <w:tcPr>
            <w:tcW w:w="1236" w:type="dxa"/>
            <w:vMerge/>
            <w:vAlign w:val="center"/>
          </w:tcPr>
          <w:p w:rsidR="00C5575A" w:rsidRDefault="00C5575A" w:rsidP="00C5575A">
            <w:pPr>
              <w:pStyle w:val="ListParagraph"/>
              <w:ind w:left="0"/>
            </w:pPr>
          </w:p>
        </w:tc>
        <w:tc>
          <w:tcPr>
            <w:tcW w:w="1224" w:type="dxa"/>
            <w:vAlign w:val="center"/>
          </w:tcPr>
          <w:p w:rsidR="00C5575A" w:rsidRPr="008F0891" w:rsidRDefault="00C5575A" w:rsidP="00C5575A">
            <w:pPr>
              <w:pStyle w:val="ListParagraph"/>
              <w:ind w:left="0"/>
            </w:pPr>
            <w:r w:rsidRPr="008F0891">
              <w:t>£42,205.99</w:t>
            </w:r>
          </w:p>
        </w:tc>
      </w:tr>
      <w:tr w:rsidR="00C5575A" w:rsidTr="008F0891">
        <w:trPr>
          <w:trHeight w:val="331"/>
        </w:trPr>
        <w:tc>
          <w:tcPr>
            <w:tcW w:w="4741" w:type="dxa"/>
            <w:vAlign w:val="center"/>
          </w:tcPr>
          <w:p w:rsidR="00C5575A" w:rsidRDefault="00C5575A" w:rsidP="00C5575A">
            <w:r>
              <w:t xml:space="preserve">     Recovered by </w:t>
            </w:r>
            <w:r w:rsidRPr="00C5575A">
              <w:rPr>
                <w:b/>
                <w:color w:val="FF0000"/>
              </w:rPr>
              <w:t>trust</w:t>
            </w:r>
          </w:p>
        </w:tc>
        <w:tc>
          <w:tcPr>
            <w:tcW w:w="1276" w:type="dxa"/>
            <w:vMerge/>
            <w:vAlign w:val="center"/>
          </w:tcPr>
          <w:p w:rsidR="00C5575A" w:rsidRDefault="00C5575A" w:rsidP="00C5575A">
            <w:pPr>
              <w:pStyle w:val="ListParagraph"/>
              <w:ind w:left="0"/>
            </w:pPr>
          </w:p>
        </w:tc>
        <w:tc>
          <w:tcPr>
            <w:tcW w:w="1236" w:type="dxa"/>
            <w:vMerge/>
            <w:vAlign w:val="center"/>
          </w:tcPr>
          <w:p w:rsidR="00C5575A" w:rsidRDefault="00C5575A" w:rsidP="00C5575A">
            <w:pPr>
              <w:pStyle w:val="ListParagraph"/>
              <w:ind w:left="0"/>
            </w:pPr>
          </w:p>
        </w:tc>
        <w:tc>
          <w:tcPr>
            <w:tcW w:w="1224" w:type="dxa"/>
            <w:vAlign w:val="center"/>
          </w:tcPr>
          <w:p w:rsidR="00C5575A" w:rsidRPr="008F0891" w:rsidRDefault="00C5575A" w:rsidP="00C5575A">
            <w:pPr>
              <w:pStyle w:val="ListParagraph"/>
              <w:ind w:left="0"/>
            </w:pPr>
            <w:r w:rsidRPr="008F0891">
              <w:t>£42,205.99</w:t>
            </w:r>
          </w:p>
        </w:tc>
      </w:tr>
      <w:tr w:rsidR="00C5575A" w:rsidTr="008F0891">
        <w:trPr>
          <w:trHeight w:val="313"/>
        </w:trPr>
        <w:tc>
          <w:tcPr>
            <w:tcW w:w="4741" w:type="dxa"/>
            <w:vAlign w:val="center"/>
          </w:tcPr>
          <w:p w:rsidR="00C5575A" w:rsidRDefault="00C5575A" w:rsidP="00C5575A">
            <w:r>
              <w:t xml:space="preserve">     Recovered by third party</w:t>
            </w:r>
          </w:p>
        </w:tc>
        <w:tc>
          <w:tcPr>
            <w:tcW w:w="1276" w:type="dxa"/>
            <w:vMerge/>
            <w:vAlign w:val="center"/>
          </w:tcPr>
          <w:p w:rsidR="00C5575A" w:rsidRDefault="00C5575A" w:rsidP="00C5575A">
            <w:pPr>
              <w:pStyle w:val="ListParagraph"/>
              <w:ind w:left="0"/>
            </w:pPr>
          </w:p>
        </w:tc>
        <w:tc>
          <w:tcPr>
            <w:tcW w:w="1236" w:type="dxa"/>
            <w:vMerge/>
            <w:vAlign w:val="center"/>
          </w:tcPr>
          <w:p w:rsidR="00C5575A" w:rsidRDefault="00C5575A" w:rsidP="00C5575A">
            <w:pPr>
              <w:pStyle w:val="ListParagraph"/>
              <w:ind w:left="0"/>
            </w:pPr>
          </w:p>
        </w:tc>
        <w:tc>
          <w:tcPr>
            <w:tcW w:w="1224" w:type="dxa"/>
            <w:vAlign w:val="center"/>
          </w:tcPr>
          <w:p w:rsidR="00C5575A" w:rsidRPr="008F0891" w:rsidRDefault="00C5575A" w:rsidP="00C5575A">
            <w:pPr>
              <w:pStyle w:val="ListParagraph"/>
              <w:ind w:left="0"/>
            </w:pPr>
            <w:r w:rsidRPr="008F0891">
              <w:t>N/A</w:t>
            </w:r>
          </w:p>
        </w:tc>
      </w:tr>
      <w:tr w:rsidR="00C5575A" w:rsidTr="008F0891">
        <w:trPr>
          <w:trHeight w:val="663"/>
        </w:trPr>
        <w:tc>
          <w:tcPr>
            <w:tcW w:w="4741" w:type="dxa"/>
            <w:vAlign w:val="center"/>
          </w:tcPr>
          <w:p w:rsidR="00C5575A" w:rsidRDefault="00C5575A" w:rsidP="00C5575A">
            <w:pPr>
              <w:pStyle w:val="ListParagraph"/>
              <w:ind w:left="0"/>
            </w:pPr>
            <w:r>
              <w:t>Name of third party used to follow-up and/or recover errors (e.g. Liaison, BDO, RSM)</w:t>
            </w:r>
          </w:p>
        </w:tc>
        <w:tc>
          <w:tcPr>
            <w:tcW w:w="1276" w:type="dxa"/>
            <w:vMerge/>
            <w:vAlign w:val="center"/>
          </w:tcPr>
          <w:p w:rsidR="00C5575A" w:rsidRDefault="00C5575A" w:rsidP="00C5575A">
            <w:pPr>
              <w:pStyle w:val="ListParagraph"/>
              <w:ind w:left="0"/>
            </w:pPr>
          </w:p>
        </w:tc>
        <w:tc>
          <w:tcPr>
            <w:tcW w:w="1236" w:type="dxa"/>
            <w:vMerge/>
            <w:vAlign w:val="center"/>
          </w:tcPr>
          <w:p w:rsidR="00C5575A" w:rsidRDefault="00C5575A" w:rsidP="00C5575A">
            <w:pPr>
              <w:pStyle w:val="ListParagraph"/>
              <w:ind w:left="0"/>
            </w:pPr>
          </w:p>
        </w:tc>
        <w:tc>
          <w:tcPr>
            <w:tcW w:w="1224" w:type="dxa"/>
            <w:vAlign w:val="center"/>
          </w:tcPr>
          <w:p w:rsidR="00C5575A" w:rsidRPr="008F0891" w:rsidRDefault="00C5575A" w:rsidP="00C5575A">
            <w:pPr>
              <w:pStyle w:val="ListParagraph"/>
              <w:ind w:left="0"/>
            </w:pPr>
            <w:r w:rsidRPr="008F0891">
              <w:t>N/A</w:t>
            </w:r>
          </w:p>
        </w:tc>
      </w:tr>
      <w:tr w:rsidR="00C5575A" w:rsidTr="008F0891">
        <w:trPr>
          <w:trHeight w:val="644"/>
        </w:trPr>
        <w:tc>
          <w:tcPr>
            <w:tcW w:w="4741" w:type="dxa"/>
            <w:vAlign w:val="center"/>
          </w:tcPr>
          <w:p w:rsidR="00C5575A" w:rsidRDefault="00C5575A" w:rsidP="00C5575A">
            <w:pPr>
              <w:pStyle w:val="ListParagraph"/>
              <w:ind w:left="0"/>
            </w:pPr>
            <w:r>
              <w:t>Name of any data analysis and filtering software packages used (e.g. IDEA, ACL etc.)</w:t>
            </w:r>
          </w:p>
        </w:tc>
        <w:tc>
          <w:tcPr>
            <w:tcW w:w="1276" w:type="dxa"/>
            <w:vAlign w:val="center"/>
          </w:tcPr>
          <w:p w:rsidR="00C5575A" w:rsidRDefault="00C5575A" w:rsidP="00C5575A">
            <w:pPr>
              <w:pStyle w:val="ListParagraph"/>
              <w:ind w:left="0"/>
            </w:pPr>
            <w:r>
              <w:t>IDEA</w:t>
            </w:r>
          </w:p>
        </w:tc>
        <w:tc>
          <w:tcPr>
            <w:tcW w:w="1236" w:type="dxa"/>
            <w:vAlign w:val="center"/>
          </w:tcPr>
          <w:p w:rsidR="00C5575A" w:rsidRDefault="00C5575A" w:rsidP="00C5575A">
            <w:pPr>
              <w:pStyle w:val="ListParagraph"/>
              <w:ind w:left="0"/>
            </w:pPr>
            <w:r>
              <w:t>IDEA</w:t>
            </w:r>
          </w:p>
        </w:tc>
        <w:tc>
          <w:tcPr>
            <w:tcW w:w="1224" w:type="dxa"/>
            <w:vAlign w:val="center"/>
          </w:tcPr>
          <w:p w:rsidR="00C5575A" w:rsidRPr="008F0891" w:rsidRDefault="00C5575A" w:rsidP="00C5575A">
            <w:pPr>
              <w:pStyle w:val="ListParagraph"/>
              <w:ind w:left="0"/>
            </w:pPr>
            <w:r w:rsidRPr="008F0891">
              <w:t>N/A</w:t>
            </w:r>
          </w:p>
        </w:tc>
      </w:tr>
    </w:tbl>
    <w:p w:rsidR="00A35B35" w:rsidRDefault="00A35B35" w:rsidP="00B14376">
      <w:pPr>
        <w:rPr>
          <w:b/>
          <w:color w:val="C45911" w:themeColor="accent2" w:themeShade="BF"/>
        </w:rPr>
      </w:pPr>
    </w:p>
    <w:p w:rsidR="00B14376" w:rsidRPr="00A35B35" w:rsidRDefault="00066983" w:rsidP="00B14376">
      <w:pPr>
        <w:rPr>
          <w:b/>
        </w:rPr>
      </w:pPr>
      <w:r w:rsidRPr="008F0891">
        <w:rPr>
          <w:b/>
          <w:color w:val="FF0000"/>
        </w:rPr>
        <w:t>2016/17</w:t>
      </w:r>
    </w:p>
    <w:tbl>
      <w:tblPr>
        <w:tblStyle w:val="TableGrid"/>
        <w:tblW w:w="0" w:type="auto"/>
        <w:tblInd w:w="357" w:type="dxa"/>
        <w:tblLook w:val="04A0" w:firstRow="1" w:lastRow="0" w:firstColumn="1" w:lastColumn="0" w:noHBand="0" w:noVBand="1"/>
      </w:tblPr>
      <w:tblGrid>
        <w:gridCol w:w="4741"/>
        <w:gridCol w:w="1276"/>
        <w:gridCol w:w="1236"/>
        <w:gridCol w:w="1224"/>
      </w:tblGrid>
      <w:tr w:rsidR="00066983" w:rsidTr="008F0891">
        <w:trPr>
          <w:trHeight w:val="331"/>
        </w:trPr>
        <w:tc>
          <w:tcPr>
            <w:tcW w:w="4741" w:type="dxa"/>
            <w:vAlign w:val="center"/>
          </w:tcPr>
          <w:p w:rsidR="00066983" w:rsidRDefault="00066983" w:rsidP="00457523">
            <w:pPr>
              <w:pStyle w:val="ListParagraph"/>
              <w:ind w:left="0"/>
            </w:pPr>
          </w:p>
        </w:tc>
        <w:tc>
          <w:tcPr>
            <w:tcW w:w="1276" w:type="dxa"/>
            <w:vAlign w:val="center"/>
          </w:tcPr>
          <w:p w:rsidR="00066983" w:rsidRDefault="00066983" w:rsidP="00457523">
            <w:pPr>
              <w:pStyle w:val="ListParagraph"/>
              <w:ind w:left="0"/>
              <w:jc w:val="center"/>
            </w:pPr>
            <w:r>
              <w:t>Pensions</w:t>
            </w:r>
          </w:p>
        </w:tc>
        <w:tc>
          <w:tcPr>
            <w:tcW w:w="1236" w:type="dxa"/>
            <w:vAlign w:val="center"/>
          </w:tcPr>
          <w:p w:rsidR="00066983" w:rsidRDefault="00066983" w:rsidP="00457523">
            <w:pPr>
              <w:pStyle w:val="ListParagraph"/>
              <w:ind w:left="0"/>
              <w:jc w:val="center"/>
            </w:pPr>
            <w:r>
              <w:t>Payroll</w:t>
            </w:r>
          </w:p>
        </w:tc>
        <w:tc>
          <w:tcPr>
            <w:tcW w:w="1224" w:type="dxa"/>
            <w:vAlign w:val="center"/>
          </w:tcPr>
          <w:p w:rsidR="00066983" w:rsidRPr="008F0891" w:rsidRDefault="00066983" w:rsidP="00457523">
            <w:pPr>
              <w:pStyle w:val="ListParagraph"/>
              <w:ind w:left="0"/>
              <w:jc w:val="center"/>
            </w:pPr>
            <w:r w:rsidRPr="008F0891">
              <w:t>Creditors</w:t>
            </w:r>
          </w:p>
        </w:tc>
      </w:tr>
      <w:tr w:rsidR="00C5575A" w:rsidTr="008F0891">
        <w:trPr>
          <w:trHeight w:val="313"/>
        </w:trPr>
        <w:tc>
          <w:tcPr>
            <w:tcW w:w="4741" w:type="dxa"/>
            <w:vAlign w:val="center"/>
          </w:tcPr>
          <w:p w:rsidR="00C5575A" w:rsidRDefault="00C5575A" w:rsidP="00457523">
            <w:pPr>
              <w:pStyle w:val="ListParagraph"/>
              <w:ind w:left="0"/>
            </w:pPr>
            <w:r>
              <w:t>Identified by NFI review (£)</w:t>
            </w:r>
          </w:p>
        </w:tc>
        <w:tc>
          <w:tcPr>
            <w:tcW w:w="1276" w:type="dxa"/>
            <w:vMerge w:val="restart"/>
            <w:vAlign w:val="center"/>
          </w:tcPr>
          <w:p w:rsidR="00C5575A" w:rsidRDefault="00C5575A" w:rsidP="00457523">
            <w:pPr>
              <w:pStyle w:val="ListParagraph"/>
              <w:ind w:left="0"/>
            </w:pPr>
            <w:r>
              <w:t>* Please see note below</w:t>
            </w:r>
          </w:p>
        </w:tc>
        <w:tc>
          <w:tcPr>
            <w:tcW w:w="1236" w:type="dxa"/>
            <w:vMerge w:val="restart"/>
            <w:vAlign w:val="center"/>
          </w:tcPr>
          <w:p w:rsidR="00C5575A" w:rsidRDefault="00C5575A" w:rsidP="00457523">
            <w:pPr>
              <w:pStyle w:val="ListParagraph"/>
              <w:ind w:left="0"/>
            </w:pPr>
            <w:r>
              <w:t>** Please see note below</w:t>
            </w:r>
          </w:p>
        </w:tc>
        <w:tc>
          <w:tcPr>
            <w:tcW w:w="1224" w:type="dxa"/>
            <w:vAlign w:val="center"/>
          </w:tcPr>
          <w:p w:rsidR="00C5575A" w:rsidRPr="008F0891" w:rsidRDefault="00C5575A" w:rsidP="00457523">
            <w:pPr>
              <w:pStyle w:val="ListParagraph"/>
              <w:ind w:left="0"/>
            </w:pPr>
            <w:r w:rsidRPr="008F0891">
              <w:t>£12,166.20</w:t>
            </w:r>
          </w:p>
        </w:tc>
      </w:tr>
      <w:tr w:rsidR="00C5575A" w:rsidTr="008F0891">
        <w:trPr>
          <w:trHeight w:val="331"/>
        </w:trPr>
        <w:tc>
          <w:tcPr>
            <w:tcW w:w="4741" w:type="dxa"/>
            <w:vAlign w:val="center"/>
          </w:tcPr>
          <w:p w:rsidR="00C5575A" w:rsidRDefault="00C5575A" w:rsidP="00457523">
            <w:pPr>
              <w:pStyle w:val="ListParagraph"/>
              <w:ind w:left="0"/>
            </w:pPr>
            <w:r>
              <w:t>Errors followed-up (£)</w:t>
            </w:r>
          </w:p>
        </w:tc>
        <w:tc>
          <w:tcPr>
            <w:tcW w:w="1276" w:type="dxa"/>
            <w:vMerge/>
            <w:vAlign w:val="center"/>
          </w:tcPr>
          <w:p w:rsidR="00C5575A" w:rsidRDefault="00C5575A" w:rsidP="00457523">
            <w:pPr>
              <w:pStyle w:val="ListParagraph"/>
              <w:ind w:left="0"/>
            </w:pPr>
          </w:p>
        </w:tc>
        <w:tc>
          <w:tcPr>
            <w:tcW w:w="1236" w:type="dxa"/>
            <w:vMerge/>
            <w:vAlign w:val="center"/>
          </w:tcPr>
          <w:p w:rsidR="00C5575A" w:rsidRDefault="00C5575A" w:rsidP="00457523">
            <w:pPr>
              <w:pStyle w:val="ListParagraph"/>
              <w:ind w:left="0"/>
            </w:pPr>
          </w:p>
        </w:tc>
        <w:tc>
          <w:tcPr>
            <w:tcW w:w="1224" w:type="dxa"/>
            <w:vAlign w:val="center"/>
          </w:tcPr>
          <w:p w:rsidR="00C5575A" w:rsidRPr="008F0891" w:rsidRDefault="00C5575A" w:rsidP="00457523">
            <w:pPr>
              <w:pStyle w:val="ListParagraph"/>
              <w:ind w:left="0"/>
            </w:pPr>
            <w:r w:rsidRPr="008F0891">
              <w:t>£12,166.20</w:t>
            </w:r>
          </w:p>
        </w:tc>
      </w:tr>
      <w:tr w:rsidR="00C5575A" w:rsidTr="008F0891">
        <w:trPr>
          <w:trHeight w:val="313"/>
        </w:trPr>
        <w:tc>
          <w:tcPr>
            <w:tcW w:w="4741" w:type="dxa"/>
            <w:vAlign w:val="center"/>
          </w:tcPr>
          <w:p w:rsidR="00C5575A" w:rsidRDefault="00C5575A" w:rsidP="00457523">
            <w:pPr>
              <w:pStyle w:val="ListParagraph"/>
              <w:ind w:left="0"/>
            </w:pPr>
            <w:r>
              <w:t>Total recovered (£)</w:t>
            </w:r>
          </w:p>
        </w:tc>
        <w:tc>
          <w:tcPr>
            <w:tcW w:w="1276" w:type="dxa"/>
            <w:vMerge/>
            <w:vAlign w:val="center"/>
          </w:tcPr>
          <w:p w:rsidR="00C5575A" w:rsidRDefault="00C5575A" w:rsidP="00457523">
            <w:pPr>
              <w:pStyle w:val="ListParagraph"/>
              <w:ind w:left="0"/>
            </w:pPr>
          </w:p>
        </w:tc>
        <w:tc>
          <w:tcPr>
            <w:tcW w:w="1236" w:type="dxa"/>
            <w:vMerge/>
            <w:vAlign w:val="center"/>
          </w:tcPr>
          <w:p w:rsidR="00C5575A" w:rsidRDefault="00C5575A" w:rsidP="00457523">
            <w:pPr>
              <w:pStyle w:val="ListParagraph"/>
              <w:ind w:left="0"/>
            </w:pPr>
          </w:p>
        </w:tc>
        <w:tc>
          <w:tcPr>
            <w:tcW w:w="1224" w:type="dxa"/>
            <w:vAlign w:val="center"/>
          </w:tcPr>
          <w:p w:rsidR="00C5575A" w:rsidRPr="008F0891" w:rsidRDefault="00C5575A" w:rsidP="00457523">
            <w:pPr>
              <w:pStyle w:val="ListParagraph"/>
              <w:ind w:left="0"/>
            </w:pPr>
            <w:r w:rsidRPr="008F0891">
              <w:t>£12,166.10</w:t>
            </w:r>
          </w:p>
        </w:tc>
      </w:tr>
      <w:tr w:rsidR="00C5575A" w:rsidTr="008F0891">
        <w:trPr>
          <w:trHeight w:val="331"/>
        </w:trPr>
        <w:tc>
          <w:tcPr>
            <w:tcW w:w="4741" w:type="dxa"/>
            <w:vAlign w:val="center"/>
          </w:tcPr>
          <w:p w:rsidR="00C5575A" w:rsidRDefault="00C5575A" w:rsidP="00457523">
            <w:r>
              <w:t xml:space="preserve">     Recovered by </w:t>
            </w:r>
            <w:r w:rsidRPr="00C5575A">
              <w:rPr>
                <w:b/>
                <w:color w:val="FF0000"/>
              </w:rPr>
              <w:t>trust</w:t>
            </w:r>
          </w:p>
        </w:tc>
        <w:tc>
          <w:tcPr>
            <w:tcW w:w="1276" w:type="dxa"/>
            <w:vMerge/>
            <w:vAlign w:val="center"/>
          </w:tcPr>
          <w:p w:rsidR="00C5575A" w:rsidRDefault="00C5575A" w:rsidP="00457523">
            <w:pPr>
              <w:pStyle w:val="ListParagraph"/>
              <w:ind w:left="0"/>
            </w:pPr>
          </w:p>
        </w:tc>
        <w:tc>
          <w:tcPr>
            <w:tcW w:w="1236" w:type="dxa"/>
            <w:vMerge/>
            <w:vAlign w:val="center"/>
          </w:tcPr>
          <w:p w:rsidR="00C5575A" w:rsidRDefault="00C5575A" w:rsidP="00457523">
            <w:pPr>
              <w:pStyle w:val="ListParagraph"/>
              <w:ind w:left="0"/>
            </w:pPr>
          </w:p>
        </w:tc>
        <w:tc>
          <w:tcPr>
            <w:tcW w:w="1224" w:type="dxa"/>
            <w:vAlign w:val="center"/>
          </w:tcPr>
          <w:p w:rsidR="00C5575A" w:rsidRPr="008F0891" w:rsidRDefault="00C5575A" w:rsidP="00457523">
            <w:pPr>
              <w:pStyle w:val="ListParagraph"/>
              <w:ind w:left="0"/>
            </w:pPr>
            <w:r w:rsidRPr="008F0891">
              <w:t>£12,166.20</w:t>
            </w:r>
          </w:p>
        </w:tc>
      </w:tr>
      <w:tr w:rsidR="00C5575A" w:rsidTr="008F0891">
        <w:trPr>
          <w:trHeight w:val="313"/>
        </w:trPr>
        <w:tc>
          <w:tcPr>
            <w:tcW w:w="4741" w:type="dxa"/>
            <w:vAlign w:val="center"/>
          </w:tcPr>
          <w:p w:rsidR="00C5575A" w:rsidRDefault="00C5575A" w:rsidP="00457523">
            <w:r>
              <w:t xml:space="preserve">     Recovered by third party</w:t>
            </w:r>
          </w:p>
        </w:tc>
        <w:tc>
          <w:tcPr>
            <w:tcW w:w="1276" w:type="dxa"/>
            <w:vMerge/>
            <w:vAlign w:val="center"/>
          </w:tcPr>
          <w:p w:rsidR="00C5575A" w:rsidRDefault="00C5575A" w:rsidP="00457523">
            <w:pPr>
              <w:pStyle w:val="ListParagraph"/>
              <w:ind w:left="0"/>
            </w:pPr>
          </w:p>
        </w:tc>
        <w:tc>
          <w:tcPr>
            <w:tcW w:w="1236" w:type="dxa"/>
            <w:vMerge/>
            <w:vAlign w:val="center"/>
          </w:tcPr>
          <w:p w:rsidR="00C5575A" w:rsidRDefault="00C5575A" w:rsidP="00457523">
            <w:pPr>
              <w:pStyle w:val="ListParagraph"/>
              <w:ind w:left="0"/>
            </w:pPr>
          </w:p>
        </w:tc>
        <w:tc>
          <w:tcPr>
            <w:tcW w:w="1224" w:type="dxa"/>
            <w:vAlign w:val="center"/>
          </w:tcPr>
          <w:p w:rsidR="00C5575A" w:rsidRPr="008F0891" w:rsidRDefault="00C5575A" w:rsidP="00457523">
            <w:pPr>
              <w:pStyle w:val="ListParagraph"/>
              <w:ind w:left="0"/>
            </w:pPr>
            <w:r w:rsidRPr="008F0891">
              <w:t>N/A</w:t>
            </w:r>
          </w:p>
        </w:tc>
      </w:tr>
      <w:tr w:rsidR="00C5575A" w:rsidTr="008F0891">
        <w:trPr>
          <w:trHeight w:val="663"/>
        </w:trPr>
        <w:tc>
          <w:tcPr>
            <w:tcW w:w="4741" w:type="dxa"/>
            <w:vAlign w:val="center"/>
          </w:tcPr>
          <w:p w:rsidR="00C5575A" w:rsidRDefault="00C5575A" w:rsidP="00457523">
            <w:pPr>
              <w:pStyle w:val="ListParagraph"/>
              <w:ind w:left="0"/>
            </w:pPr>
            <w:r>
              <w:t>Name of third party used to follow-up and/or recover errors (e.g. Liaison, BDO, RSM)</w:t>
            </w:r>
          </w:p>
        </w:tc>
        <w:tc>
          <w:tcPr>
            <w:tcW w:w="1276" w:type="dxa"/>
            <w:vMerge/>
            <w:vAlign w:val="center"/>
          </w:tcPr>
          <w:p w:rsidR="00C5575A" w:rsidRDefault="00C5575A" w:rsidP="00457523">
            <w:pPr>
              <w:pStyle w:val="ListParagraph"/>
              <w:ind w:left="0"/>
            </w:pPr>
          </w:p>
        </w:tc>
        <w:tc>
          <w:tcPr>
            <w:tcW w:w="1236" w:type="dxa"/>
            <w:vMerge/>
            <w:vAlign w:val="center"/>
          </w:tcPr>
          <w:p w:rsidR="00C5575A" w:rsidRDefault="00C5575A" w:rsidP="00457523">
            <w:pPr>
              <w:pStyle w:val="ListParagraph"/>
              <w:ind w:left="0"/>
            </w:pPr>
          </w:p>
        </w:tc>
        <w:tc>
          <w:tcPr>
            <w:tcW w:w="1224" w:type="dxa"/>
            <w:vAlign w:val="center"/>
          </w:tcPr>
          <w:p w:rsidR="00C5575A" w:rsidRPr="008F0891" w:rsidRDefault="00C5575A" w:rsidP="00457523">
            <w:pPr>
              <w:pStyle w:val="ListParagraph"/>
              <w:ind w:left="0"/>
            </w:pPr>
            <w:r w:rsidRPr="008F0891">
              <w:t>N/A</w:t>
            </w:r>
          </w:p>
        </w:tc>
      </w:tr>
      <w:tr w:rsidR="008F0891" w:rsidTr="008F0891">
        <w:trPr>
          <w:trHeight w:val="644"/>
        </w:trPr>
        <w:tc>
          <w:tcPr>
            <w:tcW w:w="4741" w:type="dxa"/>
            <w:vAlign w:val="center"/>
          </w:tcPr>
          <w:p w:rsidR="008F0891" w:rsidRDefault="008F0891" w:rsidP="00457523">
            <w:pPr>
              <w:pStyle w:val="ListParagraph"/>
              <w:ind w:left="0"/>
            </w:pPr>
            <w:r>
              <w:t>Name of any data analysis and filtering software packages used (e.g. IDEA, ACL etc.)</w:t>
            </w:r>
          </w:p>
        </w:tc>
        <w:tc>
          <w:tcPr>
            <w:tcW w:w="1276" w:type="dxa"/>
            <w:vAlign w:val="center"/>
          </w:tcPr>
          <w:p w:rsidR="008F0891" w:rsidRDefault="00C5575A" w:rsidP="00457523">
            <w:pPr>
              <w:pStyle w:val="ListParagraph"/>
              <w:ind w:left="0"/>
            </w:pPr>
            <w:r>
              <w:t>IDEA</w:t>
            </w:r>
          </w:p>
        </w:tc>
        <w:tc>
          <w:tcPr>
            <w:tcW w:w="1236" w:type="dxa"/>
            <w:vAlign w:val="center"/>
          </w:tcPr>
          <w:p w:rsidR="008F0891" w:rsidRDefault="00C5575A" w:rsidP="00457523">
            <w:pPr>
              <w:pStyle w:val="ListParagraph"/>
              <w:ind w:left="0"/>
            </w:pPr>
            <w:r>
              <w:t>IDEA</w:t>
            </w:r>
          </w:p>
        </w:tc>
        <w:tc>
          <w:tcPr>
            <w:tcW w:w="1224" w:type="dxa"/>
            <w:vAlign w:val="center"/>
          </w:tcPr>
          <w:p w:rsidR="008F0891" w:rsidRPr="008F0891" w:rsidRDefault="008F0891" w:rsidP="00457523">
            <w:pPr>
              <w:pStyle w:val="ListParagraph"/>
              <w:ind w:left="0"/>
            </w:pPr>
            <w:r w:rsidRPr="008F0891">
              <w:t>N/A</w:t>
            </w:r>
          </w:p>
        </w:tc>
      </w:tr>
    </w:tbl>
    <w:p w:rsidR="00066983" w:rsidRDefault="00066983" w:rsidP="00B14376"/>
    <w:p w:rsidR="00FC1554" w:rsidRDefault="00FC1554" w:rsidP="00FC1554">
      <w:pPr>
        <w:rPr>
          <w:rFonts w:ascii="Calibri" w:hAnsi="Calibri"/>
        </w:rPr>
      </w:pPr>
      <w:r w:rsidRPr="00FC1554">
        <w:t xml:space="preserve">* </w:t>
      </w:r>
      <w:r w:rsidRPr="00FC1554">
        <w:rPr>
          <w:rFonts w:ascii="Calibri" w:hAnsi="Calibri"/>
        </w:rPr>
        <w:t xml:space="preserve">The </w:t>
      </w:r>
      <w:r>
        <w:rPr>
          <w:rFonts w:ascii="Calibri" w:hAnsi="Calibri"/>
        </w:rPr>
        <w:t>Pension F</w:t>
      </w:r>
      <w:r w:rsidRPr="00FC1554">
        <w:rPr>
          <w:rFonts w:ascii="Calibri" w:hAnsi="Calibri"/>
        </w:rPr>
        <w:t xml:space="preserve">und is not always notified of death of Pensioners through NFI, these are notified through our own processes and therefore we are aware of deaths prior to them appearing on the NFI </w:t>
      </w:r>
      <w:r>
        <w:rPr>
          <w:rFonts w:ascii="Calibri" w:hAnsi="Calibri"/>
        </w:rPr>
        <w:t>d</w:t>
      </w:r>
      <w:r w:rsidRPr="00FC1554">
        <w:rPr>
          <w:rFonts w:ascii="Calibri" w:hAnsi="Calibri"/>
        </w:rPr>
        <w:t>ata</w:t>
      </w:r>
      <w:r>
        <w:rPr>
          <w:rFonts w:ascii="Calibri" w:hAnsi="Calibri"/>
        </w:rPr>
        <w:lastRenderedPageBreak/>
        <w:t>b</w:t>
      </w:r>
      <w:r w:rsidRPr="00FC1554">
        <w:rPr>
          <w:rFonts w:ascii="Calibri" w:hAnsi="Calibri"/>
        </w:rPr>
        <w:t>ase</w:t>
      </w:r>
      <w:r>
        <w:rPr>
          <w:rFonts w:ascii="Calibri" w:hAnsi="Calibri"/>
        </w:rPr>
        <w:t>.  I</w:t>
      </w:r>
      <w:r w:rsidRPr="00FC1554">
        <w:rPr>
          <w:rFonts w:ascii="Calibri" w:hAnsi="Calibri"/>
        </w:rPr>
        <w:t>n total £111,046.90</w:t>
      </w:r>
      <w:r>
        <w:rPr>
          <w:rFonts w:ascii="Calibri" w:hAnsi="Calibri"/>
        </w:rPr>
        <w:t xml:space="preserve"> in overpayment of pensions has been identified </w:t>
      </w:r>
      <w:r w:rsidRPr="00FC1554">
        <w:rPr>
          <w:rFonts w:ascii="Calibri" w:hAnsi="Calibri"/>
        </w:rPr>
        <w:t xml:space="preserve">of which a proportion were also reported </w:t>
      </w:r>
      <w:r>
        <w:rPr>
          <w:rFonts w:ascii="Calibri" w:hAnsi="Calibri"/>
        </w:rPr>
        <w:t>via</w:t>
      </w:r>
      <w:r w:rsidRPr="00FC1554">
        <w:rPr>
          <w:rFonts w:ascii="Calibri" w:hAnsi="Calibri"/>
        </w:rPr>
        <w:t xml:space="preserve"> NFI. Once notified the Pension Fund issue invoices to the Estates of the deceased</w:t>
      </w:r>
      <w:r>
        <w:rPr>
          <w:rFonts w:ascii="Calibri" w:hAnsi="Calibri"/>
        </w:rPr>
        <w:t xml:space="preserve">.  In 2016/2017 </w:t>
      </w:r>
      <w:r w:rsidRPr="00FC1554">
        <w:rPr>
          <w:rFonts w:ascii="Calibri" w:hAnsi="Calibri"/>
        </w:rPr>
        <w:t>£85,030.99</w:t>
      </w:r>
      <w:r>
        <w:rPr>
          <w:rFonts w:ascii="Calibri" w:hAnsi="Calibri"/>
        </w:rPr>
        <w:t xml:space="preserve"> was recovered, the remaining £</w:t>
      </w:r>
      <w:r w:rsidRPr="00FC1554">
        <w:rPr>
          <w:rFonts w:ascii="Calibri" w:hAnsi="Calibri"/>
        </w:rPr>
        <w:t xml:space="preserve">24,965.42 </w:t>
      </w:r>
      <w:r>
        <w:rPr>
          <w:rFonts w:ascii="Calibri" w:hAnsi="Calibri"/>
        </w:rPr>
        <w:t xml:space="preserve">is now being managed through the Authority’s </w:t>
      </w:r>
      <w:r w:rsidRPr="00FC1554">
        <w:rPr>
          <w:rFonts w:ascii="Calibri" w:hAnsi="Calibri"/>
        </w:rPr>
        <w:t>debt recovery</w:t>
      </w:r>
      <w:r>
        <w:rPr>
          <w:rFonts w:ascii="Calibri" w:hAnsi="Calibri"/>
        </w:rPr>
        <w:t xml:space="preserve"> team.</w:t>
      </w:r>
    </w:p>
    <w:p w:rsidR="00C5575A" w:rsidRDefault="00C5575A" w:rsidP="00FC1554">
      <w:pPr>
        <w:rPr>
          <w:rFonts w:ascii="Calibri" w:hAnsi="Calibri"/>
          <w:color w:val="FF0000"/>
        </w:rPr>
      </w:pPr>
      <w:r>
        <w:rPr>
          <w:rFonts w:ascii="Calibri" w:hAnsi="Calibri"/>
        </w:rPr>
        <w:t xml:space="preserve">**For the periods detailed above all </w:t>
      </w:r>
      <w:r w:rsidR="001B75A5">
        <w:rPr>
          <w:rFonts w:ascii="Calibri" w:hAnsi="Calibri"/>
        </w:rPr>
        <w:t>NFI payroll</w:t>
      </w:r>
      <w:r>
        <w:rPr>
          <w:rFonts w:ascii="Calibri" w:hAnsi="Calibri"/>
        </w:rPr>
        <w:t xml:space="preserve"> entries were fully investigated but </w:t>
      </w:r>
      <w:r w:rsidR="001B75A5">
        <w:rPr>
          <w:rFonts w:ascii="Calibri" w:hAnsi="Calibri"/>
        </w:rPr>
        <w:t>no issues were found.</w:t>
      </w:r>
    </w:p>
    <w:p w:rsidR="00B14376" w:rsidRPr="008F0891" w:rsidRDefault="00B14376" w:rsidP="00B14376">
      <w:pPr>
        <w:pStyle w:val="ListParagraph"/>
        <w:numPr>
          <w:ilvl w:val="0"/>
          <w:numId w:val="1"/>
        </w:numPr>
        <w:rPr>
          <w:color w:val="FF0000"/>
        </w:rPr>
      </w:pPr>
      <w:r>
        <w:t>Please describe the organisation’s process for following up NFI reviews:</w:t>
      </w:r>
      <w:r w:rsidR="00A35B35">
        <w:t xml:space="preserve"> </w:t>
      </w:r>
      <w:r w:rsidR="00A35B35" w:rsidRPr="008F0891">
        <w:rPr>
          <w:b/>
          <w:color w:val="FF0000"/>
        </w:rPr>
        <w:t>Identified issues are checked for any possible discrepancies against internal / system documentation.</w:t>
      </w:r>
    </w:p>
    <w:p w:rsidR="008F0891" w:rsidRPr="00395724" w:rsidRDefault="00B14376" w:rsidP="00B14376">
      <w:pPr>
        <w:pStyle w:val="ListParagraph"/>
        <w:numPr>
          <w:ilvl w:val="1"/>
          <w:numId w:val="1"/>
        </w:numPr>
        <w:rPr>
          <w:b/>
          <w:color w:val="FF0000"/>
        </w:rPr>
      </w:pPr>
      <w:r>
        <w:t xml:space="preserve">Who is responsible for this at the </w:t>
      </w:r>
      <w:r w:rsidRPr="001B75A5">
        <w:rPr>
          <w:b/>
          <w:color w:val="FF0000"/>
        </w:rPr>
        <w:t xml:space="preserve">trust </w:t>
      </w:r>
      <w:r>
        <w:t>(name &amp; job title)?</w:t>
      </w:r>
      <w:r w:rsidR="00A35B35">
        <w:t xml:space="preserve"> </w:t>
      </w:r>
    </w:p>
    <w:p w:rsidR="00B14376" w:rsidRPr="00395724" w:rsidRDefault="00FC1554" w:rsidP="00395724">
      <w:pPr>
        <w:ind w:left="1080"/>
        <w:rPr>
          <w:b/>
          <w:color w:val="FF0000"/>
        </w:rPr>
      </w:pPr>
      <w:r>
        <w:rPr>
          <w:b/>
          <w:color w:val="FF0000"/>
        </w:rPr>
        <w:t>Simon Lacey, Internal Audit</w:t>
      </w:r>
    </w:p>
    <w:p w:rsidR="008F0891" w:rsidRPr="008F0891" w:rsidRDefault="00B14376" w:rsidP="00B14376">
      <w:pPr>
        <w:pStyle w:val="ListParagraph"/>
        <w:numPr>
          <w:ilvl w:val="1"/>
          <w:numId w:val="1"/>
        </w:numPr>
        <w:rPr>
          <w:color w:val="FF0000"/>
        </w:rPr>
      </w:pPr>
      <w:r>
        <w:t>How many internal FTEs were required to follow-up on the last review?</w:t>
      </w:r>
      <w:r w:rsidR="00A35B35">
        <w:t xml:space="preserve"> </w:t>
      </w:r>
    </w:p>
    <w:p w:rsidR="00B14376" w:rsidRPr="008F0891" w:rsidRDefault="008F0891" w:rsidP="00395724">
      <w:pPr>
        <w:ind w:left="1080"/>
        <w:rPr>
          <w:b/>
          <w:color w:val="FF0000"/>
        </w:rPr>
      </w:pPr>
      <w:r w:rsidRPr="008F0891">
        <w:rPr>
          <w:b/>
          <w:color w:val="FF0000"/>
        </w:rPr>
        <w:t>Any follow-up actions are undertaken as part of day to day duties across AP, Payroll and Pensions</w:t>
      </w:r>
    </w:p>
    <w:p w:rsidR="00B14376" w:rsidRPr="008F0891" w:rsidRDefault="00B14376" w:rsidP="00B14376">
      <w:pPr>
        <w:pStyle w:val="ListParagraph"/>
        <w:numPr>
          <w:ilvl w:val="1"/>
          <w:numId w:val="1"/>
        </w:numPr>
        <w:rPr>
          <w:color w:val="FF0000"/>
        </w:rPr>
      </w:pPr>
      <w:r>
        <w:t xml:space="preserve">How many days did it take for the </w:t>
      </w:r>
      <w:r w:rsidRPr="00395724">
        <w:rPr>
          <w:b/>
          <w:color w:val="FF0000"/>
        </w:rPr>
        <w:t>trust</w:t>
      </w:r>
      <w:r w:rsidRPr="00395724">
        <w:rPr>
          <w:color w:val="FF0000"/>
        </w:rPr>
        <w:t xml:space="preserve"> </w:t>
      </w:r>
      <w:r>
        <w:t>or any external auditors used to follow-up and recover money identified by the last NFI review?</w:t>
      </w:r>
      <w:r w:rsidR="00A35B35">
        <w:t xml:space="preserve"> </w:t>
      </w:r>
      <w:r w:rsidR="00A35B35" w:rsidRPr="008F0891">
        <w:rPr>
          <w:b/>
          <w:color w:val="FF0000"/>
        </w:rPr>
        <w:t>Not measured</w:t>
      </w:r>
    </w:p>
    <w:p w:rsidR="00B14376" w:rsidRDefault="00B14376" w:rsidP="00B14376">
      <w:pPr>
        <w:pStyle w:val="ListParagraph"/>
        <w:ind w:left="1440"/>
      </w:pPr>
    </w:p>
    <w:p w:rsidR="00B14376" w:rsidRDefault="00B14376" w:rsidP="00B14376">
      <w:pPr>
        <w:rPr>
          <w:u w:val="single"/>
        </w:rPr>
      </w:pPr>
      <w:r>
        <w:rPr>
          <w:u w:val="single"/>
        </w:rPr>
        <w:t>Financial Recovery Suppliers</w:t>
      </w:r>
    </w:p>
    <w:p w:rsidR="00CB669C" w:rsidRDefault="00CB669C" w:rsidP="00CB669C">
      <w:pPr>
        <w:pStyle w:val="ListParagraph"/>
      </w:pPr>
    </w:p>
    <w:p w:rsidR="008F0891" w:rsidRPr="008F0891" w:rsidRDefault="00B14376" w:rsidP="00B14376">
      <w:pPr>
        <w:pStyle w:val="ListParagraph"/>
        <w:numPr>
          <w:ilvl w:val="0"/>
          <w:numId w:val="3"/>
        </w:numPr>
        <w:rPr>
          <w:color w:val="FF0000"/>
        </w:rPr>
      </w:pPr>
      <w:r>
        <w:t>Please list all</w:t>
      </w:r>
      <w:r w:rsidR="00CB669C">
        <w:t xml:space="preserve"> management consultants</w:t>
      </w:r>
      <w:r>
        <w:t xml:space="preserve"> used in the last three financial years (14/15 – 16/17) to </w:t>
      </w:r>
      <w:r w:rsidR="00CB669C">
        <w:t>review / identify /</w:t>
      </w:r>
      <w:r>
        <w:t xml:space="preserve"> recover savings. </w:t>
      </w:r>
      <w:proofErr w:type="spellStart"/>
      <w:r>
        <w:t>Ie</w:t>
      </w:r>
      <w:proofErr w:type="spellEnd"/>
      <w:r>
        <w:t xml:space="preserve">. </w:t>
      </w:r>
      <w:proofErr w:type="gramStart"/>
      <w:r>
        <w:t>management</w:t>
      </w:r>
      <w:proofErr w:type="gramEnd"/>
      <w:r>
        <w:t xml:space="preserve"> consultants, recovery experts etc.</w:t>
      </w:r>
      <w:r w:rsidR="00A35B35">
        <w:t xml:space="preserve"> </w:t>
      </w:r>
    </w:p>
    <w:p w:rsidR="00B14376" w:rsidRPr="008F0891" w:rsidRDefault="008F0891" w:rsidP="008F0891">
      <w:pPr>
        <w:ind w:left="360"/>
        <w:rPr>
          <w:color w:val="FF0000"/>
        </w:rPr>
      </w:pPr>
      <w:r w:rsidRPr="008F0891">
        <w:rPr>
          <w:b/>
          <w:color w:val="FF0000"/>
        </w:rPr>
        <w:t>Not applicable</w:t>
      </w:r>
    </w:p>
    <w:p w:rsidR="00BD444A" w:rsidRDefault="00676754"/>
    <w:sectPr w:rsidR="00BD444A" w:rsidSect="008F0891">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0E2"/>
    <w:multiLevelType w:val="hybridMultilevel"/>
    <w:tmpl w:val="D4D6A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85ACA"/>
    <w:multiLevelType w:val="hybridMultilevel"/>
    <w:tmpl w:val="9CACF7F2"/>
    <w:lvl w:ilvl="0" w:tplc="C2327D5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B83B3E"/>
    <w:multiLevelType w:val="hybridMultilevel"/>
    <w:tmpl w:val="179E4AD2"/>
    <w:lvl w:ilvl="0" w:tplc="C2327D5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E6523"/>
    <w:multiLevelType w:val="hybridMultilevel"/>
    <w:tmpl w:val="3304A7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76"/>
    <w:rsid w:val="00066983"/>
    <w:rsid w:val="001B75A5"/>
    <w:rsid w:val="00305EA0"/>
    <w:rsid w:val="00352836"/>
    <w:rsid w:val="00363D5F"/>
    <w:rsid w:val="003744B8"/>
    <w:rsid w:val="00395724"/>
    <w:rsid w:val="0052653F"/>
    <w:rsid w:val="00676754"/>
    <w:rsid w:val="00694E98"/>
    <w:rsid w:val="008F0891"/>
    <w:rsid w:val="00A35B35"/>
    <w:rsid w:val="00A61021"/>
    <w:rsid w:val="00B14376"/>
    <w:rsid w:val="00B71CF6"/>
    <w:rsid w:val="00C5575A"/>
    <w:rsid w:val="00CB669C"/>
    <w:rsid w:val="00FC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CDFF6-0D43-4936-90EB-68BEEA8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376"/>
    <w:pPr>
      <w:ind w:left="720"/>
      <w:contextualSpacing/>
    </w:pPr>
  </w:style>
  <w:style w:type="table" w:styleId="TableGrid">
    <w:name w:val="Table Grid"/>
    <w:basedOn w:val="TableNormal"/>
    <w:uiPriority w:val="39"/>
    <w:rsid w:val="00B1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Allen</dc:creator>
  <cp:keywords/>
  <dc:description/>
  <cp:lastModifiedBy>Janet Lowe</cp:lastModifiedBy>
  <cp:revision>3</cp:revision>
  <cp:lastPrinted>2018-05-14T07:22:00Z</cp:lastPrinted>
  <dcterms:created xsi:type="dcterms:W3CDTF">2018-05-15T08:30:00Z</dcterms:created>
  <dcterms:modified xsi:type="dcterms:W3CDTF">2018-05-15T08:34:00Z</dcterms:modified>
</cp:coreProperties>
</file>