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B4" w:rsidRPr="009652B4" w:rsidRDefault="009652B4" w:rsidP="009652B4">
      <w:pPr>
        <w:jc w:val="center"/>
        <w:rPr>
          <w:rFonts w:eastAsiaTheme="minorHAnsi" w:cs="Arial"/>
          <w:b/>
          <w:sz w:val="32"/>
          <w:szCs w:val="22"/>
          <w:lang w:eastAsia="en-US"/>
        </w:rPr>
      </w:pPr>
      <w:bookmarkStart w:id="0" w:name="_GoBack"/>
      <w:bookmarkEnd w:id="0"/>
      <w:r w:rsidRPr="009652B4">
        <w:rPr>
          <w:rFonts w:eastAsiaTheme="minorHAnsi" w:cs="Arial"/>
          <w:b/>
          <w:sz w:val="32"/>
          <w:szCs w:val="22"/>
          <w:lang w:eastAsia="en-US"/>
        </w:rPr>
        <w:t>Nottinghamshire Health and Wellbeing Board</w:t>
      </w:r>
    </w:p>
    <w:p w:rsidR="009652B4" w:rsidRPr="009652B4" w:rsidRDefault="009652B4" w:rsidP="009652B4">
      <w:pPr>
        <w:jc w:val="left"/>
        <w:rPr>
          <w:rFonts w:eastAsiaTheme="minorHAnsi" w:cs="Arial"/>
          <w:b/>
          <w:sz w:val="28"/>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b/>
          <w:sz w:val="28"/>
          <w:szCs w:val="22"/>
          <w:lang w:eastAsia="en-US"/>
        </w:rPr>
        <w:t>Report on feedback from consultation for the second Joint Health and Wellbeing Strategy</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 xml:space="preserve">The consultation for the second Nottinghamshire Joint Health &amp; Wellbeing Strategy was launched by the Health &amp; Wellbeing Board at their meeting on 6 September 2017 &amp; ran until 29 October 2017.  </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The consultation aimed to invite views from members of the professionals from service providers &amp; voluntary sector organisations, members of the public &amp; wider partners.</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The focus of the consultation was an online survey accessed through the Nottinghamshire County Council consultation hub.  It was supported by a series of 7 district based events across the county.  Feedback was also accepted by email &amp; hard copy of the consultation questionnaire.</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In total 306 responses were received through the online questionnaire, email &amp; hard copy and 128 people attended the consultation events representing 50 organisations.  Some individuals &amp; organisations attended an event as well as submitting on line feedback.  A list of organisations who contributed to the consultation is attached.</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The consultation events followed a standard agenda with an introductory presentation from the Chair of the Health &amp; Wellbeing Board followed by table discussions based on the consultation questions around proposed:</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Vision - what the HWB want to achieve</w:t>
      </w: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Approach - how the HWB will work</w:t>
      </w: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Ambitions – broad themes for work</w:t>
      </w: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Priorities - specific areas of work to improve health &amp; wellbeing</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A presentation &amp; supporting notes were also made available on the Health &amp; Wellbeing Strategy web page for groups to use at meetings or other events.</w:t>
      </w:r>
    </w:p>
    <w:p w:rsidR="009652B4" w:rsidRPr="009652B4" w:rsidRDefault="009652B4" w:rsidP="009652B4">
      <w:pPr>
        <w:jc w:val="left"/>
        <w:rPr>
          <w:rFonts w:eastAsiaTheme="minorHAnsi" w:cs="Arial"/>
          <w:b/>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b/>
          <w:szCs w:val="22"/>
          <w:lang w:eastAsia="en-US"/>
        </w:rPr>
        <w:t>What the consultation said</w:t>
      </w:r>
    </w:p>
    <w:p w:rsidR="009652B4" w:rsidRPr="009652B4" w:rsidRDefault="009652B4" w:rsidP="009652B4">
      <w:pPr>
        <w:jc w:val="left"/>
        <w:rPr>
          <w:rFonts w:eastAsiaTheme="minorHAnsi" w:cs="Arial"/>
          <w:b/>
          <w:szCs w:val="22"/>
          <w:lang w:eastAsia="en-US"/>
        </w:rPr>
      </w:pPr>
      <w:r w:rsidRPr="009652B4">
        <w:rPr>
          <w:rFonts w:eastAsiaTheme="minorHAnsi" w:cs="Arial"/>
          <w:b/>
          <w:szCs w:val="22"/>
          <w:lang w:eastAsia="en-US"/>
        </w:rPr>
        <w:t>Question 1: Do you agree with the overall Vision?</w:t>
      </w:r>
    </w:p>
    <w:tbl>
      <w:tblPr>
        <w:tblStyle w:val="TableGrid"/>
        <w:tblW w:w="0" w:type="auto"/>
        <w:tblInd w:w="-5" w:type="dxa"/>
        <w:tblLook w:val="04A0" w:firstRow="1" w:lastRow="0" w:firstColumn="1" w:lastColumn="0" w:noHBand="0" w:noVBand="1"/>
      </w:tblPr>
      <w:tblGrid>
        <w:gridCol w:w="4868"/>
        <w:gridCol w:w="1444"/>
        <w:gridCol w:w="1223"/>
      </w:tblGrid>
      <w:tr w:rsidR="009652B4" w:rsidRPr="009652B4" w:rsidTr="00511AD9">
        <w:tc>
          <w:tcPr>
            <w:tcW w:w="4868" w:type="dxa"/>
            <w:shd w:val="clear" w:color="auto" w:fill="000000" w:themeFill="text1"/>
          </w:tcPr>
          <w:p w:rsidR="009652B4" w:rsidRPr="009652B4" w:rsidRDefault="009652B4" w:rsidP="009652B4">
            <w:pPr>
              <w:jc w:val="left"/>
              <w:rPr>
                <w:rFonts w:eastAsiaTheme="minorHAnsi" w:cs="Arial"/>
                <w:color w:val="FFFFFF" w:themeColor="background1"/>
                <w:szCs w:val="22"/>
                <w:lang w:eastAsia="en-US"/>
              </w:rPr>
            </w:pPr>
          </w:p>
        </w:tc>
        <w:tc>
          <w:tcPr>
            <w:tcW w:w="1223" w:type="dxa"/>
            <w:shd w:val="clear" w:color="auto" w:fill="000000" w:themeFill="text1"/>
          </w:tcPr>
          <w:p w:rsidR="009652B4" w:rsidRPr="009652B4" w:rsidRDefault="009652B4" w:rsidP="009652B4">
            <w:pPr>
              <w:jc w:val="center"/>
              <w:rPr>
                <w:rFonts w:eastAsiaTheme="minorHAnsi" w:cs="Arial"/>
                <w:color w:val="FFFFFF" w:themeColor="background1"/>
                <w:szCs w:val="22"/>
                <w:lang w:eastAsia="en-US"/>
              </w:rPr>
            </w:pPr>
            <w:r w:rsidRPr="009652B4">
              <w:rPr>
                <w:rFonts w:eastAsiaTheme="minorHAnsi" w:cs="Arial"/>
                <w:color w:val="FFFFFF" w:themeColor="background1"/>
                <w:szCs w:val="22"/>
                <w:lang w:eastAsia="en-US"/>
              </w:rPr>
              <w:t>Percentage</w:t>
            </w:r>
          </w:p>
        </w:tc>
        <w:tc>
          <w:tcPr>
            <w:tcW w:w="1223" w:type="dxa"/>
            <w:shd w:val="clear" w:color="auto" w:fill="000000" w:themeFill="text1"/>
          </w:tcPr>
          <w:p w:rsidR="009652B4" w:rsidRPr="009652B4" w:rsidRDefault="009652B4" w:rsidP="009652B4">
            <w:pPr>
              <w:jc w:val="center"/>
              <w:rPr>
                <w:rFonts w:eastAsiaTheme="minorHAnsi" w:cs="Arial"/>
                <w:color w:val="FFFFFF" w:themeColor="background1"/>
                <w:szCs w:val="22"/>
                <w:lang w:eastAsia="en-US"/>
              </w:rPr>
            </w:pPr>
            <w:r w:rsidRPr="009652B4">
              <w:rPr>
                <w:rFonts w:eastAsiaTheme="minorHAnsi" w:cs="Arial"/>
                <w:color w:val="FFFFFF" w:themeColor="background1"/>
                <w:szCs w:val="22"/>
                <w:lang w:eastAsia="en-US"/>
              </w:rPr>
              <w:t>Number</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Strongly agree</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31%</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86</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Agree</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52%</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145</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Neither agree or disagree</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10%</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28</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Disagree</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3%</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9</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Strongly disagree</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3%</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7</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Did not answer</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1%</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4</w:t>
            </w:r>
          </w:p>
        </w:tc>
      </w:tr>
    </w:tbl>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 xml:space="preserve">More than 80% of people who responded to the online survey agreed or strongly agreed with the proposed vision.  All of those people who came to the events also agreed but there were suggestions to improve the wording which were considered by the Health &amp; Wellbeing Board at a workshop on 1 November 2017.  The feedback particularly highlighted the </w:t>
      </w:r>
      <w:r w:rsidRPr="009652B4">
        <w:rPr>
          <w:rFonts w:eastAsiaTheme="minorHAnsi" w:cs="Arial"/>
          <w:szCs w:val="22"/>
          <w:lang w:eastAsia="en-US"/>
        </w:rPr>
        <w:lastRenderedPageBreak/>
        <w:t>importance of leading healthier lives, the role of communities &amp; the importance of good mental &amp; physical health.</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b/>
          <w:szCs w:val="22"/>
          <w:lang w:eastAsia="en-US"/>
        </w:rPr>
      </w:pPr>
      <w:r w:rsidRPr="009652B4">
        <w:rPr>
          <w:rFonts w:eastAsiaTheme="minorHAnsi" w:cs="Arial"/>
          <w:b/>
          <w:szCs w:val="22"/>
          <w:lang w:eastAsia="en-US"/>
        </w:rPr>
        <w:t>Question 2: Do you agree we are taking the right approach?</w:t>
      </w:r>
    </w:p>
    <w:tbl>
      <w:tblPr>
        <w:tblStyle w:val="TableGrid"/>
        <w:tblpPr w:leftFromText="180" w:rightFromText="180" w:vertAnchor="text" w:horzAnchor="page" w:tblpX="1696" w:tblpY="68"/>
        <w:tblW w:w="0" w:type="auto"/>
        <w:tblLook w:val="04A0" w:firstRow="1" w:lastRow="0" w:firstColumn="1" w:lastColumn="0" w:noHBand="0" w:noVBand="1"/>
      </w:tblPr>
      <w:tblGrid>
        <w:gridCol w:w="4868"/>
        <w:gridCol w:w="1444"/>
        <w:gridCol w:w="1223"/>
      </w:tblGrid>
      <w:tr w:rsidR="00511FF3" w:rsidRPr="00511FF3" w:rsidTr="00511FF3">
        <w:tc>
          <w:tcPr>
            <w:tcW w:w="4868" w:type="dxa"/>
            <w:shd w:val="clear" w:color="auto" w:fill="000000" w:themeFill="text1"/>
          </w:tcPr>
          <w:p w:rsidR="00511FF3" w:rsidRPr="00511FF3" w:rsidRDefault="00511FF3" w:rsidP="009652B4">
            <w:pPr>
              <w:jc w:val="left"/>
              <w:rPr>
                <w:rFonts w:eastAsiaTheme="minorHAnsi" w:cs="Arial"/>
                <w:color w:val="FFFFFF" w:themeColor="background1"/>
                <w:szCs w:val="22"/>
                <w:lang w:eastAsia="en-US"/>
              </w:rPr>
            </w:pPr>
          </w:p>
        </w:tc>
        <w:tc>
          <w:tcPr>
            <w:tcW w:w="1223" w:type="dxa"/>
            <w:shd w:val="clear" w:color="auto" w:fill="000000" w:themeFill="text1"/>
          </w:tcPr>
          <w:p w:rsidR="00511FF3" w:rsidRPr="00511FF3" w:rsidRDefault="00511FF3" w:rsidP="009652B4">
            <w:pPr>
              <w:jc w:val="center"/>
              <w:rPr>
                <w:rFonts w:eastAsiaTheme="minorHAnsi" w:cs="Arial"/>
                <w:color w:val="FFFFFF" w:themeColor="background1"/>
                <w:szCs w:val="22"/>
                <w:lang w:eastAsia="en-US"/>
              </w:rPr>
            </w:pPr>
            <w:r w:rsidRPr="00511FF3">
              <w:rPr>
                <w:rFonts w:eastAsiaTheme="minorHAnsi" w:cs="Arial"/>
                <w:color w:val="FFFFFF" w:themeColor="background1"/>
                <w:szCs w:val="22"/>
                <w:lang w:eastAsia="en-US"/>
              </w:rPr>
              <w:t>Percentage</w:t>
            </w:r>
          </w:p>
        </w:tc>
        <w:tc>
          <w:tcPr>
            <w:tcW w:w="1223" w:type="dxa"/>
            <w:shd w:val="clear" w:color="auto" w:fill="000000" w:themeFill="text1"/>
          </w:tcPr>
          <w:p w:rsidR="00511FF3" w:rsidRPr="00511FF3" w:rsidRDefault="00511FF3" w:rsidP="009652B4">
            <w:pPr>
              <w:jc w:val="center"/>
              <w:rPr>
                <w:rFonts w:eastAsiaTheme="minorHAnsi" w:cs="Arial"/>
                <w:color w:val="FFFFFF" w:themeColor="background1"/>
                <w:szCs w:val="22"/>
                <w:lang w:eastAsia="en-US"/>
              </w:rPr>
            </w:pPr>
            <w:r w:rsidRPr="00511FF3">
              <w:rPr>
                <w:rFonts w:eastAsiaTheme="minorHAnsi" w:cs="Arial"/>
                <w:color w:val="FFFFFF" w:themeColor="background1"/>
                <w:szCs w:val="22"/>
                <w:lang w:eastAsia="en-US"/>
              </w:rPr>
              <w:t>Number</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Strongly agree</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20%</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55</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Agree</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58%</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162</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Neither agree or disagree</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14%</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40</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Disagree</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5%</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13</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Strongly disagree</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3%</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7</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Did not answer</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1%</w:t>
            </w:r>
          </w:p>
        </w:tc>
        <w:tc>
          <w:tcPr>
            <w:tcW w:w="1223"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2</w:t>
            </w:r>
          </w:p>
        </w:tc>
      </w:tr>
    </w:tbl>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b/>
          <w:szCs w:val="22"/>
          <w:lang w:eastAsia="en-US"/>
        </w:rPr>
      </w:pPr>
    </w:p>
    <w:p w:rsidR="009652B4" w:rsidRPr="009652B4" w:rsidRDefault="009652B4" w:rsidP="009652B4">
      <w:pPr>
        <w:jc w:val="left"/>
        <w:rPr>
          <w:rFonts w:eastAsiaTheme="minorHAnsi" w:cs="Arial"/>
          <w:b/>
          <w:szCs w:val="22"/>
          <w:lang w:eastAsia="en-US"/>
        </w:rPr>
      </w:pPr>
    </w:p>
    <w:p w:rsidR="009652B4" w:rsidRPr="009652B4" w:rsidRDefault="009652B4" w:rsidP="009652B4">
      <w:pPr>
        <w:jc w:val="left"/>
        <w:rPr>
          <w:rFonts w:eastAsiaTheme="minorHAnsi" w:cs="Arial"/>
          <w:b/>
          <w:szCs w:val="22"/>
          <w:lang w:eastAsia="en-US"/>
        </w:rPr>
      </w:pP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Again more than 80% of people who responded to the online consultation agreed or strongly agreed with the approach.  All of the discussions at the events supported the proposed approach.  Again though there were suggestions for improvement, particularly in the language that is sued to describe the proposed approach.</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Feedback particularly highlighted the role of community &amp; voluntary organisations, the role of the Board in communication &amp; coordination across the county &amp; the importance of developing locally appropriate solutions.</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b/>
          <w:szCs w:val="22"/>
          <w:lang w:eastAsia="en-US"/>
        </w:rPr>
      </w:pPr>
      <w:r w:rsidRPr="009652B4">
        <w:rPr>
          <w:rFonts w:eastAsiaTheme="minorHAnsi" w:cs="Arial"/>
          <w:b/>
          <w:szCs w:val="22"/>
          <w:lang w:eastAsia="en-US"/>
        </w:rPr>
        <w:t>Question 3: Do you support the 4 strategic ambitions?</w:t>
      </w:r>
    </w:p>
    <w:tbl>
      <w:tblPr>
        <w:tblStyle w:val="TableGrid"/>
        <w:tblpPr w:leftFromText="180" w:rightFromText="180" w:vertAnchor="text" w:horzAnchor="page" w:tblpX="1651" w:tblpY="12"/>
        <w:tblW w:w="0" w:type="auto"/>
        <w:tblLook w:val="04A0" w:firstRow="1" w:lastRow="0" w:firstColumn="1" w:lastColumn="0" w:noHBand="0" w:noVBand="1"/>
      </w:tblPr>
      <w:tblGrid>
        <w:gridCol w:w="4868"/>
        <w:gridCol w:w="1444"/>
        <w:gridCol w:w="1223"/>
      </w:tblGrid>
      <w:tr w:rsidR="00511FF3" w:rsidRPr="00511FF3" w:rsidTr="00511FF3">
        <w:tc>
          <w:tcPr>
            <w:tcW w:w="4868" w:type="dxa"/>
            <w:shd w:val="clear" w:color="auto" w:fill="000000" w:themeFill="text1"/>
          </w:tcPr>
          <w:p w:rsidR="00511FF3" w:rsidRPr="00511FF3" w:rsidRDefault="00511FF3" w:rsidP="009652B4">
            <w:pPr>
              <w:jc w:val="left"/>
              <w:rPr>
                <w:rFonts w:eastAsiaTheme="minorHAnsi" w:cs="Arial"/>
                <w:color w:val="FFFFFF" w:themeColor="background1"/>
                <w:szCs w:val="22"/>
                <w:lang w:eastAsia="en-US"/>
              </w:rPr>
            </w:pPr>
          </w:p>
        </w:tc>
        <w:tc>
          <w:tcPr>
            <w:tcW w:w="1223" w:type="dxa"/>
            <w:shd w:val="clear" w:color="auto" w:fill="000000" w:themeFill="text1"/>
          </w:tcPr>
          <w:p w:rsidR="00511FF3" w:rsidRPr="00511FF3" w:rsidRDefault="00511FF3" w:rsidP="009652B4">
            <w:pPr>
              <w:jc w:val="left"/>
              <w:rPr>
                <w:rFonts w:eastAsiaTheme="minorHAnsi" w:cs="Arial"/>
                <w:color w:val="FFFFFF" w:themeColor="background1"/>
                <w:szCs w:val="22"/>
                <w:lang w:eastAsia="en-US"/>
              </w:rPr>
            </w:pPr>
            <w:r>
              <w:rPr>
                <w:rFonts w:eastAsiaTheme="minorHAnsi" w:cs="Arial"/>
                <w:color w:val="FFFFFF" w:themeColor="background1"/>
                <w:szCs w:val="22"/>
                <w:lang w:eastAsia="en-US"/>
              </w:rPr>
              <w:t>Percantage</w:t>
            </w:r>
          </w:p>
        </w:tc>
        <w:tc>
          <w:tcPr>
            <w:tcW w:w="1223" w:type="dxa"/>
            <w:shd w:val="clear" w:color="auto" w:fill="000000" w:themeFill="text1"/>
          </w:tcPr>
          <w:p w:rsidR="00511FF3" w:rsidRPr="00511FF3" w:rsidRDefault="00511FF3" w:rsidP="009652B4">
            <w:pPr>
              <w:jc w:val="left"/>
              <w:rPr>
                <w:rFonts w:eastAsiaTheme="minorHAnsi" w:cs="Arial"/>
                <w:color w:val="FFFFFF" w:themeColor="background1"/>
                <w:szCs w:val="22"/>
                <w:lang w:eastAsia="en-US"/>
              </w:rPr>
            </w:pPr>
            <w:r>
              <w:rPr>
                <w:rFonts w:eastAsiaTheme="minorHAnsi" w:cs="Arial"/>
                <w:color w:val="FFFFFF" w:themeColor="background1"/>
                <w:szCs w:val="22"/>
                <w:lang w:eastAsia="en-US"/>
              </w:rPr>
              <w:t>Number</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Strongly agree</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24%</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68</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Agree</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55%</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154</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Neither agree or disagree</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11%</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32</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Disagree</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4%</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12</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Strongly disagree</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3%</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8</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Did not answer</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2%</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5</w:t>
            </w:r>
          </w:p>
        </w:tc>
      </w:tr>
    </w:tbl>
    <w:p w:rsidR="009652B4" w:rsidRPr="009652B4" w:rsidRDefault="009652B4" w:rsidP="009652B4">
      <w:pPr>
        <w:jc w:val="left"/>
        <w:rPr>
          <w:rFonts w:eastAsiaTheme="minorHAnsi" w:cs="Arial"/>
          <w:b/>
          <w:szCs w:val="22"/>
          <w:lang w:eastAsia="en-US"/>
        </w:rPr>
      </w:pPr>
    </w:p>
    <w:p w:rsidR="009652B4" w:rsidRPr="009652B4" w:rsidRDefault="009652B4" w:rsidP="009652B4">
      <w:pPr>
        <w:jc w:val="left"/>
        <w:rPr>
          <w:rFonts w:eastAsiaTheme="minorHAnsi" w:cs="Arial"/>
          <w:b/>
          <w:szCs w:val="22"/>
          <w:lang w:eastAsia="en-US"/>
        </w:rPr>
      </w:pPr>
    </w:p>
    <w:p w:rsidR="009652B4" w:rsidRPr="009652B4" w:rsidRDefault="009652B4" w:rsidP="009652B4">
      <w:pPr>
        <w:ind w:left="1440" w:hanging="1440"/>
        <w:jc w:val="left"/>
        <w:rPr>
          <w:rFonts w:eastAsiaTheme="minorHAnsi" w:cs="Arial"/>
          <w:b/>
          <w:szCs w:val="22"/>
          <w:lang w:eastAsia="en-US"/>
        </w:rPr>
      </w:pPr>
    </w:p>
    <w:p w:rsidR="009652B4" w:rsidRPr="009652B4" w:rsidRDefault="009652B4" w:rsidP="009652B4">
      <w:pPr>
        <w:ind w:left="1440" w:hanging="1440"/>
        <w:jc w:val="left"/>
        <w:rPr>
          <w:rFonts w:eastAsiaTheme="minorHAnsi" w:cs="Arial"/>
          <w:b/>
          <w:szCs w:val="22"/>
          <w:lang w:eastAsia="en-US"/>
        </w:rPr>
      </w:pPr>
    </w:p>
    <w:p w:rsidR="009652B4" w:rsidRPr="009652B4" w:rsidRDefault="009652B4" w:rsidP="009652B4">
      <w:pPr>
        <w:ind w:left="1440" w:hanging="1440"/>
        <w:jc w:val="left"/>
        <w:rPr>
          <w:rFonts w:eastAsiaTheme="minorHAnsi" w:cs="Arial"/>
          <w:b/>
          <w:szCs w:val="22"/>
          <w:lang w:eastAsia="en-US"/>
        </w:rPr>
      </w:pP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79% of people agreed or strongly agreed with the ambitions proposed in the consultation and again there was support at all of the consultation events.</w:t>
      </w: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Much of the feedback within the responses to the question around the ambitions actually related to the more detailed priorities which will sit below the priorities &amp; were the focus of question 4.</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 xml:space="preserve">There were a number of comments around the wording of ambition 4 – transforming care services which is already a recognised programme of work within the NHS. </w:t>
      </w:r>
    </w:p>
    <w:p w:rsidR="009652B4" w:rsidRPr="009652B4" w:rsidRDefault="009652B4" w:rsidP="009652B4">
      <w:pPr>
        <w:jc w:val="left"/>
        <w:rPr>
          <w:rFonts w:eastAsiaTheme="minorHAnsi" w:cs="Arial"/>
          <w:szCs w:val="22"/>
          <w:lang w:eastAsia="en-US"/>
        </w:rPr>
      </w:pPr>
    </w:p>
    <w:p w:rsidR="009652B4" w:rsidRPr="009652B4" w:rsidRDefault="009652B4" w:rsidP="009652B4">
      <w:pPr>
        <w:rPr>
          <w:rFonts w:cs="Arial"/>
          <w:b/>
        </w:rPr>
      </w:pPr>
      <w:r w:rsidRPr="009652B4">
        <w:rPr>
          <w:rFonts w:cs="Arial"/>
          <w:b/>
        </w:rPr>
        <w:br w:type="page"/>
      </w:r>
    </w:p>
    <w:p w:rsidR="009652B4" w:rsidRPr="009652B4" w:rsidRDefault="009652B4" w:rsidP="009652B4">
      <w:pPr>
        <w:ind w:left="1440" w:hanging="1440"/>
        <w:jc w:val="left"/>
        <w:rPr>
          <w:rFonts w:eastAsiaTheme="minorHAnsi" w:cs="Arial"/>
          <w:b/>
          <w:szCs w:val="22"/>
          <w:lang w:eastAsia="en-US"/>
        </w:rPr>
      </w:pPr>
      <w:r w:rsidRPr="009652B4">
        <w:rPr>
          <w:rFonts w:eastAsiaTheme="minorHAnsi" w:cs="Arial"/>
          <w:b/>
          <w:szCs w:val="22"/>
          <w:lang w:eastAsia="en-US"/>
        </w:rPr>
        <w:lastRenderedPageBreak/>
        <w:t xml:space="preserve">Question 4: </w:t>
      </w:r>
      <w:r w:rsidRPr="009652B4">
        <w:rPr>
          <w:rFonts w:eastAsiaTheme="minorHAnsi" w:cs="Arial"/>
          <w:b/>
          <w:szCs w:val="22"/>
          <w:lang w:eastAsia="en-US"/>
        </w:rPr>
        <w:tab/>
        <w:t>We have started to identify potential priorities for action for the Health &amp; Wellbeing Board under the Strategic Ambitions 2. Healthy &amp; sustainable places and 3. A good start</w:t>
      </w:r>
    </w:p>
    <w:p w:rsidR="009652B4" w:rsidRPr="009652B4" w:rsidRDefault="009652B4" w:rsidP="009652B4">
      <w:pPr>
        <w:ind w:left="1440"/>
        <w:jc w:val="left"/>
        <w:rPr>
          <w:rFonts w:eastAsiaTheme="minorHAnsi" w:cs="Arial"/>
          <w:b/>
          <w:szCs w:val="22"/>
          <w:lang w:eastAsia="en-US"/>
        </w:rPr>
      </w:pPr>
      <w:r w:rsidRPr="009652B4">
        <w:rPr>
          <w:rFonts w:eastAsiaTheme="minorHAnsi" w:cs="Arial"/>
          <w:b/>
          <w:szCs w:val="22"/>
          <w:lang w:eastAsia="en-US"/>
        </w:rPr>
        <w:t>Do you think that these are the right emerging priorities to support these strategic ambitions?</w:t>
      </w:r>
    </w:p>
    <w:tbl>
      <w:tblPr>
        <w:tblStyle w:val="TableGrid"/>
        <w:tblpPr w:leftFromText="180" w:rightFromText="180" w:vertAnchor="text" w:horzAnchor="page" w:tblpX="1786" w:tblpY="207"/>
        <w:tblW w:w="0" w:type="auto"/>
        <w:tblLook w:val="04A0" w:firstRow="1" w:lastRow="0" w:firstColumn="1" w:lastColumn="0" w:noHBand="0" w:noVBand="1"/>
      </w:tblPr>
      <w:tblGrid>
        <w:gridCol w:w="4868"/>
        <w:gridCol w:w="1444"/>
        <w:gridCol w:w="1223"/>
      </w:tblGrid>
      <w:tr w:rsidR="00511FF3" w:rsidRPr="00511FF3" w:rsidTr="00511FF3">
        <w:tc>
          <w:tcPr>
            <w:tcW w:w="4868" w:type="dxa"/>
            <w:shd w:val="clear" w:color="auto" w:fill="000000" w:themeFill="text1"/>
          </w:tcPr>
          <w:p w:rsidR="00511FF3" w:rsidRPr="00511FF3" w:rsidRDefault="00511FF3" w:rsidP="009652B4">
            <w:pPr>
              <w:jc w:val="left"/>
              <w:rPr>
                <w:rFonts w:eastAsiaTheme="minorHAnsi" w:cs="Arial"/>
                <w:color w:val="FFFFFF" w:themeColor="background1"/>
                <w:szCs w:val="22"/>
                <w:lang w:eastAsia="en-US"/>
              </w:rPr>
            </w:pPr>
          </w:p>
        </w:tc>
        <w:tc>
          <w:tcPr>
            <w:tcW w:w="1223" w:type="dxa"/>
            <w:shd w:val="clear" w:color="auto" w:fill="000000" w:themeFill="text1"/>
          </w:tcPr>
          <w:p w:rsidR="00511FF3" w:rsidRPr="00511FF3" w:rsidRDefault="00511FF3" w:rsidP="009652B4">
            <w:pPr>
              <w:jc w:val="left"/>
              <w:rPr>
                <w:rFonts w:eastAsiaTheme="minorHAnsi" w:cs="Arial"/>
                <w:color w:val="FFFFFF" w:themeColor="background1"/>
                <w:szCs w:val="22"/>
                <w:lang w:eastAsia="en-US"/>
              </w:rPr>
            </w:pPr>
            <w:r>
              <w:rPr>
                <w:rFonts w:eastAsiaTheme="minorHAnsi" w:cs="Arial"/>
                <w:color w:val="FFFFFF" w:themeColor="background1"/>
                <w:szCs w:val="22"/>
                <w:lang w:eastAsia="en-US"/>
              </w:rPr>
              <w:t>Percentage</w:t>
            </w:r>
          </w:p>
        </w:tc>
        <w:tc>
          <w:tcPr>
            <w:tcW w:w="1223" w:type="dxa"/>
            <w:shd w:val="clear" w:color="auto" w:fill="000000" w:themeFill="text1"/>
          </w:tcPr>
          <w:p w:rsidR="00511FF3" w:rsidRPr="00511FF3" w:rsidRDefault="00511FF3" w:rsidP="009652B4">
            <w:pPr>
              <w:jc w:val="left"/>
              <w:rPr>
                <w:rFonts w:eastAsiaTheme="minorHAnsi" w:cs="Arial"/>
                <w:color w:val="FFFFFF" w:themeColor="background1"/>
                <w:szCs w:val="22"/>
                <w:lang w:eastAsia="en-US"/>
              </w:rPr>
            </w:pPr>
            <w:r>
              <w:rPr>
                <w:rFonts w:eastAsiaTheme="minorHAnsi" w:cs="Arial"/>
                <w:color w:val="FFFFFF" w:themeColor="background1"/>
                <w:szCs w:val="22"/>
                <w:lang w:eastAsia="en-US"/>
              </w:rPr>
              <w:t>Number</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Strongly agree</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16%</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46</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Agree</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55%</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153</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Neither agree or disagree</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18%</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50</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Disagree</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6%</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16</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Strongly disagree</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3%</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7</w:t>
            </w:r>
          </w:p>
        </w:tc>
      </w:tr>
      <w:tr w:rsidR="009652B4" w:rsidRPr="009652B4" w:rsidTr="00511AD9">
        <w:tc>
          <w:tcPr>
            <w:tcW w:w="4868"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Did not answer</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3%</w:t>
            </w:r>
          </w:p>
        </w:tc>
        <w:tc>
          <w:tcPr>
            <w:tcW w:w="122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7</w:t>
            </w:r>
          </w:p>
        </w:tc>
      </w:tr>
    </w:tbl>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p>
    <w:p w:rsidR="00511FF3" w:rsidRDefault="00511FF3"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 xml:space="preserve">From the online consultation responses, 71% agreed or strongly agreed with the priorities proposed for the Good Start &amp; Healthy &amp; Sustainable Places ambitions.  Feedback from all of the events supported the ambitions. </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 xml:space="preserve">Throughout all of the feedback there are suggestions to limit the number of priorities but no suggestions about which priorities could be excluded. </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 xml:space="preserve">Children &amp; young people were a strong theme throughout the responses &amp; event discussions, particularly parenting, the role of education, mental health &amp; raising the aspirations of young people were all highlighted.  </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There was broad support for tackling obesity through the food environment &amp; physical activity.  Dementia &amp; housing were consistently highlighted as a particular concern through the responses online &amp; at the events.</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There was recognition during the consultation events that many of the priorities identified overlapped.</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A number of suggestions were made for additional priorities but on review these are already covered within the proposed priorities &amp; the local Sustainability &amp; Transformation Partnership Plans.</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b/>
          <w:szCs w:val="22"/>
          <w:lang w:eastAsia="en-US"/>
        </w:rPr>
      </w:pPr>
      <w:r w:rsidRPr="009652B4">
        <w:rPr>
          <w:rFonts w:eastAsiaTheme="minorHAnsi" w:cs="Arial"/>
          <w:b/>
          <w:szCs w:val="22"/>
          <w:lang w:eastAsia="en-US"/>
        </w:rPr>
        <w:t>Online responses</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b/>
          <w:szCs w:val="22"/>
          <w:lang w:eastAsia="en-US"/>
        </w:rPr>
        <w:t>Question 4: Which type of organisation are your responding on behalf of?</w:t>
      </w:r>
    </w:p>
    <w:tbl>
      <w:tblPr>
        <w:tblStyle w:val="TableGrid"/>
        <w:tblW w:w="0" w:type="auto"/>
        <w:tblLook w:val="04A0" w:firstRow="1" w:lastRow="0" w:firstColumn="1" w:lastColumn="0" w:noHBand="0" w:noVBand="1"/>
      </w:tblPr>
      <w:tblGrid>
        <w:gridCol w:w="4815"/>
        <w:gridCol w:w="1444"/>
        <w:gridCol w:w="1244"/>
      </w:tblGrid>
      <w:tr w:rsidR="00511FF3" w:rsidRPr="00511FF3" w:rsidTr="00511FF3">
        <w:tc>
          <w:tcPr>
            <w:tcW w:w="4815" w:type="dxa"/>
            <w:shd w:val="clear" w:color="auto" w:fill="000000" w:themeFill="text1"/>
          </w:tcPr>
          <w:p w:rsidR="00511FF3" w:rsidRPr="00511FF3" w:rsidRDefault="00511FF3" w:rsidP="009652B4">
            <w:pPr>
              <w:jc w:val="left"/>
              <w:rPr>
                <w:rFonts w:eastAsiaTheme="minorHAnsi" w:cs="Arial"/>
                <w:color w:val="FFFFFF" w:themeColor="background1"/>
                <w:szCs w:val="22"/>
                <w:lang w:eastAsia="en-US"/>
              </w:rPr>
            </w:pPr>
          </w:p>
        </w:tc>
        <w:tc>
          <w:tcPr>
            <w:tcW w:w="1243" w:type="dxa"/>
            <w:shd w:val="clear" w:color="auto" w:fill="000000" w:themeFill="text1"/>
          </w:tcPr>
          <w:p w:rsidR="00511FF3" w:rsidRPr="00511FF3" w:rsidRDefault="00511FF3" w:rsidP="009652B4">
            <w:pPr>
              <w:jc w:val="left"/>
              <w:rPr>
                <w:rFonts w:eastAsiaTheme="minorHAnsi" w:cs="Arial"/>
                <w:color w:val="FFFFFF" w:themeColor="background1"/>
                <w:szCs w:val="22"/>
                <w:lang w:eastAsia="en-US"/>
              </w:rPr>
            </w:pPr>
            <w:r>
              <w:rPr>
                <w:rFonts w:eastAsiaTheme="minorHAnsi" w:cs="Arial"/>
                <w:color w:val="FFFFFF" w:themeColor="background1"/>
                <w:szCs w:val="22"/>
                <w:lang w:eastAsia="en-US"/>
              </w:rPr>
              <w:t>Percentage</w:t>
            </w:r>
          </w:p>
        </w:tc>
        <w:tc>
          <w:tcPr>
            <w:tcW w:w="1244" w:type="dxa"/>
            <w:shd w:val="clear" w:color="auto" w:fill="000000" w:themeFill="text1"/>
          </w:tcPr>
          <w:p w:rsidR="00511FF3" w:rsidRPr="00511FF3" w:rsidRDefault="00511FF3" w:rsidP="009652B4">
            <w:pPr>
              <w:jc w:val="center"/>
              <w:rPr>
                <w:rFonts w:eastAsiaTheme="minorHAnsi" w:cs="Arial"/>
                <w:color w:val="FFFFFF" w:themeColor="background1"/>
                <w:szCs w:val="22"/>
                <w:lang w:eastAsia="en-US"/>
              </w:rPr>
            </w:pPr>
            <w:r>
              <w:rPr>
                <w:rFonts w:eastAsiaTheme="minorHAnsi" w:cs="Arial"/>
                <w:color w:val="FFFFFF" w:themeColor="background1"/>
                <w:szCs w:val="22"/>
                <w:lang w:eastAsia="en-US"/>
              </w:rPr>
              <w:t>Number</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Public sector organisation in Nottinghamshire</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16%</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46</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Private sector</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6%</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16</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Third sector or not for profit organisation</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9%</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26</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As a county or district councillor</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4%</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10</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On behalf of a local community group</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6%</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18</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None of the above</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58%</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161</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Did not answer</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5%</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13</w:t>
            </w:r>
          </w:p>
        </w:tc>
      </w:tr>
    </w:tbl>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lastRenderedPageBreak/>
        <w:t>The majority of the responses on the online questionnaire are from individuals representing their personal views.</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b/>
          <w:szCs w:val="22"/>
          <w:lang w:eastAsia="en-US"/>
        </w:rPr>
      </w:pPr>
      <w:r w:rsidRPr="009652B4">
        <w:rPr>
          <w:rFonts w:eastAsiaTheme="minorHAnsi" w:cs="Arial"/>
          <w:szCs w:val="22"/>
          <w:lang w:eastAsia="en-US"/>
        </w:rPr>
        <w:t xml:space="preserve"> </w:t>
      </w:r>
      <w:r w:rsidRPr="009652B4">
        <w:rPr>
          <w:rFonts w:eastAsiaTheme="minorHAnsi" w:cs="Arial"/>
          <w:b/>
          <w:szCs w:val="22"/>
          <w:lang w:eastAsia="en-US"/>
        </w:rPr>
        <w:t>Question 5: Do you have any responsibility for a particular part of the County?</w:t>
      </w:r>
    </w:p>
    <w:tbl>
      <w:tblPr>
        <w:tblStyle w:val="TableGrid"/>
        <w:tblW w:w="0" w:type="auto"/>
        <w:tblLook w:val="04A0" w:firstRow="1" w:lastRow="0" w:firstColumn="1" w:lastColumn="0" w:noHBand="0" w:noVBand="1"/>
      </w:tblPr>
      <w:tblGrid>
        <w:gridCol w:w="4815"/>
        <w:gridCol w:w="1444"/>
        <w:gridCol w:w="1244"/>
      </w:tblGrid>
      <w:tr w:rsidR="00511FF3" w:rsidRPr="00511FF3" w:rsidTr="00511FF3">
        <w:tc>
          <w:tcPr>
            <w:tcW w:w="4815" w:type="dxa"/>
            <w:shd w:val="clear" w:color="auto" w:fill="000000" w:themeFill="text1"/>
          </w:tcPr>
          <w:p w:rsidR="00511FF3" w:rsidRPr="00511FF3" w:rsidRDefault="00511FF3" w:rsidP="009652B4">
            <w:pPr>
              <w:jc w:val="left"/>
              <w:rPr>
                <w:rFonts w:eastAsiaTheme="minorHAnsi" w:cs="Arial"/>
                <w:color w:val="FFFFFF" w:themeColor="background1"/>
                <w:szCs w:val="22"/>
                <w:lang w:eastAsia="en-US"/>
              </w:rPr>
            </w:pPr>
          </w:p>
        </w:tc>
        <w:tc>
          <w:tcPr>
            <w:tcW w:w="1243" w:type="dxa"/>
            <w:shd w:val="clear" w:color="auto" w:fill="000000" w:themeFill="text1"/>
          </w:tcPr>
          <w:p w:rsidR="00511FF3" w:rsidRPr="00511FF3" w:rsidRDefault="00511FF3" w:rsidP="009652B4">
            <w:pPr>
              <w:jc w:val="left"/>
              <w:rPr>
                <w:rFonts w:eastAsiaTheme="minorHAnsi" w:cs="Arial"/>
                <w:color w:val="FFFFFF" w:themeColor="background1"/>
                <w:szCs w:val="22"/>
                <w:lang w:eastAsia="en-US"/>
              </w:rPr>
            </w:pPr>
            <w:r w:rsidRPr="00511FF3">
              <w:rPr>
                <w:rFonts w:eastAsiaTheme="minorHAnsi" w:cs="Arial"/>
                <w:color w:val="FFFFFF" w:themeColor="background1"/>
                <w:szCs w:val="22"/>
                <w:lang w:eastAsia="en-US"/>
              </w:rPr>
              <w:t>Percentage</w:t>
            </w:r>
          </w:p>
        </w:tc>
        <w:tc>
          <w:tcPr>
            <w:tcW w:w="1244" w:type="dxa"/>
            <w:shd w:val="clear" w:color="auto" w:fill="000000" w:themeFill="text1"/>
          </w:tcPr>
          <w:p w:rsidR="00511FF3" w:rsidRPr="00511FF3" w:rsidRDefault="00511FF3" w:rsidP="009652B4">
            <w:pPr>
              <w:jc w:val="center"/>
              <w:rPr>
                <w:rFonts w:eastAsiaTheme="minorHAnsi" w:cs="Arial"/>
                <w:color w:val="FFFFFF" w:themeColor="background1"/>
                <w:szCs w:val="22"/>
                <w:lang w:eastAsia="en-US"/>
              </w:rPr>
            </w:pPr>
            <w:r w:rsidRPr="00511FF3">
              <w:rPr>
                <w:rFonts w:eastAsiaTheme="minorHAnsi" w:cs="Arial"/>
                <w:color w:val="FFFFFF" w:themeColor="background1"/>
                <w:szCs w:val="22"/>
                <w:lang w:eastAsia="en-US"/>
              </w:rPr>
              <w:t>Number</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Ashfield</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10%</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28</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Bassetlaw</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13%</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35</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Broxtowe</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9%</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24</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Gedling</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10%</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28</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Mansfield</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11%</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32</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Newark &amp; Sherwood</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11%</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31</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Rushcliffe</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11%</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32</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Outside of Nottinghamshire</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6%</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16</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Did not answer</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61%</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171</w:t>
            </w:r>
          </w:p>
        </w:tc>
      </w:tr>
    </w:tbl>
    <w:p w:rsidR="009652B4" w:rsidRPr="009652B4" w:rsidRDefault="009652B4" w:rsidP="009652B4">
      <w:pPr>
        <w:ind w:firstLine="720"/>
        <w:jc w:val="left"/>
        <w:rPr>
          <w:rFonts w:eastAsiaTheme="minorHAnsi" w:cs="Arial"/>
          <w:szCs w:val="22"/>
          <w:lang w:eastAsia="en-US"/>
        </w:rPr>
      </w:pPr>
    </w:p>
    <w:p w:rsidR="009652B4" w:rsidRPr="009652B4" w:rsidRDefault="009652B4" w:rsidP="009652B4">
      <w:pPr>
        <w:ind w:firstLine="720"/>
        <w:jc w:val="left"/>
        <w:rPr>
          <w:rFonts w:eastAsiaTheme="minorHAnsi" w:cs="Arial"/>
          <w:szCs w:val="22"/>
          <w:lang w:eastAsia="en-US"/>
        </w:rPr>
      </w:pPr>
    </w:p>
    <w:p w:rsidR="009652B4" w:rsidRPr="009652B4" w:rsidRDefault="009652B4" w:rsidP="009652B4">
      <w:pPr>
        <w:jc w:val="left"/>
        <w:rPr>
          <w:rFonts w:eastAsiaTheme="minorHAnsi" w:cs="Arial"/>
          <w:b/>
          <w:szCs w:val="22"/>
          <w:lang w:eastAsia="en-US"/>
        </w:rPr>
      </w:pPr>
      <w:r w:rsidRPr="009652B4">
        <w:rPr>
          <w:rFonts w:eastAsiaTheme="minorHAnsi" w:cs="Arial"/>
          <w:b/>
          <w:szCs w:val="22"/>
          <w:lang w:eastAsia="en-US"/>
        </w:rPr>
        <w:t xml:space="preserve">Question 6: </w:t>
      </w:r>
      <w:r w:rsidRPr="009652B4">
        <w:rPr>
          <w:rFonts w:eastAsiaTheme="minorHAnsi" w:cs="Arial"/>
          <w:b/>
          <w:szCs w:val="22"/>
          <w:lang w:eastAsia="en-US"/>
        </w:rPr>
        <w:tab/>
        <w:t>Are you a member of the Health &amp; Wellbeing Board?</w:t>
      </w:r>
    </w:p>
    <w:tbl>
      <w:tblPr>
        <w:tblStyle w:val="TableGrid"/>
        <w:tblW w:w="0" w:type="auto"/>
        <w:tblLook w:val="04A0" w:firstRow="1" w:lastRow="0" w:firstColumn="1" w:lastColumn="0" w:noHBand="0" w:noVBand="1"/>
      </w:tblPr>
      <w:tblGrid>
        <w:gridCol w:w="4815"/>
        <w:gridCol w:w="1444"/>
        <w:gridCol w:w="1244"/>
      </w:tblGrid>
      <w:tr w:rsidR="00511FF3" w:rsidRPr="00511FF3" w:rsidTr="00511FF3">
        <w:tc>
          <w:tcPr>
            <w:tcW w:w="4815" w:type="dxa"/>
            <w:shd w:val="clear" w:color="auto" w:fill="000000" w:themeFill="text1"/>
          </w:tcPr>
          <w:p w:rsidR="00511FF3" w:rsidRPr="00511FF3" w:rsidRDefault="00511FF3" w:rsidP="009652B4">
            <w:pPr>
              <w:jc w:val="left"/>
              <w:rPr>
                <w:rFonts w:eastAsiaTheme="minorHAnsi" w:cs="Arial"/>
                <w:color w:val="FFFFFF" w:themeColor="background1"/>
                <w:szCs w:val="22"/>
                <w:lang w:eastAsia="en-US"/>
              </w:rPr>
            </w:pPr>
          </w:p>
        </w:tc>
        <w:tc>
          <w:tcPr>
            <w:tcW w:w="1243" w:type="dxa"/>
            <w:shd w:val="clear" w:color="auto" w:fill="000000" w:themeFill="text1"/>
          </w:tcPr>
          <w:p w:rsidR="00511FF3" w:rsidRPr="00511FF3" w:rsidRDefault="00511FF3" w:rsidP="009652B4">
            <w:pPr>
              <w:jc w:val="left"/>
              <w:rPr>
                <w:rFonts w:eastAsiaTheme="minorHAnsi" w:cs="Arial"/>
                <w:color w:val="FFFFFF" w:themeColor="background1"/>
                <w:szCs w:val="22"/>
                <w:lang w:eastAsia="en-US"/>
              </w:rPr>
            </w:pPr>
            <w:r>
              <w:rPr>
                <w:rFonts w:eastAsiaTheme="minorHAnsi" w:cs="Arial"/>
                <w:color w:val="FFFFFF" w:themeColor="background1"/>
                <w:szCs w:val="22"/>
                <w:lang w:eastAsia="en-US"/>
              </w:rPr>
              <w:t>Percentage</w:t>
            </w:r>
          </w:p>
        </w:tc>
        <w:tc>
          <w:tcPr>
            <w:tcW w:w="1244" w:type="dxa"/>
            <w:shd w:val="clear" w:color="auto" w:fill="000000" w:themeFill="text1"/>
          </w:tcPr>
          <w:p w:rsidR="00511FF3" w:rsidRPr="00511FF3" w:rsidRDefault="00511FF3" w:rsidP="009652B4">
            <w:pPr>
              <w:jc w:val="center"/>
              <w:rPr>
                <w:rFonts w:eastAsiaTheme="minorHAnsi" w:cs="Arial"/>
                <w:color w:val="FFFFFF" w:themeColor="background1"/>
                <w:szCs w:val="22"/>
                <w:lang w:eastAsia="en-US"/>
              </w:rPr>
            </w:pPr>
            <w:r>
              <w:rPr>
                <w:rFonts w:eastAsiaTheme="minorHAnsi" w:cs="Arial"/>
                <w:color w:val="FFFFFF" w:themeColor="background1"/>
                <w:szCs w:val="22"/>
                <w:lang w:eastAsia="en-US"/>
              </w:rPr>
              <w:t>Number</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Yes</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14%</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40</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No</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82%</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229</w:t>
            </w:r>
          </w:p>
        </w:tc>
      </w:tr>
      <w:tr w:rsidR="009652B4" w:rsidRPr="009652B4" w:rsidTr="00511AD9">
        <w:tc>
          <w:tcPr>
            <w:tcW w:w="4815"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Did not answer</w:t>
            </w:r>
          </w:p>
        </w:tc>
        <w:tc>
          <w:tcPr>
            <w:tcW w:w="1243" w:type="dxa"/>
          </w:tcPr>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4%</w:t>
            </w:r>
          </w:p>
        </w:tc>
        <w:tc>
          <w:tcPr>
            <w:tcW w:w="1244" w:type="dxa"/>
          </w:tcPr>
          <w:p w:rsidR="009652B4" w:rsidRPr="009652B4" w:rsidRDefault="009652B4" w:rsidP="009652B4">
            <w:pPr>
              <w:jc w:val="center"/>
              <w:rPr>
                <w:rFonts w:eastAsiaTheme="minorHAnsi" w:cs="Arial"/>
                <w:szCs w:val="22"/>
                <w:lang w:eastAsia="en-US"/>
              </w:rPr>
            </w:pPr>
            <w:r w:rsidRPr="009652B4">
              <w:rPr>
                <w:rFonts w:eastAsiaTheme="minorHAnsi" w:cs="Arial"/>
                <w:szCs w:val="22"/>
                <w:lang w:eastAsia="en-US"/>
              </w:rPr>
              <w:t>10</w:t>
            </w:r>
          </w:p>
        </w:tc>
      </w:tr>
    </w:tbl>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From these responses 82 people have provided contact details to join the Stakeholder Network.</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b/>
          <w:szCs w:val="22"/>
          <w:lang w:eastAsia="en-US"/>
        </w:rPr>
      </w:pPr>
      <w:r w:rsidRPr="009652B4">
        <w:rPr>
          <w:rFonts w:eastAsiaTheme="minorHAnsi" w:cs="Arial"/>
          <w:b/>
          <w:szCs w:val="22"/>
          <w:lang w:eastAsia="en-US"/>
        </w:rPr>
        <w:t>Other comments</w:t>
      </w:r>
    </w:p>
    <w:p w:rsidR="009652B4" w:rsidRPr="009652B4" w:rsidRDefault="009652B4" w:rsidP="009652B4">
      <w:pPr>
        <w:jc w:val="left"/>
        <w:rPr>
          <w:rFonts w:eastAsiaTheme="minorHAnsi" w:cs="Arial"/>
          <w:b/>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b/>
          <w:szCs w:val="22"/>
          <w:lang w:eastAsia="en-US"/>
        </w:rPr>
        <w:t xml:space="preserve">Governance </w:t>
      </w:r>
      <w:r w:rsidRPr="009652B4">
        <w:rPr>
          <w:rFonts w:eastAsiaTheme="minorHAnsi" w:cs="Arial"/>
          <w:szCs w:val="22"/>
          <w:lang w:eastAsia="en-US"/>
        </w:rPr>
        <w:t>arrangements were highlighted, particularly during the consultation events.  The Board has agreed to consider governance arrangements at a workshop in the new year including membership of the Board, supporting structures &amp; relationships with other key groups.  This meeting will also consider the relationship with the Nottingham City Health &amp; Wellbeing Board.</w:t>
      </w:r>
    </w:p>
    <w:p w:rsidR="009652B4" w:rsidRPr="009652B4" w:rsidRDefault="009652B4" w:rsidP="009652B4">
      <w:pPr>
        <w:jc w:val="left"/>
        <w:rPr>
          <w:rFonts w:eastAsiaTheme="minorHAnsi" w:cs="Arial"/>
          <w:szCs w:val="22"/>
          <w:lang w:eastAsia="en-US"/>
        </w:rPr>
      </w:pPr>
    </w:p>
    <w:p w:rsidR="009652B4" w:rsidRPr="009652B4" w:rsidRDefault="009652B4" w:rsidP="009652B4">
      <w:pPr>
        <w:jc w:val="left"/>
        <w:rPr>
          <w:rFonts w:eastAsiaTheme="minorHAnsi" w:cs="Arial"/>
          <w:szCs w:val="22"/>
          <w:lang w:eastAsia="en-US"/>
        </w:rPr>
      </w:pPr>
      <w:r w:rsidRPr="009652B4">
        <w:rPr>
          <w:rFonts w:eastAsiaTheme="minorHAnsi" w:cs="Arial"/>
          <w:szCs w:val="22"/>
          <w:lang w:eastAsia="en-US"/>
        </w:rPr>
        <w:t>The Health &amp; Wellbeing Board considered the feedback from the consultation at a workshop on 1 November 2017.  A summary of their response to the feedback is given below in table 1.</w:t>
      </w:r>
    </w:p>
    <w:p w:rsidR="009652B4" w:rsidRPr="009652B4" w:rsidRDefault="009652B4" w:rsidP="009652B4">
      <w:pPr>
        <w:jc w:val="left"/>
        <w:rPr>
          <w:rFonts w:asciiTheme="minorHAnsi" w:eastAsiaTheme="minorHAnsi" w:hAnsiTheme="minorHAnsi" w:cstheme="minorBidi"/>
          <w:b/>
          <w:sz w:val="22"/>
          <w:szCs w:val="22"/>
          <w:lang w:eastAsia="en-US"/>
        </w:rPr>
      </w:pPr>
    </w:p>
    <w:p w:rsidR="009652B4" w:rsidRPr="009652B4" w:rsidRDefault="009652B4" w:rsidP="009652B4">
      <w:pPr>
        <w:jc w:val="left"/>
        <w:rPr>
          <w:rFonts w:asciiTheme="minorHAnsi" w:eastAsiaTheme="minorHAnsi" w:hAnsiTheme="minorHAnsi" w:cstheme="minorBidi"/>
          <w:b/>
          <w:sz w:val="22"/>
          <w:szCs w:val="22"/>
          <w:lang w:eastAsia="en-US"/>
        </w:rPr>
        <w:sectPr w:rsidR="009652B4" w:rsidRPr="009652B4" w:rsidSect="00FB1817">
          <w:headerReference w:type="default" r:id="rId12"/>
          <w:footerReference w:type="default" r:id="rId13"/>
          <w:type w:val="continuous"/>
          <w:pgSz w:w="11906" w:h="16838"/>
          <w:pgMar w:top="1440" w:right="1080" w:bottom="1440" w:left="1080" w:header="709" w:footer="709" w:gutter="0"/>
          <w:cols w:space="708"/>
          <w:docGrid w:linePitch="360"/>
        </w:sectPr>
      </w:pPr>
    </w:p>
    <w:p w:rsidR="009652B4" w:rsidRPr="009652B4" w:rsidRDefault="009652B4" w:rsidP="009652B4">
      <w:pPr>
        <w:jc w:val="left"/>
        <w:rPr>
          <w:rFonts w:eastAsiaTheme="minorHAnsi" w:cs="Arial"/>
          <w:b/>
          <w:sz w:val="22"/>
          <w:szCs w:val="22"/>
          <w:lang w:eastAsia="en-US"/>
        </w:rPr>
      </w:pPr>
      <w:r w:rsidRPr="009652B4">
        <w:rPr>
          <w:rFonts w:eastAsiaTheme="minorHAnsi" w:cs="Arial"/>
          <w:b/>
          <w:szCs w:val="22"/>
          <w:lang w:eastAsia="en-US"/>
        </w:rPr>
        <w:lastRenderedPageBreak/>
        <w:t>Table 1: Main points from the consultation feedback, the Health &amp; Wellbeing Boards views &amp; proposed action</w:t>
      </w:r>
    </w:p>
    <w:p w:rsidR="009652B4" w:rsidRPr="009652B4" w:rsidRDefault="009652B4" w:rsidP="009652B4">
      <w:pPr>
        <w:jc w:val="left"/>
        <w:rPr>
          <w:rFonts w:asciiTheme="minorHAnsi" w:eastAsiaTheme="minorHAnsi" w:hAnsiTheme="minorHAnsi" w:cstheme="minorBidi"/>
          <w:sz w:val="22"/>
          <w:szCs w:val="22"/>
          <w:lang w:eastAsia="en-US"/>
        </w:rPr>
      </w:pPr>
    </w:p>
    <w:tbl>
      <w:tblPr>
        <w:tblStyle w:val="TableGrid"/>
        <w:tblW w:w="0" w:type="auto"/>
        <w:tblLook w:val="04A0" w:firstRow="1" w:lastRow="0" w:firstColumn="1" w:lastColumn="0" w:noHBand="0" w:noVBand="1"/>
      </w:tblPr>
      <w:tblGrid>
        <w:gridCol w:w="4649"/>
        <w:gridCol w:w="4649"/>
        <w:gridCol w:w="4650"/>
      </w:tblGrid>
      <w:tr w:rsidR="009652B4" w:rsidRPr="009652B4" w:rsidTr="00511AD9">
        <w:tc>
          <w:tcPr>
            <w:tcW w:w="4649" w:type="dxa"/>
          </w:tcPr>
          <w:p w:rsidR="009652B4" w:rsidRPr="009652B4" w:rsidRDefault="009652B4" w:rsidP="009652B4">
            <w:pPr>
              <w:jc w:val="center"/>
              <w:rPr>
                <w:rFonts w:asciiTheme="minorHAnsi" w:eastAsiaTheme="minorHAnsi" w:hAnsiTheme="minorHAnsi" w:cstheme="minorBidi"/>
                <w:b/>
                <w:sz w:val="28"/>
                <w:szCs w:val="22"/>
                <w:lang w:eastAsia="en-US"/>
              </w:rPr>
            </w:pPr>
            <w:r w:rsidRPr="009652B4">
              <w:rPr>
                <w:rFonts w:asciiTheme="minorHAnsi" w:eastAsiaTheme="minorHAnsi" w:hAnsiTheme="minorHAnsi" w:cstheme="minorBidi"/>
                <w:b/>
                <w:sz w:val="28"/>
                <w:szCs w:val="22"/>
                <w:lang w:eastAsia="en-US"/>
              </w:rPr>
              <w:t>You said</w:t>
            </w:r>
          </w:p>
        </w:tc>
        <w:tc>
          <w:tcPr>
            <w:tcW w:w="4649" w:type="dxa"/>
          </w:tcPr>
          <w:p w:rsidR="009652B4" w:rsidRPr="009652B4" w:rsidRDefault="009652B4" w:rsidP="009652B4">
            <w:pPr>
              <w:jc w:val="center"/>
              <w:rPr>
                <w:rFonts w:asciiTheme="minorHAnsi" w:eastAsiaTheme="minorHAnsi" w:hAnsiTheme="minorHAnsi" w:cstheme="minorBidi"/>
                <w:b/>
                <w:sz w:val="28"/>
                <w:szCs w:val="22"/>
                <w:lang w:eastAsia="en-US"/>
              </w:rPr>
            </w:pPr>
            <w:r w:rsidRPr="009652B4">
              <w:rPr>
                <w:rFonts w:asciiTheme="minorHAnsi" w:eastAsiaTheme="minorHAnsi" w:hAnsiTheme="minorHAnsi" w:cstheme="minorBidi"/>
                <w:b/>
                <w:sz w:val="28"/>
                <w:szCs w:val="22"/>
                <w:lang w:eastAsia="en-US"/>
              </w:rPr>
              <w:t>The HWB</w:t>
            </w:r>
          </w:p>
        </w:tc>
        <w:tc>
          <w:tcPr>
            <w:tcW w:w="4650" w:type="dxa"/>
          </w:tcPr>
          <w:p w:rsidR="009652B4" w:rsidRPr="009652B4" w:rsidRDefault="009652B4" w:rsidP="009652B4">
            <w:pPr>
              <w:jc w:val="center"/>
              <w:rPr>
                <w:rFonts w:asciiTheme="minorHAnsi" w:eastAsiaTheme="minorHAnsi" w:hAnsiTheme="minorHAnsi" w:cstheme="minorBidi"/>
                <w:b/>
                <w:sz w:val="28"/>
                <w:szCs w:val="22"/>
                <w:lang w:eastAsia="en-US"/>
              </w:rPr>
            </w:pPr>
            <w:r w:rsidRPr="009652B4">
              <w:rPr>
                <w:rFonts w:asciiTheme="minorHAnsi" w:eastAsiaTheme="minorHAnsi" w:hAnsiTheme="minorHAnsi" w:cstheme="minorBidi"/>
                <w:b/>
                <w:sz w:val="28"/>
                <w:szCs w:val="22"/>
                <w:lang w:eastAsia="en-US"/>
              </w:rPr>
              <w:t>We did</w:t>
            </w:r>
          </w:p>
        </w:tc>
      </w:tr>
      <w:tr w:rsidR="009652B4" w:rsidRPr="009652B4" w:rsidTr="00511AD9">
        <w:tc>
          <w:tcPr>
            <w:tcW w:w="13948" w:type="dxa"/>
            <w:gridSpan w:val="3"/>
            <w:shd w:val="clear" w:color="auto" w:fill="FDE9D9" w:themeFill="accent6" w:themeFillTint="33"/>
          </w:tcPr>
          <w:p w:rsidR="009652B4" w:rsidRPr="009652B4" w:rsidRDefault="009652B4" w:rsidP="009652B4">
            <w:pPr>
              <w:jc w:val="center"/>
              <w:rPr>
                <w:rFonts w:asciiTheme="minorHAnsi" w:eastAsiaTheme="minorHAnsi" w:hAnsiTheme="minorHAnsi" w:cstheme="minorBidi"/>
                <w:b/>
                <w:sz w:val="22"/>
                <w:szCs w:val="22"/>
                <w:lang w:eastAsia="en-US"/>
              </w:rPr>
            </w:pPr>
            <w:r w:rsidRPr="009652B4">
              <w:rPr>
                <w:rFonts w:asciiTheme="minorHAnsi" w:eastAsiaTheme="minorHAnsi" w:hAnsiTheme="minorHAnsi" w:cstheme="minorBidi"/>
                <w:b/>
                <w:sz w:val="36"/>
                <w:szCs w:val="22"/>
                <w:lang w:eastAsia="en-US"/>
              </w:rPr>
              <w:t>VISION</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sz w:val="22"/>
                <w:szCs w:val="22"/>
                <w:lang w:eastAsia="en-US"/>
              </w:rPr>
              <w:t>We support your vision but think it needs to encourage healthier lives.</w:t>
            </w:r>
            <w:r w:rsidRPr="009652B4">
              <w:rPr>
                <w:rFonts w:asciiTheme="minorHAnsi" w:eastAsiaTheme="minorHAnsi" w:hAnsiTheme="minorHAnsi" w:cstheme="minorBidi"/>
                <w:i/>
                <w:sz w:val="22"/>
                <w:szCs w:val="22"/>
                <w:lang w:eastAsia="en-US"/>
              </w:rPr>
              <w:t xml:space="preserve"> </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‘Take out the part about living longer – not much help if we’re in poor health</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i/>
                <w:sz w:val="22"/>
                <w:szCs w:val="22"/>
                <w:lang w:eastAsia="en-US"/>
              </w:rPr>
              <w:t>I suggest the vision should be to live healthier longer etc.’</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Agreed – living healthier lives is really important &amp; is key to our focus on preventing ill health &amp; problems.</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Change the vision to reflect that – the vision has been amended to include healthier lives.</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Should we identify those people who need help most or should we apply the Strategy equally?</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‘Prioritising delivery – resources allocation in areas of greatest health inequality would be helpful</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Not sure I like the final clause regarding communities with the poorest health as it could be viewed as negative</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i/>
                <w:sz w:val="22"/>
                <w:szCs w:val="22"/>
                <w:lang w:eastAsia="en-US"/>
              </w:rPr>
              <w:t>I wonder if ‘especially in communities with the poorest health’ should be replaced with in all communities?’</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 xml:space="preserve">We have a legal duty to reduce health inequalities &amp; we are determined to do that in Nottinghamshire.  </w:t>
            </w:r>
          </w:p>
          <w:p w:rsidR="009652B4" w:rsidRPr="009652B4" w:rsidRDefault="009652B4" w:rsidP="009652B4">
            <w:pPr>
              <w:jc w:val="left"/>
              <w:rPr>
                <w:rFonts w:asciiTheme="minorHAnsi" w:eastAsiaTheme="minorHAnsi" w:hAnsiTheme="minorHAnsi" w:cstheme="minorBidi"/>
                <w:sz w:val="22"/>
                <w:szCs w:val="22"/>
                <w:lang w:eastAsia="en-US"/>
              </w:rPr>
            </w:pP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know that we can only do that by focussing on those people who most need support.</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have changed the language to identify areas of greatest need.</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The vision needs equal recognition of physical &amp; mental health.</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i/>
                <w:sz w:val="22"/>
                <w:szCs w:val="22"/>
                <w:lang w:eastAsia="en-US"/>
              </w:rPr>
              <w:t>‘Physical &amp; mental health go hand in hand.  Attention need to be paid to BOTH in order to be well.’</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 xml:space="preserve">We agree.  During the consultation events we heard suggestions that including ‘happier’ would make that connection within the vision. </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have changed the vision to include an aspiration for people to have happier, healthier lives &amp; will maintain our interest in physical &amp; mental health.</w:t>
            </w:r>
          </w:p>
        </w:tc>
      </w:tr>
      <w:tr w:rsidR="009652B4" w:rsidRPr="009652B4" w:rsidTr="00511AD9">
        <w:tc>
          <w:tcPr>
            <w:tcW w:w="13948" w:type="dxa"/>
            <w:gridSpan w:val="3"/>
            <w:shd w:val="clear" w:color="auto" w:fill="FDE9D9" w:themeFill="accent6" w:themeFillTint="33"/>
          </w:tcPr>
          <w:p w:rsidR="009652B4" w:rsidRPr="009652B4" w:rsidRDefault="009652B4" w:rsidP="009652B4">
            <w:pPr>
              <w:jc w:val="center"/>
              <w:rPr>
                <w:rFonts w:asciiTheme="minorHAnsi" w:eastAsiaTheme="minorHAnsi" w:hAnsiTheme="minorHAnsi" w:cstheme="minorBidi"/>
                <w:b/>
                <w:sz w:val="22"/>
                <w:szCs w:val="22"/>
                <w:lang w:eastAsia="en-US"/>
              </w:rPr>
            </w:pPr>
            <w:r w:rsidRPr="009652B4">
              <w:rPr>
                <w:rFonts w:asciiTheme="minorHAnsi" w:eastAsiaTheme="minorHAnsi" w:hAnsiTheme="minorHAnsi" w:cstheme="minorBidi"/>
                <w:b/>
                <w:sz w:val="36"/>
                <w:szCs w:val="22"/>
                <w:lang w:eastAsia="en-US"/>
              </w:rPr>
              <w:t>APPROACH</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The approach is good but it could be clearer.</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‘You need to use plain speaking’</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‘Language is unclear’</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i/>
                <w:sz w:val="22"/>
                <w:szCs w:val="22"/>
                <w:lang w:eastAsia="en-US"/>
              </w:rPr>
              <w:t>‘Could be plain englished’</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would like our Strategy to be clear, understood &amp; accessible to everyone in Nottinghamshire.</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have reworded the approach to make the language more accessible.</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color w:val="000000"/>
                <w:sz w:val="22"/>
                <w:szCs w:val="22"/>
                <w:lang w:eastAsia="en-US"/>
              </w:rPr>
            </w:pPr>
            <w:r w:rsidRPr="009652B4">
              <w:rPr>
                <w:rFonts w:asciiTheme="minorHAnsi" w:eastAsiaTheme="minorHAnsi" w:hAnsiTheme="minorHAnsi" w:cstheme="minorBidi"/>
                <w:color w:val="000000"/>
                <w:sz w:val="22"/>
                <w:szCs w:val="22"/>
                <w:lang w:eastAsia="en-US"/>
              </w:rPr>
              <w:lastRenderedPageBreak/>
              <w:t>A community led approach is really important.</w:t>
            </w:r>
          </w:p>
          <w:p w:rsidR="009652B4" w:rsidRPr="009652B4" w:rsidRDefault="009652B4" w:rsidP="009652B4">
            <w:pPr>
              <w:jc w:val="left"/>
              <w:rPr>
                <w:rFonts w:asciiTheme="minorHAnsi" w:eastAsiaTheme="minorHAnsi" w:hAnsiTheme="minorHAnsi" w:cstheme="minorBidi"/>
                <w:i/>
                <w:color w:val="000000"/>
                <w:sz w:val="22"/>
                <w:szCs w:val="22"/>
                <w:lang w:eastAsia="en-US"/>
              </w:rPr>
            </w:pPr>
            <w:r w:rsidRPr="009652B4">
              <w:rPr>
                <w:rFonts w:asciiTheme="minorHAnsi" w:eastAsiaTheme="minorHAnsi" w:hAnsiTheme="minorHAnsi" w:cstheme="minorBidi"/>
                <w:i/>
                <w:color w:val="000000"/>
                <w:sz w:val="22"/>
                <w:szCs w:val="22"/>
                <w:lang w:eastAsia="en-US"/>
              </w:rPr>
              <w:t>‘I think that this approach could enable and empower individuals and communities to take ownership of their own wellbeing and some interest in that of their community.</w:t>
            </w:r>
          </w:p>
          <w:p w:rsidR="009652B4" w:rsidRPr="009652B4" w:rsidRDefault="009652B4" w:rsidP="009652B4">
            <w:pPr>
              <w:jc w:val="left"/>
              <w:rPr>
                <w:rFonts w:asciiTheme="minorHAnsi" w:eastAsiaTheme="minorHAnsi" w:hAnsiTheme="minorHAnsi" w:cstheme="minorBidi"/>
                <w:i/>
                <w:color w:val="000000"/>
                <w:sz w:val="22"/>
                <w:szCs w:val="22"/>
                <w:lang w:eastAsia="en-US"/>
              </w:rPr>
            </w:pPr>
            <w:r w:rsidRPr="009652B4">
              <w:rPr>
                <w:rFonts w:asciiTheme="minorHAnsi" w:eastAsiaTheme="minorHAnsi" w:hAnsiTheme="minorHAnsi" w:cstheme="minorBidi"/>
                <w:i/>
                <w:color w:val="000000"/>
                <w:sz w:val="22"/>
                <w:szCs w:val="22"/>
                <w:lang w:eastAsia="en-US"/>
              </w:rPr>
              <w:t>Give the community &amp; voluntary sector a greater role.</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i/>
                <w:color w:val="000000"/>
                <w:sz w:val="22"/>
                <w:szCs w:val="22"/>
                <w:lang w:eastAsia="en-US"/>
              </w:rPr>
              <w:t>Needs to be bottom up not top down’</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agree – this is a key part of our approach.  We want to enable communities to be responsible for their own health &amp; wellbeing &amp; will work with partners to achieve this.</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While the Strategy will be across the whole of Nottinghamshire we will be working with partners to implement locally driven plans to deliver our vision.</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The voluntary &amp; community sector is a key partner in delivering the Strategy.</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‘ITS VITAL THAT YOU ENGAGE WITH THE VOLUNTARY SECTOR.</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How do smaller VCS organisations get their voice heard?  Improve communication.’</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agree.  We have always recognised the importance of voluntary &amp; community organisations in improving health &amp; wellbeing.  We have tried to engage with them, &amp; all of our partners through the stakeholder network but we will review this as part of a wider governance review during the implementation of the new Strategy.</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A governance workshop will be held early in 2018 to consider the best way to involve &amp; collaborate with our partners in delivering the Strategy &amp; in improving health &amp; wellbeing.</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The Board needs to be the focus for health &amp; wellbeing in Nottinghamshire.</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 xml:space="preserve">‘Partners may not be aware of what others areas are doing </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Stronger links to health services improved communication and joint working is evidentially needed.’</w:t>
            </w:r>
          </w:p>
          <w:p w:rsidR="009652B4" w:rsidRPr="009652B4" w:rsidRDefault="009652B4" w:rsidP="009652B4">
            <w:pPr>
              <w:jc w:val="left"/>
              <w:rPr>
                <w:rFonts w:asciiTheme="minorHAnsi" w:eastAsiaTheme="minorHAnsi" w:hAnsiTheme="minorHAnsi" w:cstheme="minorBidi"/>
                <w:sz w:val="22"/>
                <w:szCs w:val="22"/>
                <w:lang w:eastAsia="en-US"/>
              </w:rPr>
            </w:pP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agree.  Our role is to provide leadership across the county &amp; to provide the coordination required to deliver our vision &amp; Strategy.  We want this to be reflected in our approach &amp; seen throughout the lifetime of the Strategy.</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 xml:space="preserve">We have extended our approach to include coordination &amp; will consider how we will deliver this during implementation. </w:t>
            </w:r>
          </w:p>
        </w:tc>
      </w:tr>
    </w:tbl>
    <w:p w:rsidR="009652B4" w:rsidRPr="009652B4" w:rsidRDefault="009652B4" w:rsidP="009652B4">
      <w:r w:rsidRPr="009652B4">
        <w:br w:type="page"/>
      </w:r>
    </w:p>
    <w:tbl>
      <w:tblPr>
        <w:tblStyle w:val="TableGrid"/>
        <w:tblW w:w="0" w:type="auto"/>
        <w:tblLook w:val="04A0" w:firstRow="1" w:lastRow="0" w:firstColumn="1" w:lastColumn="0" w:noHBand="0" w:noVBand="1"/>
      </w:tblPr>
      <w:tblGrid>
        <w:gridCol w:w="4649"/>
        <w:gridCol w:w="4649"/>
        <w:gridCol w:w="4650"/>
      </w:tblGrid>
      <w:tr w:rsidR="009652B4" w:rsidRPr="009652B4" w:rsidTr="00511AD9">
        <w:tc>
          <w:tcPr>
            <w:tcW w:w="13948" w:type="dxa"/>
            <w:gridSpan w:val="3"/>
            <w:shd w:val="clear" w:color="auto" w:fill="FDE9D9" w:themeFill="accent6" w:themeFillTint="33"/>
          </w:tcPr>
          <w:p w:rsidR="009652B4" w:rsidRPr="009652B4" w:rsidRDefault="009652B4" w:rsidP="009652B4">
            <w:pPr>
              <w:jc w:val="center"/>
              <w:rPr>
                <w:rFonts w:asciiTheme="minorHAnsi" w:eastAsiaTheme="minorHAnsi" w:hAnsiTheme="minorHAnsi" w:cstheme="minorBidi"/>
                <w:b/>
                <w:sz w:val="36"/>
                <w:szCs w:val="22"/>
                <w:lang w:eastAsia="en-US"/>
              </w:rPr>
            </w:pPr>
            <w:r w:rsidRPr="009652B4">
              <w:rPr>
                <w:rFonts w:asciiTheme="minorHAnsi" w:eastAsiaTheme="minorHAnsi" w:hAnsiTheme="minorHAnsi" w:cstheme="minorBidi"/>
                <w:b/>
                <w:sz w:val="36"/>
                <w:szCs w:val="22"/>
                <w:lang w:eastAsia="en-US"/>
              </w:rPr>
              <w:lastRenderedPageBreak/>
              <w:t>AMBITIONS</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Transforming care services is already an established work programme elsewhere.</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This ambitions is essential for us to deliver our legal duty to enable integration &amp; support closer working.</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want all of our ambitions to be clear &amp; identifiable for Nottinghamshire we will change how this ambition is described.</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Ambition 4 will be described as ‘working together to improve health &amp; care services’.</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The overall ambitions are good but we need to know how they will deliver the vision.</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‘I do not think that your objectives are SMART. Is EACH objective 1 Specific 2 Measurable 3 Achievable 4 Realistic and 5 Timebound</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Need more greater understanding of the process you intend.’</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The Strategy sets our high level vision &amp; ambitions.  We now want to work on a more specific delivery plans which include SMART objectives.</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A work programme is being developed for the Board, based on agenda items at each meeting to introduce priority areas &amp; agree specific objectives &amp; actions.</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The work programme will be available through the Health &amp; Wellbeing Board web page, as will the delivery plans as they are agreed.</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‘How are young people involved?’</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recognise the importance of a good start in life.  We have included schools &amp; the youth service in the consultation &amp; will continue to involve young people in the development &amp; implementation of the new Strategy in the same way as we have done previously.</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 xml:space="preserve">Children &amp; young people are represented at the Board through the director for children, young people &amp; families. </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sz w:val="22"/>
                <w:szCs w:val="22"/>
                <w:lang w:eastAsia="en-US"/>
              </w:rPr>
              <w:t>We will work on how we can make sure that they are included as we develop our implementation &amp; delivery plan.</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The ambitions are wide ranging. Will this be too much or should the Board have a narrower focus?</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‘Too broad under current circumstances with reduce finances.  Would prefer to see a more focussed ambition that is realistic to this area.’</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agree that our ambitions are broad but they give us a framework to deliver our vision &amp; specifically meet our legal duties.</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will focus on the priorities we agree below that though so we can focus on where we can add value.</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The 4 ambitions will be included in the final Strategy.</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will work to identify specific priorities &amp; actions to deliver them.</w:t>
            </w:r>
          </w:p>
        </w:tc>
      </w:tr>
    </w:tbl>
    <w:p w:rsidR="009652B4" w:rsidRPr="009652B4" w:rsidRDefault="009652B4" w:rsidP="009652B4">
      <w:r w:rsidRPr="009652B4">
        <w:br w:type="page"/>
      </w:r>
    </w:p>
    <w:tbl>
      <w:tblPr>
        <w:tblStyle w:val="TableGrid"/>
        <w:tblW w:w="0" w:type="auto"/>
        <w:tblLook w:val="04A0" w:firstRow="1" w:lastRow="0" w:firstColumn="1" w:lastColumn="0" w:noHBand="0" w:noVBand="1"/>
      </w:tblPr>
      <w:tblGrid>
        <w:gridCol w:w="4649"/>
        <w:gridCol w:w="4649"/>
        <w:gridCol w:w="4650"/>
      </w:tblGrid>
      <w:tr w:rsidR="009652B4" w:rsidRPr="009652B4" w:rsidTr="00511AD9">
        <w:tc>
          <w:tcPr>
            <w:tcW w:w="13948" w:type="dxa"/>
            <w:gridSpan w:val="3"/>
            <w:shd w:val="clear" w:color="auto" w:fill="FDE9D9" w:themeFill="accent6" w:themeFillTint="33"/>
          </w:tcPr>
          <w:p w:rsidR="009652B4" w:rsidRPr="009652B4" w:rsidRDefault="009652B4" w:rsidP="009652B4">
            <w:pPr>
              <w:jc w:val="center"/>
              <w:rPr>
                <w:rFonts w:asciiTheme="minorHAnsi" w:eastAsiaTheme="minorHAnsi" w:hAnsiTheme="minorHAnsi" w:cstheme="minorBidi"/>
                <w:b/>
                <w:sz w:val="36"/>
                <w:szCs w:val="22"/>
                <w:lang w:eastAsia="en-US"/>
              </w:rPr>
            </w:pPr>
            <w:r w:rsidRPr="009652B4">
              <w:rPr>
                <w:rFonts w:asciiTheme="minorHAnsi" w:eastAsiaTheme="minorHAnsi" w:hAnsiTheme="minorHAnsi" w:cstheme="minorBidi"/>
                <w:b/>
                <w:sz w:val="36"/>
                <w:szCs w:val="22"/>
                <w:lang w:eastAsia="en-US"/>
              </w:rPr>
              <w:lastRenderedPageBreak/>
              <w:t>PRIORITIES</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Education &amp; lifelong learning is important to improving health &amp; wellbeing.</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‘Education is intrinsic to health &amp; wellbeing.</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 xml:space="preserve">Need to address importance of education and skills linked to jobs and work.   </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Links with education and the important role schools play in child health needs to be reflected in the strategy.’</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This was a strong theme during the consultation &amp; we agree about its importance.</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This would support a number of priorities around jobs, skills &amp; work, child poverty &amp; mental health.</w:t>
            </w:r>
          </w:p>
          <w:p w:rsidR="009652B4" w:rsidRPr="009652B4" w:rsidRDefault="009652B4" w:rsidP="009652B4">
            <w:pPr>
              <w:jc w:val="left"/>
              <w:rPr>
                <w:rFonts w:asciiTheme="minorHAnsi" w:eastAsiaTheme="minorHAnsi" w:hAnsiTheme="minorHAnsi" w:cstheme="minorBidi"/>
                <w:sz w:val="22"/>
                <w:szCs w:val="22"/>
                <w:lang w:eastAsia="en-US"/>
              </w:rPr>
            </w:pP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would like to look at how we can support education &amp; skills development in Nottinghamshire during our implementation &amp; while we develop our delivery plan.</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There are a lot of priorities how can you effectively manage so many things?</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‘Loads of priorities to work on, probably too many at once, group them so they are easier to work on and consider which will have biggest impact.</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To make a real difference you need fewer, more focussed and measureable aims.’</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acknowledge that there are a lot of potential priorities.  The responses to the consultation didn’t identify any that we should leave out.</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 xml:space="preserve">While we have a long list of things we would like to deliver we will concentrate on specific things that only we can do &amp; which will result in clear benefits.  </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The delivery plan will identify specific actions which are unique to the Board but which are realistic to achieve.</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‘Not enough information about how you intend to approach these strategies’</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 xml:space="preserve">The Strategy sets out our overall vision &amp; ambitions we are now looking forward to developing a more detailed delivery plan for each of the ambitions during 2018.  </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will make sure our delivery plan is shared across partners &amp; wherever possible involve others in developing delivery plans.</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Working together is key to the success of the Strategy.</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‘Working with fellow authorities and organisations to get the best bang for the buck.’</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This is exactly how we intend to approach the delivery of the Strategy.  We want to identify the areas where we can work together to have the maximum effect.</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The delivery plans which will be developed during 2018 will identify areas where the Board can add the most value by working together.</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sz w:val="22"/>
                <w:szCs w:val="22"/>
                <w:lang w:eastAsia="en-US"/>
              </w:rPr>
              <w:t>We have not been satisfied with our experience of services in Nottinghamshire &amp; we want to see that improved.</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‘Need more health visitors.</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The strategy should have focus on access to services where required &amp; how support can be obtained.</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lastRenderedPageBreak/>
              <w:t>What are you going to do about staffing problems &amp; waiting lists?</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i/>
                <w:sz w:val="22"/>
                <w:szCs w:val="22"/>
                <w:lang w:eastAsia="en-US"/>
              </w:rPr>
              <w:t>You need more nurses &amp; better cleaning.’</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lastRenderedPageBreak/>
              <w:t>We recognise that there are areas for improvement in services.</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As a Board we this is not within our remit but we will make sure that any issues raised in the consultation feedback are passed on to those organisations responsible.</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Service related issues raised within the consultation responses will be passed on to commissioners &amp; service providers for review.</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Family support &amp; good parenting are key to delivering the Good Start ambition.</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‘It would be good to identify families who perhaps lack good parenting skills’</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During the consultation we heard about the essential role of parents too &amp; we will also think about how we can support that role.</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This will be a particular focus for those priorities within the Good Start ambition.</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The Strategy is good but how can it be implemented without resources?</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‘Will there be funding?</w:t>
            </w:r>
          </w:p>
          <w:p w:rsidR="009652B4" w:rsidRPr="009652B4" w:rsidRDefault="009652B4" w:rsidP="009652B4">
            <w:pPr>
              <w:jc w:val="left"/>
              <w:rPr>
                <w:rFonts w:asciiTheme="minorHAnsi" w:eastAsiaTheme="minorHAnsi" w:hAnsiTheme="minorHAnsi" w:cstheme="minorBidi"/>
                <w:i/>
                <w:sz w:val="22"/>
                <w:szCs w:val="22"/>
                <w:lang w:eastAsia="en-US"/>
              </w:rPr>
            </w:pPr>
            <w:r w:rsidRPr="009652B4">
              <w:rPr>
                <w:rFonts w:asciiTheme="minorHAnsi" w:eastAsiaTheme="minorHAnsi" w:hAnsiTheme="minorHAnsi" w:cstheme="minorBidi"/>
                <w:i/>
                <w:sz w:val="22"/>
                <w:szCs w:val="22"/>
                <w:lang w:eastAsia="en-US"/>
              </w:rPr>
              <w:t>No mention of resources</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i/>
                <w:sz w:val="22"/>
                <w:szCs w:val="22"/>
                <w:lang w:eastAsia="en-US"/>
              </w:rPr>
              <w:t>It sounds wonderful but I'm not sure the authority has the resources to implement this’</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acknowledge that this won’t be easy but we all understand that preventing illness &amp; promoting good health &amp; wellbeing is absolutely essential.</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know that by working together, with the resources we already have &amp; taking specific actions as a partnership we can make a difference.</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The delivery plan will identify actions which can achieved within existing resources &amp; which are evidence based to deliver improvements in health &amp; wellbeing.</w:t>
            </w:r>
          </w:p>
        </w:tc>
      </w:tr>
      <w:tr w:rsidR="009652B4" w:rsidRPr="009652B4" w:rsidTr="00511AD9">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How will you know its working?</w:t>
            </w:r>
          </w:p>
        </w:tc>
        <w:tc>
          <w:tcPr>
            <w:tcW w:w="4649"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 xml:space="preserve">Each of the priority areas will develop a detailed action plan with clear actions, governance, measures &amp; timescales. </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have also agreed to use the slope indices for life expectance &amp; healthy life expectancy as our headline indicators.</w:t>
            </w:r>
          </w:p>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think that these highlight the health inequalities in Nottinghamshire which we would like to reduce.</w:t>
            </w:r>
          </w:p>
        </w:tc>
        <w:tc>
          <w:tcPr>
            <w:tcW w:w="4650" w:type="dxa"/>
          </w:tcPr>
          <w:p w:rsidR="009652B4" w:rsidRPr="009652B4" w:rsidRDefault="009652B4" w:rsidP="009652B4">
            <w:pPr>
              <w:jc w:val="left"/>
              <w:rPr>
                <w:rFonts w:asciiTheme="minorHAnsi" w:eastAsiaTheme="minorHAnsi" w:hAnsiTheme="minorHAnsi" w:cstheme="minorBidi"/>
                <w:sz w:val="22"/>
                <w:szCs w:val="22"/>
                <w:lang w:eastAsia="en-US"/>
              </w:rPr>
            </w:pPr>
            <w:r w:rsidRPr="009652B4">
              <w:rPr>
                <w:rFonts w:asciiTheme="minorHAnsi" w:eastAsiaTheme="minorHAnsi" w:hAnsiTheme="minorHAnsi" w:cstheme="minorBidi"/>
                <w:sz w:val="22"/>
                <w:szCs w:val="22"/>
                <w:lang w:eastAsia="en-US"/>
              </w:rPr>
              <w:t>We will publish a reporting schedule as we develop our deliver plan &amp; make it available through the Health &amp; Wellbeing Board webpage.</w:t>
            </w:r>
          </w:p>
        </w:tc>
      </w:tr>
    </w:tbl>
    <w:p w:rsidR="009652B4" w:rsidRPr="009652B4" w:rsidRDefault="009652B4" w:rsidP="009652B4">
      <w:pPr>
        <w:jc w:val="left"/>
        <w:rPr>
          <w:rFonts w:asciiTheme="minorHAnsi" w:eastAsiaTheme="minorHAnsi" w:hAnsiTheme="minorHAnsi" w:cstheme="minorBidi"/>
          <w:sz w:val="22"/>
          <w:szCs w:val="22"/>
          <w:lang w:eastAsia="en-US"/>
        </w:rPr>
      </w:pPr>
    </w:p>
    <w:p w:rsidR="009652B4" w:rsidRPr="009652B4" w:rsidRDefault="009652B4" w:rsidP="009652B4"/>
    <w:p w:rsidR="009652B4" w:rsidRPr="009652B4" w:rsidRDefault="009652B4" w:rsidP="009652B4">
      <w:r w:rsidRPr="009652B4">
        <w:br w:type="page"/>
      </w:r>
    </w:p>
    <w:p w:rsidR="009652B4" w:rsidRPr="009652B4" w:rsidRDefault="009652B4" w:rsidP="009652B4">
      <w:pPr>
        <w:jc w:val="left"/>
        <w:rPr>
          <w:rFonts w:asciiTheme="minorHAnsi" w:eastAsiaTheme="minorHAnsi" w:hAnsiTheme="minorHAnsi" w:cstheme="minorBidi"/>
          <w:sz w:val="22"/>
          <w:szCs w:val="22"/>
          <w:lang w:eastAsia="en-US"/>
        </w:rPr>
        <w:sectPr w:rsidR="009652B4" w:rsidRPr="009652B4" w:rsidSect="00511AD9">
          <w:pgSz w:w="16838" w:h="11906" w:orient="landscape"/>
          <w:pgMar w:top="1440" w:right="1080" w:bottom="1440" w:left="1080" w:header="709" w:footer="709" w:gutter="0"/>
          <w:cols w:space="708"/>
          <w:docGrid w:linePitch="360"/>
        </w:sectPr>
      </w:pPr>
    </w:p>
    <w:p w:rsidR="009652B4" w:rsidRPr="009652B4" w:rsidRDefault="009652B4" w:rsidP="009652B4">
      <w:pPr>
        <w:jc w:val="left"/>
        <w:rPr>
          <w:rFonts w:eastAsiaTheme="minorHAnsi" w:cs="Arial"/>
          <w:b/>
          <w:szCs w:val="22"/>
          <w:lang w:eastAsia="en-US"/>
        </w:rPr>
      </w:pPr>
      <w:r w:rsidRPr="009652B4">
        <w:rPr>
          <w:rFonts w:eastAsiaTheme="minorHAnsi" w:cs="Arial"/>
          <w:b/>
          <w:szCs w:val="22"/>
          <w:lang w:eastAsia="en-US"/>
        </w:rPr>
        <w:lastRenderedPageBreak/>
        <w:t>Appendix A: Organisations that contributed to the consultation</w:t>
      </w:r>
    </w:p>
    <w:p w:rsidR="009652B4" w:rsidRPr="009652B4" w:rsidRDefault="009652B4" w:rsidP="009652B4">
      <w:pPr>
        <w:jc w:val="left"/>
        <w:rPr>
          <w:rFonts w:asciiTheme="minorHAnsi" w:eastAsiaTheme="minorHAnsi" w:hAnsiTheme="minorHAnsi" w:cstheme="minorBidi"/>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03"/>
      </w:tblGrid>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A1 Housing Bassetlaw</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Gedling Borough Council</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Age in Car UK Ltd</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Gedling Homes</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Age UK Nottingham &amp; Nottinghamshire</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Gilt Primary School</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Alzheimer's Society</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Gotham Primary School</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Ashfield District Council</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Hallcroft Infant &amp; Nursery School</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Bassetlaw Action Centre</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Healthwatch Nottingham</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Bassetlaw District Council</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Hetty's</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Being Now</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Hill Holt Health</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Better Care Fund</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Home Start Ashfield</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Bramcote Care Group</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Housing &amp; Care 21</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Broxtowe Borough Council</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Innovation Future Specialist</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Care World Wide</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Insight</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 xml:space="preserve">CCG Bassetlaw </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Inspire</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CCG Broxtowe</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Keep our NHS public</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 xml:space="preserve">CCG Mansfield &amp; Ashfield Citizens Panel </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Kings Mill Hospital</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CCG Newark &amp; Sherwood/Mansfield &amp; Ashfield</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Knesal, Kersall &amp; Ompton Parish Council</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 xml:space="preserve">CCG Nottingham West &amp; P.P.G </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Lotus Development &amp; Learning</w:t>
            </w:r>
          </w:p>
        </w:tc>
      </w:tr>
      <w:tr w:rsidR="009652B4" w:rsidRPr="009652B4" w:rsidTr="00511AD9">
        <w:trPr>
          <w:trHeight w:val="300"/>
        </w:trPr>
        <w:tc>
          <w:tcPr>
            <w:tcW w:w="4957"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 xml:space="preserve">CCG'S Nottinghamshire </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Manor Nifty 50's Group</w:t>
            </w:r>
          </w:p>
        </w:tc>
      </w:tr>
      <w:tr w:rsidR="009652B4" w:rsidRPr="009652B4" w:rsidTr="00511AD9">
        <w:trPr>
          <w:trHeight w:val="300"/>
        </w:trPr>
        <w:tc>
          <w:tcPr>
            <w:tcW w:w="4957" w:type="dxa"/>
            <w:shd w:val="clear" w:color="auto" w:fill="auto"/>
            <w:noWrap/>
            <w:vAlign w:val="bottom"/>
            <w:hideMark/>
          </w:tcPr>
          <w:p w:rsidR="009652B4" w:rsidRPr="009652B4" w:rsidRDefault="00FD1321" w:rsidP="009652B4">
            <w:pPr>
              <w:rPr>
                <w:rFonts w:cs="Arial"/>
                <w:color w:val="000000"/>
              </w:rPr>
            </w:pPr>
            <w:r>
              <w:rPr>
                <w:rFonts w:cs="Arial"/>
                <w:color w:val="000000"/>
              </w:rPr>
              <w:t>CCG Rushcliffe</w:t>
            </w:r>
          </w:p>
        </w:tc>
        <w:tc>
          <w:tcPr>
            <w:tcW w:w="5103"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Mansfield District Council</w:t>
            </w:r>
          </w:p>
        </w:tc>
      </w:tr>
      <w:tr w:rsidR="00FD1321" w:rsidRPr="009652B4" w:rsidTr="00511AD9">
        <w:trPr>
          <w:trHeight w:val="300"/>
        </w:trPr>
        <w:tc>
          <w:tcPr>
            <w:tcW w:w="4957" w:type="dxa"/>
            <w:shd w:val="clear" w:color="auto" w:fill="auto"/>
            <w:noWrap/>
            <w:vAlign w:val="bottom"/>
          </w:tcPr>
          <w:p w:rsidR="00FD1321" w:rsidRPr="009652B4" w:rsidRDefault="00FD1321" w:rsidP="00FD1321">
            <w:pPr>
              <w:rPr>
                <w:rFonts w:cs="Arial"/>
                <w:color w:val="000000"/>
              </w:rPr>
            </w:pPr>
            <w:r w:rsidRPr="009652B4">
              <w:rPr>
                <w:rFonts w:cs="Arial"/>
                <w:color w:val="000000"/>
              </w:rPr>
              <w:t>Citizen/Retired/Individual/Resident</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Mansfield District Leisure Trust</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Citizens Advice</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Maun View Home, Runwood Homes</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Collingham Village Care</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Metropolitan Connect</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Community of Christ</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National Autistic Society</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 xml:space="preserve">DICE Healthcare Ltd </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NCC Support to Schools Service</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Disability Independent Advisory Group (DIAG)</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NCFP</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Doncaster &amp; Bassetlaw Teaching Hospitals NHSFT</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NEMS Urgent Care Partnership</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Early Sensation</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Newark &amp; Sherwood Autism Support Group</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Eden Futures</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Newark &amp; Sherwood District Council</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Education</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Newark &amp; Sherwood Playsupport Group</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Edwinstowe United Community Association</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Newark Emmaus Trust</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Evolve</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Newark Town Council</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Family Action</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NHS Nottingham City</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Family Care Nottingham</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North Muskham Parish Council</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 xml:space="preserve">Foodshare </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Nottingham City Council</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Forces in the Community</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Nottingham Community Housing Association</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Former Tin Hat Centre</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Nottingham Trent University</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Foster Carer</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Nottinghamshire Children's Trust</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Fourseason</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Nottinghamshire Counselling Service</w:t>
            </w:r>
          </w:p>
        </w:tc>
      </w:tr>
      <w:tr w:rsidR="00FD1321" w:rsidRPr="009652B4" w:rsidTr="00FD1321">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Framework</w:t>
            </w:r>
          </w:p>
        </w:tc>
        <w:tc>
          <w:tcPr>
            <w:tcW w:w="5103" w:type="dxa"/>
            <w:shd w:val="clear" w:color="auto" w:fill="auto"/>
            <w:noWrap/>
            <w:vAlign w:val="bottom"/>
          </w:tcPr>
          <w:p w:rsidR="00FD1321" w:rsidRPr="009652B4" w:rsidRDefault="00FD1321" w:rsidP="00FD1321">
            <w:pPr>
              <w:rPr>
                <w:rFonts w:cs="Arial"/>
                <w:color w:val="000000"/>
              </w:rPr>
            </w:pPr>
            <w:r w:rsidRPr="009652B4">
              <w:rPr>
                <w:rFonts w:cs="Arial"/>
                <w:color w:val="000000"/>
              </w:rPr>
              <w:t xml:space="preserve">Nottinghamshire County Council  </w:t>
            </w:r>
          </w:p>
        </w:tc>
      </w:tr>
      <w:tr w:rsidR="00FD1321" w:rsidRPr="009652B4" w:rsidTr="00511AD9">
        <w:trPr>
          <w:trHeight w:val="300"/>
        </w:trPr>
        <w:tc>
          <w:tcPr>
            <w:tcW w:w="4957"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Funeral Director</w:t>
            </w:r>
          </w:p>
        </w:tc>
        <w:tc>
          <w:tcPr>
            <w:tcW w:w="5103" w:type="dxa"/>
            <w:shd w:val="clear" w:color="auto" w:fill="auto"/>
            <w:noWrap/>
            <w:vAlign w:val="bottom"/>
            <w:hideMark/>
          </w:tcPr>
          <w:p w:rsidR="00FD1321" w:rsidRPr="009652B4" w:rsidRDefault="00FD1321" w:rsidP="00FD1321">
            <w:pPr>
              <w:rPr>
                <w:rFonts w:cs="Arial"/>
                <w:color w:val="000000"/>
              </w:rPr>
            </w:pPr>
            <w:r w:rsidRPr="009652B4">
              <w:rPr>
                <w:rFonts w:cs="Arial"/>
                <w:color w:val="000000"/>
              </w:rPr>
              <w:t>Nottinghamshire NHS Foundation Trust</w:t>
            </w:r>
          </w:p>
        </w:tc>
      </w:tr>
    </w:tbl>
    <w:p w:rsidR="009652B4" w:rsidRPr="009652B4" w:rsidRDefault="009652B4" w:rsidP="009652B4">
      <w:pPr>
        <w:jc w:val="left"/>
        <w:rPr>
          <w:rFonts w:asciiTheme="minorHAnsi" w:eastAsiaTheme="minorHAnsi" w:hAnsiTheme="minorHAnsi" w:cstheme="minorBidi"/>
          <w:sz w:val="22"/>
          <w:szCs w:val="22"/>
          <w:lang w:eastAsia="en-US"/>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tblGrid>
      <w:tr w:rsidR="009652B4" w:rsidRPr="009652B4" w:rsidTr="00511AD9">
        <w:trPr>
          <w:trHeight w:val="300"/>
        </w:trPr>
        <w:tc>
          <w:tcPr>
            <w:tcW w:w="6516" w:type="dxa"/>
            <w:shd w:val="clear" w:color="auto" w:fill="auto"/>
            <w:noWrap/>
            <w:vAlign w:val="bottom"/>
          </w:tcPr>
          <w:p w:rsidR="009652B4" w:rsidRPr="009652B4" w:rsidRDefault="009652B4" w:rsidP="009652B4">
            <w:pPr>
              <w:rPr>
                <w:rFonts w:cs="Arial"/>
                <w:color w:val="000000"/>
              </w:rPr>
            </w:pPr>
            <w:r w:rsidRPr="009652B4">
              <w:rPr>
                <w:rFonts w:cs="Arial"/>
                <w:color w:val="000000"/>
              </w:rPr>
              <w:t>Nottinghamshire Hospice</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Notts Healthcare Trust</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NUH NHS Trust</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On your doorstep - Walking for health - Mansfield &amp; Ashfield</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PHE</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Positive Homes</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PPG Linden Medical Group</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Radford Care Group</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Reach Learning Disability</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Real Life Options</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Renew 37</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Rhubarb Farm CIC</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Rushcliffe Borough Council</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Rushcliffe Ramblers</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School</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Self Care Hub</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Self Help UK</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Serco</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Sherwood Forest Hospital Trust</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Southwell Focus</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Sport Nottinghamshire</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St Augustine's School</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Tenants UK Ltd</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The Oaks Care Centre</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The Patients Voice</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The Primary School of St Mary &amp; St Martin</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Trent Academies Group</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U3A Carlton &amp; Gedling</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University of Nottingham</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VS Ashfield Voluntary Action</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VS CVS Bassetlaw</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VS CVS Newark &amp; Sherwood</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VS CVS Rushcliffe</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VS CVS Sherwood Forrest Hospital Trust</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VS Mansfield Community &amp; Voluntary Service</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VS Royal Voluntary Service</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VS Voluntary Action Broxtowe</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WAIS</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Westwood Care Homes</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Workwise Healthcare Ltd</w:t>
            </w:r>
          </w:p>
        </w:tc>
      </w:tr>
      <w:tr w:rsidR="009652B4" w:rsidRPr="009652B4" w:rsidTr="00511AD9">
        <w:trPr>
          <w:trHeight w:val="300"/>
        </w:trPr>
        <w:tc>
          <w:tcPr>
            <w:tcW w:w="6516" w:type="dxa"/>
            <w:shd w:val="clear" w:color="auto" w:fill="auto"/>
            <w:noWrap/>
            <w:vAlign w:val="bottom"/>
            <w:hideMark/>
          </w:tcPr>
          <w:p w:rsidR="009652B4" w:rsidRPr="009652B4" w:rsidRDefault="009652B4" w:rsidP="009652B4">
            <w:pPr>
              <w:rPr>
                <w:rFonts w:cs="Arial"/>
                <w:color w:val="000000"/>
              </w:rPr>
            </w:pPr>
            <w:r w:rsidRPr="009652B4">
              <w:rPr>
                <w:rFonts w:cs="Arial"/>
                <w:color w:val="000000"/>
              </w:rPr>
              <w:t>Wren Hall Nursing Home</w:t>
            </w:r>
          </w:p>
        </w:tc>
      </w:tr>
    </w:tbl>
    <w:p w:rsidR="009652B4" w:rsidRDefault="009652B4" w:rsidP="009652B4"/>
    <w:sectPr w:rsidR="009652B4" w:rsidSect="00FF179E">
      <w:type w:val="continuous"/>
      <w:pgSz w:w="11906" w:h="16838"/>
      <w:pgMar w:top="1440" w:right="746" w:bottom="1440" w:left="85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AF1" w:rsidRDefault="00144AF1">
      <w:r>
        <w:separator/>
      </w:r>
    </w:p>
  </w:endnote>
  <w:endnote w:type="continuationSeparator" w:id="0">
    <w:p w:rsidR="00144AF1" w:rsidRDefault="0014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559157"/>
      <w:docPartObj>
        <w:docPartGallery w:val="Page Numbers (Bottom of Page)"/>
        <w:docPartUnique/>
      </w:docPartObj>
    </w:sdtPr>
    <w:sdtEndPr>
      <w:rPr>
        <w:rFonts w:cs="Arial"/>
        <w:noProof/>
      </w:rPr>
    </w:sdtEndPr>
    <w:sdtContent>
      <w:p w:rsidR="00D67137" w:rsidRPr="00570C36" w:rsidRDefault="00D67137">
        <w:pPr>
          <w:pStyle w:val="Footer"/>
          <w:jc w:val="right"/>
          <w:rPr>
            <w:rFonts w:cs="Arial"/>
          </w:rPr>
        </w:pPr>
        <w:r w:rsidRPr="00570C36">
          <w:rPr>
            <w:rFonts w:cs="Arial"/>
          </w:rPr>
          <w:fldChar w:fldCharType="begin"/>
        </w:r>
        <w:r w:rsidRPr="00570C36">
          <w:rPr>
            <w:rFonts w:cs="Arial"/>
          </w:rPr>
          <w:instrText xml:space="preserve"> PAGE   \* MERGEFORMAT </w:instrText>
        </w:r>
        <w:r w:rsidRPr="00570C36">
          <w:rPr>
            <w:rFonts w:cs="Arial"/>
          </w:rPr>
          <w:fldChar w:fldCharType="separate"/>
        </w:r>
        <w:r w:rsidR="00AD3250">
          <w:rPr>
            <w:rFonts w:cs="Arial"/>
            <w:noProof/>
          </w:rPr>
          <w:t>2</w:t>
        </w:r>
        <w:r w:rsidRPr="00570C36">
          <w:rPr>
            <w:rFonts w:cs="Arial"/>
            <w:noProof/>
          </w:rPr>
          <w:fldChar w:fldCharType="end"/>
        </w:r>
      </w:p>
    </w:sdtContent>
  </w:sdt>
  <w:p w:rsidR="00D67137" w:rsidRDefault="00D67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AF1" w:rsidRDefault="00144AF1">
      <w:r>
        <w:separator/>
      </w:r>
    </w:p>
  </w:footnote>
  <w:footnote w:type="continuationSeparator" w:id="0">
    <w:p w:rsidR="00144AF1" w:rsidRDefault="00144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137" w:rsidRDefault="00D67137">
    <w:pPr>
      <w:pStyle w:val="Header"/>
      <w:jc w:val="right"/>
      <w:rPr>
        <w:color w:val="7F7F7F" w:themeColor="text1" w:themeTint="80"/>
      </w:rPr>
    </w:pPr>
  </w:p>
  <w:p w:rsidR="00D67137" w:rsidRDefault="00D67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7DA6"/>
    <w:multiLevelType w:val="multilevel"/>
    <w:tmpl w:val="9A7E7B8A"/>
    <w:numStyleLink w:val="Recommendations"/>
  </w:abstractNum>
  <w:abstractNum w:abstractNumId="1" w15:restartNumberingAfterBreak="0">
    <w:nsid w:val="034644A8"/>
    <w:multiLevelType w:val="multilevel"/>
    <w:tmpl w:val="70C8304C"/>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266B74"/>
    <w:multiLevelType w:val="hybridMultilevel"/>
    <w:tmpl w:val="150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D7F9E"/>
    <w:multiLevelType w:val="multilevel"/>
    <w:tmpl w:val="DACC83E8"/>
    <w:lvl w:ilvl="0">
      <w:start w:val="1"/>
      <w:numFmt w:val="decimal"/>
      <w:lvlText w:val="%1."/>
      <w:lvlJc w:val="left"/>
      <w:pPr>
        <w:ind w:left="360" w:hanging="360"/>
      </w:p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1494448"/>
    <w:multiLevelType w:val="hybridMultilevel"/>
    <w:tmpl w:val="7E482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C01EC"/>
    <w:multiLevelType w:val="hybridMultilevel"/>
    <w:tmpl w:val="5AFA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E418D"/>
    <w:multiLevelType w:val="hybridMultilevel"/>
    <w:tmpl w:val="14D4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C67CC4"/>
    <w:multiLevelType w:val="hybridMultilevel"/>
    <w:tmpl w:val="9692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5349B"/>
    <w:multiLevelType w:val="multilevel"/>
    <w:tmpl w:val="98382180"/>
    <w:lvl w:ilvl="0">
      <w:start w:val="1"/>
      <w:numFmt w:val="decimal"/>
      <w:lvlText w:val="%1."/>
      <w:lvlJc w:val="left"/>
      <w:pPr>
        <w:tabs>
          <w:tab w:val="num" w:pos="720"/>
        </w:tabs>
        <w:ind w:left="720" w:hanging="360"/>
      </w:pPr>
      <w:rPr>
        <w:rFonts w:ascii="Arial" w:hAnsi="Arial"/>
        <w:bCs/>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557B96"/>
    <w:multiLevelType w:val="hybridMultilevel"/>
    <w:tmpl w:val="EB70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84EE6"/>
    <w:multiLevelType w:val="multilevel"/>
    <w:tmpl w:val="98382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7D547B"/>
    <w:multiLevelType w:val="hybridMultilevel"/>
    <w:tmpl w:val="EC481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DD7FCD"/>
    <w:multiLevelType w:val="hybridMultilevel"/>
    <w:tmpl w:val="BDDADE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53D53DD"/>
    <w:multiLevelType w:val="multilevel"/>
    <w:tmpl w:val="0809001D"/>
    <w:numStyleLink w:val="HiddenBulletsBlue"/>
  </w:abstractNum>
  <w:abstractNum w:abstractNumId="14" w15:restartNumberingAfterBreak="0">
    <w:nsid w:val="25FB5068"/>
    <w:multiLevelType w:val="multilevel"/>
    <w:tmpl w:val="0809001D"/>
    <w:styleLink w:val="HiddenBulletsGreen"/>
    <w:lvl w:ilvl="0">
      <w:start w:val="1"/>
      <w:numFmt w:val="bullet"/>
      <w:lvlText w:val=""/>
      <w:lvlJc w:val="left"/>
      <w:pPr>
        <w:tabs>
          <w:tab w:val="num" w:pos="360"/>
        </w:tabs>
        <w:ind w:left="1080" w:hanging="360"/>
      </w:pPr>
      <w:rPr>
        <w:rFonts w:ascii="Symbol" w:hAnsi="Symbol"/>
        <w:vanish/>
        <w:color w:val="33996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EFB0312"/>
    <w:multiLevelType w:val="hybridMultilevel"/>
    <w:tmpl w:val="AB2A1B5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B964AF"/>
    <w:multiLevelType w:val="multilevel"/>
    <w:tmpl w:val="7C0C5F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0FF5371"/>
    <w:multiLevelType w:val="multilevel"/>
    <w:tmpl w:val="0809001D"/>
    <w:numStyleLink w:val="HiddenBulletsGreen"/>
  </w:abstractNum>
  <w:abstractNum w:abstractNumId="18" w15:restartNumberingAfterBreak="0">
    <w:nsid w:val="325F13B5"/>
    <w:multiLevelType w:val="hybridMultilevel"/>
    <w:tmpl w:val="8572F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AC7A2D"/>
    <w:multiLevelType w:val="multilevel"/>
    <w:tmpl w:val="0809001D"/>
    <w:numStyleLink w:val="HiddenBulletsGreen"/>
  </w:abstractNum>
  <w:abstractNum w:abstractNumId="20" w15:restartNumberingAfterBreak="0">
    <w:nsid w:val="36B174FF"/>
    <w:multiLevelType w:val="hybridMultilevel"/>
    <w:tmpl w:val="56BC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87D26"/>
    <w:multiLevelType w:val="hybridMultilevel"/>
    <w:tmpl w:val="EA50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B5DC9"/>
    <w:multiLevelType w:val="multilevel"/>
    <w:tmpl w:val="3FA621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AC5079"/>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DD2698A"/>
    <w:multiLevelType w:val="multilevel"/>
    <w:tmpl w:val="70C8304C"/>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400687E"/>
    <w:multiLevelType w:val="multilevel"/>
    <w:tmpl w:val="9A7E7B8A"/>
    <w:styleLink w:val="Recommendations"/>
    <w:lvl w:ilvl="0">
      <w:start w:val="1"/>
      <w:numFmt w:val="decimal"/>
      <w:lvlText w:val="%1)"/>
      <w:lvlJc w:val="left"/>
      <w:pPr>
        <w:tabs>
          <w:tab w:val="num" w:pos="0"/>
        </w:tabs>
        <w:ind w:left="0" w:firstLine="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2F3BFF"/>
    <w:multiLevelType w:val="hybridMultilevel"/>
    <w:tmpl w:val="1DDCEB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5B58A7"/>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E50E34"/>
    <w:multiLevelType w:val="multilevel"/>
    <w:tmpl w:val="70C8304C"/>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57D737D"/>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C8D548C"/>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CA15CCB"/>
    <w:multiLevelType w:val="multilevel"/>
    <w:tmpl w:val="0809001D"/>
    <w:lvl w:ilvl="0">
      <w:start w:val="1"/>
      <w:numFmt w:val="bullet"/>
      <w:lvlText w:val=""/>
      <w:lvlJc w:val="left"/>
      <w:pPr>
        <w:tabs>
          <w:tab w:val="num" w:pos="360"/>
        </w:tabs>
        <w:ind w:left="360" w:hanging="360"/>
      </w:pPr>
      <w:rPr>
        <w:rFonts w:ascii="Symbol" w:hAnsi="Symbol"/>
        <w:vanish/>
        <w:color w:val="33996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F2263CB"/>
    <w:multiLevelType w:val="hybridMultilevel"/>
    <w:tmpl w:val="833E784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295368E"/>
    <w:multiLevelType w:val="multilevel"/>
    <w:tmpl w:val="0809001D"/>
    <w:styleLink w:val="HiddenBulletsBlue"/>
    <w:lvl w:ilvl="0">
      <w:start w:val="1"/>
      <w:numFmt w:val="bullet"/>
      <w:lvlText w:val=""/>
      <w:lvlJc w:val="left"/>
      <w:pPr>
        <w:tabs>
          <w:tab w:val="num" w:pos="360"/>
        </w:tabs>
        <w:ind w:left="1080" w:hanging="360"/>
      </w:pPr>
      <w:rPr>
        <w:rFonts w:ascii="Symbol" w:hAnsi="Symbol"/>
        <w:vanish/>
        <w:color w:val="3366FF"/>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3C0A7F"/>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A0C221A"/>
    <w:multiLevelType w:val="multilevel"/>
    <w:tmpl w:val="70C8304C"/>
    <w:numStyleLink w:val="NumberedList"/>
  </w:abstractNum>
  <w:abstractNum w:abstractNumId="36" w15:restartNumberingAfterBreak="0">
    <w:nsid w:val="6B6D7F95"/>
    <w:multiLevelType w:val="hybridMultilevel"/>
    <w:tmpl w:val="C58042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F432345"/>
    <w:multiLevelType w:val="multilevel"/>
    <w:tmpl w:val="0809001D"/>
    <w:numStyleLink w:val="HiddenBulletsGreen"/>
  </w:abstractNum>
  <w:abstractNum w:abstractNumId="38" w15:restartNumberingAfterBreak="0">
    <w:nsid w:val="72A1490D"/>
    <w:multiLevelType w:val="hybridMultilevel"/>
    <w:tmpl w:val="5CF0EA38"/>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87C7C55"/>
    <w:multiLevelType w:val="multilevel"/>
    <w:tmpl w:val="70C8304C"/>
    <w:styleLink w:val="NumberedList"/>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8AD6941"/>
    <w:multiLevelType w:val="multilevel"/>
    <w:tmpl w:val="0809001D"/>
    <w:numStyleLink w:val="HiddenBulletsGreen"/>
  </w:abstractNum>
  <w:abstractNum w:abstractNumId="41" w15:restartNumberingAfterBreak="0">
    <w:nsid w:val="794220E5"/>
    <w:multiLevelType w:val="hybridMultilevel"/>
    <w:tmpl w:val="A920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321C8E"/>
    <w:multiLevelType w:val="hybridMultilevel"/>
    <w:tmpl w:val="75D4C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lvlOverride w:ilvl="0">
      <w:lvl w:ilvl="0">
        <w:start w:val="1"/>
        <w:numFmt w:val="decimal"/>
        <w:lvlText w:val="%1."/>
        <w:lvlJc w:val="left"/>
        <w:pPr>
          <w:tabs>
            <w:tab w:val="num" w:pos="720"/>
          </w:tabs>
          <w:ind w:left="720" w:hanging="360"/>
        </w:pPr>
        <w:rPr>
          <w:rFonts w:ascii="Arial" w:hAnsi="Arial"/>
          <w:b w:val="0"/>
          <w:sz w:val="24"/>
        </w:rPr>
      </w:lvl>
    </w:lvlOverride>
  </w:num>
  <w:num w:numId="3">
    <w:abstractNumId w:val="38"/>
  </w:num>
  <w:num w:numId="4">
    <w:abstractNumId w:val="12"/>
  </w:num>
  <w:num w:numId="5">
    <w:abstractNumId w:val="42"/>
  </w:num>
  <w:num w:numId="6">
    <w:abstractNumId w:val="32"/>
  </w:num>
  <w:num w:numId="7">
    <w:abstractNumId w:val="22"/>
  </w:num>
  <w:num w:numId="8">
    <w:abstractNumId w:val="10"/>
  </w:num>
  <w:num w:numId="9">
    <w:abstractNumId w:val="34"/>
  </w:num>
  <w:num w:numId="10">
    <w:abstractNumId w:val="8"/>
  </w:num>
  <w:num w:numId="11">
    <w:abstractNumId w:val="27"/>
  </w:num>
  <w:num w:numId="12">
    <w:abstractNumId w:val="30"/>
  </w:num>
  <w:num w:numId="13">
    <w:abstractNumId w:val="29"/>
  </w:num>
  <w:num w:numId="14">
    <w:abstractNumId w:val="39"/>
  </w:num>
  <w:num w:numId="15">
    <w:abstractNumId w:val="35"/>
  </w:num>
  <w:num w:numId="16">
    <w:abstractNumId w:val="25"/>
  </w:num>
  <w:num w:numId="17">
    <w:abstractNumId w:val="0"/>
  </w:num>
  <w:num w:numId="18">
    <w:abstractNumId w:val="31"/>
  </w:num>
  <w:num w:numId="19">
    <w:abstractNumId w:val="14"/>
  </w:num>
  <w:num w:numId="20">
    <w:abstractNumId w:val="37"/>
  </w:num>
  <w:num w:numId="21">
    <w:abstractNumId w:val="19"/>
  </w:num>
  <w:num w:numId="22">
    <w:abstractNumId w:val="33"/>
  </w:num>
  <w:num w:numId="23">
    <w:abstractNumId w:val="13"/>
  </w:num>
  <w:num w:numId="24">
    <w:abstractNumId w:val="40"/>
  </w:num>
  <w:num w:numId="25">
    <w:abstractNumId w:val="17"/>
  </w:num>
  <w:num w:numId="26">
    <w:abstractNumId w:val="5"/>
  </w:num>
  <w:num w:numId="27">
    <w:abstractNumId w:val="18"/>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
  </w:num>
  <w:num w:numId="31">
    <w:abstractNumId w:val="6"/>
  </w:num>
  <w:num w:numId="32">
    <w:abstractNumId w:val="1"/>
  </w:num>
  <w:num w:numId="33">
    <w:abstractNumId w:val="11"/>
  </w:num>
  <w:num w:numId="34">
    <w:abstractNumId w:val="24"/>
  </w:num>
  <w:num w:numId="35">
    <w:abstractNumId w:val="28"/>
  </w:num>
  <w:num w:numId="36">
    <w:abstractNumId w:val="9"/>
  </w:num>
  <w:num w:numId="37">
    <w:abstractNumId w:val="20"/>
  </w:num>
  <w:num w:numId="38">
    <w:abstractNumId w:val="41"/>
  </w:num>
  <w:num w:numId="39">
    <w:abstractNumId w:val="21"/>
  </w:num>
  <w:num w:numId="40">
    <w:abstractNumId w:val="26"/>
  </w:num>
  <w:num w:numId="41">
    <w:abstractNumId w:val="3"/>
  </w:num>
  <w:num w:numId="42">
    <w:abstractNumId w:val="1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69"/>
    <w:rsid w:val="000124E8"/>
    <w:rsid w:val="00043FB7"/>
    <w:rsid w:val="000455B4"/>
    <w:rsid w:val="00083C35"/>
    <w:rsid w:val="000A2C88"/>
    <w:rsid w:val="000A51AC"/>
    <w:rsid w:val="000D1864"/>
    <w:rsid w:val="000F6EDC"/>
    <w:rsid w:val="00103982"/>
    <w:rsid w:val="00113583"/>
    <w:rsid w:val="00122C14"/>
    <w:rsid w:val="001249C2"/>
    <w:rsid w:val="001438CF"/>
    <w:rsid w:val="00144AF1"/>
    <w:rsid w:val="001530A0"/>
    <w:rsid w:val="001860E0"/>
    <w:rsid w:val="00195510"/>
    <w:rsid w:val="001A217E"/>
    <w:rsid w:val="001A3194"/>
    <w:rsid w:val="001B275B"/>
    <w:rsid w:val="001B7135"/>
    <w:rsid w:val="001C258A"/>
    <w:rsid w:val="001C28C0"/>
    <w:rsid w:val="001D382F"/>
    <w:rsid w:val="001F6179"/>
    <w:rsid w:val="00223408"/>
    <w:rsid w:val="002254C4"/>
    <w:rsid w:val="0023332E"/>
    <w:rsid w:val="0023351C"/>
    <w:rsid w:val="00236152"/>
    <w:rsid w:val="002425AB"/>
    <w:rsid w:val="002728EA"/>
    <w:rsid w:val="00314BE7"/>
    <w:rsid w:val="0031505B"/>
    <w:rsid w:val="0033152C"/>
    <w:rsid w:val="00335349"/>
    <w:rsid w:val="00341576"/>
    <w:rsid w:val="00363D55"/>
    <w:rsid w:val="00377202"/>
    <w:rsid w:val="003856A3"/>
    <w:rsid w:val="003916CF"/>
    <w:rsid w:val="003A23B6"/>
    <w:rsid w:val="003B0166"/>
    <w:rsid w:val="003B31FF"/>
    <w:rsid w:val="003E6DC4"/>
    <w:rsid w:val="003F08E4"/>
    <w:rsid w:val="00401800"/>
    <w:rsid w:val="00406BAB"/>
    <w:rsid w:val="00410349"/>
    <w:rsid w:val="00413078"/>
    <w:rsid w:val="00413DC2"/>
    <w:rsid w:val="00416B7E"/>
    <w:rsid w:val="0044001D"/>
    <w:rsid w:val="00455E6A"/>
    <w:rsid w:val="00472896"/>
    <w:rsid w:val="0048358D"/>
    <w:rsid w:val="00487774"/>
    <w:rsid w:val="0049327B"/>
    <w:rsid w:val="004A0C60"/>
    <w:rsid w:val="004A3CDB"/>
    <w:rsid w:val="004A45D3"/>
    <w:rsid w:val="004C01C5"/>
    <w:rsid w:val="004C09AB"/>
    <w:rsid w:val="004D6EB7"/>
    <w:rsid w:val="004D74AD"/>
    <w:rsid w:val="004F10F3"/>
    <w:rsid w:val="004F7601"/>
    <w:rsid w:val="00505314"/>
    <w:rsid w:val="00511AD9"/>
    <w:rsid w:val="00511FF3"/>
    <w:rsid w:val="00520A6C"/>
    <w:rsid w:val="00536B9E"/>
    <w:rsid w:val="00583272"/>
    <w:rsid w:val="0059058C"/>
    <w:rsid w:val="005C0965"/>
    <w:rsid w:val="005C3061"/>
    <w:rsid w:val="005C583E"/>
    <w:rsid w:val="005D5020"/>
    <w:rsid w:val="005F5ED2"/>
    <w:rsid w:val="006112EF"/>
    <w:rsid w:val="00615C31"/>
    <w:rsid w:val="006179AB"/>
    <w:rsid w:val="00621C81"/>
    <w:rsid w:val="0062615D"/>
    <w:rsid w:val="0063149F"/>
    <w:rsid w:val="00647022"/>
    <w:rsid w:val="006529FE"/>
    <w:rsid w:val="0065734F"/>
    <w:rsid w:val="006A0178"/>
    <w:rsid w:val="006A3533"/>
    <w:rsid w:val="006E406D"/>
    <w:rsid w:val="00707570"/>
    <w:rsid w:val="0072491A"/>
    <w:rsid w:val="007806CA"/>
    <w:rsid w:val="0079054D"/>
    <w:rsid w:val="007A1872"/>
    <w:rsid w:val="007A58CD"/>
    <w:rsid w:val="007C52A9"/>
    <w:rsid w:val="007D689C"/>
    <w:rsid w:val="007E3C88"/>
    <w:rsid w:val="007E5399"/>
    <w:rsid w:val="007F00EF"/>
    <w:rsid w:val="007F2F6B"/>
    <w:rsid w:val="008011D0"/>
    <w:rsid w:val="00801E54"/>
    <w:rsid w:val="00811ACE"/>
    <w:rsid w:val="00847DF4"/>
    <w:rsid w:val="00847E9D"/>
    <w:rsid w:val="00884A22"/>
    <w:rsid w:val="00885F36"/>
    <w:rsid w:val="0089316E"/>
    <w:rsid w:val="008972A3"/>
    <w:rsid w:val="008A3047"/>
    <w:rsid w:val="008A3106"/>
    <w:rsid w:val="008C2119"/>
    <w:rsid w:val="008C56FC"/>
    <w:rsid w:val="008D16EF"/>
    <w:rsid w:val="008D3ECC"/>
    <w:rsid w:val="008F2C67"/>
    <w:rsid w:val="009652B4"/>
    <w:rsid w:val="009739C4"/>
    <w:rsid w:val="00973BCD"/>
    <w:rsid w:val="00993AEA"/>
    <w:rsid w:val="009D5ADB"/>
    <w:rsid w:val="009E0C80"/>
    <w:rsid w:val="009E1EFE"/>
    <w:rsid w:val="009E69E2"/>
    <w:rsid w:val="00A21E74"/>
    <w:rsid w:val="00A331F9"/>
    <w:rsid w:val="00A64604"/>
    <w:rsid w:val="00A745DD"/>
    <w:rsid w:val="00A87E5F"/>
    <w:rsid w:val="00A97896"/>
    <w:rsid w:val="00AA0F9B"/>
    <w:rsid w:val="00AA2FAF"/>
    <w:rsid w:val="00AB2B72"/>
    <w:rsid w:val="00AC62E2"/>
    <w:rsid w:val="00AD3250"/>
    <w:rsid w:val="00AE6690"/>
    <w:rsid w:val="00AF2FE6"/>
    <w:rsid w:val="00AF30C2"/>
    <w:rsid w:val="00AF7B1B"/>
    <w:rsid w:val="00B23F37"/>
    <w:rsid w:val="00B268B8"/>
    <w:rsid w:val="00B37A30"/>
    <w:rsid w:val="00B5776E"/>
    <w:rsid w:val="00B60B41"/>
    <w:rsid w:val="00B72D25"/>
    <w:rsid w:val="00BB1274"/>
    <w:rsid w:val="00BD0D38"/>
    <w:rsid w:val="00BD24F7"/>
    <w:rsid w:val="00BD28C6"/>
    <w:rsid w:val="00BE358B"/>
    <w:rsid w:val="00BF7E60"/>
    <w:rsid w:val="00C303E1"/>
    <w:rsid w:val="00C31B00"/>
    <w:rsid w:val="00C37A1E"/>
    <w:rsid w:val="00C44C58"/>
    <w:rsid w:val="00C55C93"/>
    <w:rsid w:val="00C9490A"/>
    <w:rsid w:val="00CA7041"/>
    <w:rsid w:val="00CB5972"/>
    <w:rsid w:val="00CC3121"/>
    <w:rsid w:val="00CE6AAC"/>
    <w:rsid w:val="00D002B0"/>
    <w:rsid w:val="00D16ADA"/>
    <w:rsid w:val="00D22D98"/>
    <w:rsid w:val="00D4034A"/>
    <w:rsid w:val="00D4334B"/>
    <w:rsid w:val="00D601F3"/>
    <w:rsid w:val="00D67137"/>
    <w:rsid w:val="00D810AD"/>
    <w:rsid w:val="00D867F9"/>
    <w:rsid w:val="00DA3B3F"/>
    <w:rsid w:val="00DD20B0"/>
    <w:rsid w:val="00DD20DC"/>
    <w:rsid w:val="00DE2136"/>
    <w:rsid w:val="00DE477E"/>
    <w:rsid w:val="00DF3091"/>
    <w:rsid w:val="00E15269"/>
    <w:rsid w:val="00E534AD"/>
    <w:rsid w:val="00E55396"/>
    <w:rsid w:val="00E6632B"/>
    <w:rsid w:val="00ED16A7"/>
    <w:rsid w:val="00ED680C"/>
    <w:rsid w:val="00F029F0"/>
    <w:rsid w:val="00F04FE3"/>
    <w:rsid w:val="00F24557"/>
    <w:rsid w:val="00F2486F"/>
    <w:rsid w:val="00F347E9"/>
    <w:rsid w:val="00F34C7C"/>
    <w:rsid w:val="00F36AC8"/>
    <w:rsid w:val="00F36C0F"/>
    <w:rsid w:val="00F5192B"/>
    <w:rsid w:val="00F52ABE"/>
    <w:rsid w:val="00F716B4"/>
    <w:rsid w:val="00F8217F"/>
    <w:rsid w:val="00F86A09"/>
    <w:rsid w:val="00F914B3"/>
    <w:rsid w:val="00FA2280"/>
    <w:rsid w:val="00FA6A2C"/>
    <w:rsid w:val="00FB1817"/>
    <w:rsid w:val="00FC47B1"/>
    <w:rsid w:val="00FD1321"/>
    <w:rsid w:val="00FD3360"/>
    <w:rsid w:val="00FD59F2"/>
    <w:rsid w:val="00FE1FD0"/>
    <w:rsid w:val="00FF179E"/>
    <w:rsid w:val="00FF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F1A2E3-D9F0-450C-83F6-D9AFB2C1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4F"/>
    <w:pPr>
      <w:jc w:val="both"/>
    </w:pPr>
    <w:rPr>
      <w:rFonts w:ascii="Arial" w:hAnsi="Arial"/>
      <w:sz w:val="24"/>
      <w:szCs w:val="24"/>
    </w:rPr>
  </w:style>
  <w:style w:type="paragraph" w:styleId="Heading1">
    <w:name w:val="heading 1"/>
    <w:basedOn w:val="Normal"/>
    <w:next w:val="Normal"/>
    <w:link w:val="Heading1Char"/>
    <w:uiPriority w:val="9"/>
    <w:qFormat/>
    <w:rsid w:val="00FB1817"/>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FB1817"/>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ub-heading">
    <w:name w:val="Section Sub-heading"/>
    <w:basedOn w:val="SectionHeadings"/>
    <w:next w:val="Normal"/>
    <w:rsid w:val="0063149F"/>
    <w:rPr>
      <w:sz w:val="24"/>
    </w:rPr>
  </w:style>
  <w:style w:type="table" w:styleId="TableGrid">
    <w:name w:val="Table Grid"/>
    <w:basedOn w:val="TableNormal"/>
    <w:uiPriority w:val="39"/>
    <w:rsid w:val="0080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8011D0"/>
    <w:rPr>
      <w:sz w:val="20"/>
      <w:szCs w:val="20"/>
    </w:rPr>
  </w:style>
  <w:style w:type="character" w:styleId="EndnoteReference">
    <w:name w:val="endnote reference"/>
    <w:semiHidden/>
    <w:rsid w:val="008011D0"/>
    <w:rPr>
      <w:vertAlign w:val="superscript"/>
    </w:rPr>
  </w:style>
  <w:style w:type="paragraph" w:customStyle="1" w:styleId="HiddenTextGreen">
    <w:name w:val="Hidden Text Green"/>
    <w:basedOn w:val="Normal"/>
    <w:next w:val="Normal"/>
    <w:link w:val="HiddenTextGreenChar"/>
    <w:rsid w:val="00884A22"/>
    <w:rPr>
      <w:vanish/>
      <w:color w:val="339966"/>
      <w:u w:val="dotted"/>
    </w:rPr>
  </w:style>
  <w:style w:type="numbering" w:customStyle="1" w:styleId="HiddenBulletsGreen">
    <w:name w:val="Hidden Bullets Green"/>
    <w:basedOn w:val="NoList"/>
    <w:rsid w:val="00884A22"/>
    <w:pPr>
      <w:numPr>
        <w:numId w:val="19"/>
      </w:numPr>
    </w:pPr>
  </w:style>
  <w:style w:type="paragraph" w:customStyle="1" w:styleId="SectionHeadings">
    <w:name w:val="Section Headings"/>
    <w:basedOn w:val="Normal"/>
    <w:next w:val="Normal"/>
    <w:rsid w:val="00223408"/>
    <w:rPr>
      <w:rFonts w:cs="Arial"/>
      <w:b/>
      <w:sz w:val="28"/>
    </w:rPr>
  </w:style>
  <w:style w:type="paragraph" w:customStyle="1" w:styleId="HiddenTextBlue">
    <w:name w:val="Hidden Text Blue"/>
    <w:basedOn w:val="HiddenTextGreen"/>
    <w:next w:val="Normal"/>
    <w:rsid w:val="00AF30C2"/>
    <w:rPr>
      <w:color w:val="3366FF"/>
    </w:rPr>
  </w:style>
  <w:style w:type="numbering" w:customStyle="1" w:styleId="HiddenBulletsBlue">
    <w:name w:val="Hidden Bullets Blue"/>
    <w:basedOn w:val="NoList"/>
    <w:rsid w:val="00AF30C2"/>
    <w:pPr>
      <w:numPr>
        <w:numId w:val="22"/>
      </w:numPr>
    </w:pPr>
  </w:style>
  <w:style w:type="numbering" w:customStyle="1" w:styleId="NumberedList">
    <w:name w:val="Numbered List"/>
    <w:basedOn w:val="NoList"/>
    <w:rsid w:val="005C3061"/>
    <w:pPr>
      <w:numPr>
        <w:numId w:val="14"/>
      </w:numPr>
    </w:pPr>
  </w:style>
  <w:style w:type="paragraph" w:customStyle="1" w:styleId="Fields">
    <w:name w:val="Fields"/>
    <w:basedOn w:val="Normal"/>
    <w:rsid w:val="00D4334B"/>
    <w:pPr>
      <w:ind w:left="720" w:hanging="720"/>
    </w:pPr>
    <w:rPr>
      <w:rFonts w:cs="Arial"/>
      <w:b/>
    </w:rPr>
  </w:style>
  <w:style w:type="paragraph" w:customStyle="1" w:styleId="TableFieldsBig">
    <w:name w:val="Table Fields Big"/>
    <w:basedOn w:val="Normal"/>
    <w:rsid w:val="00D4034A"/>
    <w:pPr>
      <w:jc w:val="right"/>
    </w:pPr>
    <w:rPr>
      <w:b/>
      <w:sz w:val="28"/>
    </w:rPr>
  </w:style>
  <w:style w:type="paragraph" w:customStyle="1" w:styleId="TableFieldsSmall">
    <w:name w:val="Table Fields Small"/>
    <w:basedOn w:val="Normal"/>
    <w:next w:val="Normal"/>
    <w:rsid w:val="004D6EB7"/>
    <w:pPr>
      <w:jc w:val="right"/>
    </w:pPr>
    <w:rPr>
      <w:b/>
    </w:rPr>
  </w:style>
  <w:style w:type="paragraph" w:customStyle="1" w:styleId="ReportTitle">
    <w:name w:val="Report Title"/>
    <w:basedOn w:val="Normal"/>
    <w:rsid w:val="004D6EB7"/>
    <w:rPr>
      <w:rFonts w:cs="Arial"/>
      <w:b/>
      <w:bCs/>
      <w:caps/>
      <w:color w:val="000000"/>
      <w:sz w:val="28"/>
      <w:szCs w:val="28"/>
    </w:rPr>
  </w:style>
  <w:style w:type="numbering" w:customStyle="1" w:styleId="Recommendations">
    <w:name w:val="Recommendations"/>
    <w:basedOn w:val="NoList"/>
    <w:rsid w:val="00801E54"/>
    <w:pPr>
      <w:numPr>
        <w:numId w:val="16"/>
      </w:numPr>
    </w:pPr>
  </w:style>
  <w:style w:type="character" w:styleId="Hyperlink">
    <w:name w:val="Hyperlink"/>
    <w:uiPriority w:val="99"/>
    <w:rsid w:val="005D5020"/>
    <w:rPr>
      <w:color w:val="0000FF"/>
      <w:u w:val="single"/>
    </w:rPr>
  </w:style>
  <w:style w:type="character" w:customStyle="1" w:styleId="HiddenTextGreenChar">
    <w:name w:val="Hidden Text Green Char"/>
    <w:link w:val="HiddenTextGreen"/>
    <w:rsid w:val="00D002B0"/>
    <w:rPr>
      <w:rFonts w:ascii="Arial" w:hAnsi="Arial"/>
      <w:vanish/>
      <w:color w:val="339966"/>
      <w:sz w:val="24"/>
      <w:szCs w:val="24"/>
      <w:u w:val="dotted"/>
      <w:lang w:val="en-GB" w:eastAsia="en-GB" w:bidi="ar-SA"/>
    </w:rPr>
  </w:style>
  <w:style w:type="paragraph" w:styleId="BalloonText">
    <w:name w:val="Balloon Text"/>
    <w:basedOn w:val="Normal"/>
    <w:semiHidden/>
    <w:rsid w:val="00C9490A"/>
    <w:rPr>
      <w:rFonts w:ascii="Tahoma" w:hAnsi="Tahoma" w:cs="Tahoma"/>
      <w:sz w:val="16"/>
      <w:szCs w:val="16"/>
    </w:rPr>
  </w:style>
  <w:style w:type="paragraph" w:styleId="Header">
    <w:name w:val="header"/>
    <w:basedOn w:val="Normal"/>
    <w:link w:val="HeaderChar"/>
    <w:rsid w:val="00DA3B3F"/>
    <w:pPr>
      <w:tabs>
        <w:tab w:val="center" w:pos="4513"/>
        <w:tab w:val="right" w:pos="9026"/>
      </w:tabs>
    </w:pPr>
  </w:style>
  <w:style w:type="character" w:customStyle="1" w:styleId="HeaderChar">
    <w:name w:val="Header Char"/>
    <w:basedOn w:val="DefaultParagraphFont"/>
    <w:link w:val="Header"/>
    <w:rsid w:val="00DA3B3F"/>
    <w:rPr>
      <w:rFonts w:ascii="Arial" w:hAnsi="Arial"/>
      <w:sz w:val="24"/>
      <w:szCs w:val="24"/>
    </w:rPr>
  </w:style>
  <w:style w:type="paragraph" w:styleId="Footer">
    <w:name w:val="footer"/>
    <w:basedOn w:val="Normal"/>
    <w:link w:val="FooterChar"/>
    <w:uiPriority w:val="99"/>
    <w:rsid w:val="00DA3B3F"/>
    <w:pPr>
      <w:tabs>
        <w:tab w:val="center" w:pos="4513"/>
        <w:tab w:val="right" w:pos="9026"/>
      </w:tabs>
    </w:pPr>
  </w:style>
  <w:style w:type="character" w:customStyle="1" w:styleId="FooterChar">
    <w:name w:val="Footer Char"/>
    <w:basedOn w:val="DefaultParagraphFont"/>
    <w:link w:val="Footer"/>
    <w:uiPriority w:val="99"/>
    <w:rsid w:val="00DA3B3F"/>
    <w:rPr>
      <w:rFonts w:ascii="Arial" w:hAnsi="Arial"/>
      <w:sz w:val="24"/>
      <w:szCs w:val="24"/>
    </w:rPr>
  </w:style>
  <w:style w:type="paragraph" w:styleId="ListParagraph">
    <w:name w:val="List Paragraph"/>
    <w:basedOn w:val="Normal"/>
    <w:uiPriority w:val="34"/>
    <w:qFormat/>
    <w:rsid w:val="008A3047"/>
    <w:pPr>
      <w:ind w:left="720"/>
      <w:jc w:val="left"/>
    </w:pPr>
    <w:rPr>
      <w:rFonts w:ascii="Calibri" w:eastAsiaTheme="minorHAnsi" w:hAnsi="Calibri"/>
      <w:sz w:val="22"/>
      <w:szCs w:val="22"/>
      <w:lang w:eastAsia="en-US"/>
    </w:rPr>
  </w:style>
  <w:style w:type="character" w:styleId="FollowedHyperlink">
    <w:name w:val="FollowedHyperlink"/>
    <w:basedOn w:val="DefaultParagraphFont"/>
    <w:semiHidden/>
    <w:unhideWhenUsed/>
    <w:rsid w:val="00D810AD"/>
    <w:rPr>
      <w:color w:val="800080" w:themeColor="followedHyperlink"/>
      <w:u w:val="single"/>
    </w:rPr>
  </w:style>
  <w:style w:type="numbering" w:customStyle="1" w:styleId="Recommendations1">
    <w:name w:val="Recommendations1"/>
    <w:basedOn w:val="NoList"/>
    <w:rsid w:val="008D3ECC"/>
  </w:style>
  <w:style w:type="numbering" w:customStyle="1" w:styleId="Recommendations2">
    <w:name w:val="Recommendations2"/>
    <w:basedOn w:val="NoList"/>
    <w:rsid w:val="008D3ECC"/>
  </w:style>
  <w:style w:type="paragraph" w:styleId="NoSpacing">
    <w:name w:val="No Spacing"/>
    <w:uiPriority w:val="1"/>
    <w:qFormat/>
    <w:rsid w:val="008D3ECC"/>
    <w:rPr>
      <w:rFonts w:asciiTheme="minorHAnsi" w:eastAsiaTheme="minorHAnsi" w:hAnsiTheme="minorHAnsi" w:cstheme="minorBidi"/>
      <w:sz w:val="22"/>
      <w:szCs w:val="22"/>
      <w:lang w:eastAsia="en-US"/>
    </w:rPr>
  </w:style>
  <w:style w:type="numbering" w:customStyle="1" w:styleId="Recommendations3">
    <w:name w:val="Recommendations3"/>
    <w:basedOn w:val="NoList"/>
    <w:rsid w:val="00BB1274"/>
  </w:style>
  <w:style w:type="numbering" w:customStyle="1" w:styleId="Recommendations4">
    <w:name w:val="Recommendations4"/>
    <w:basedOn w:val="NoList"/>
    <w:rsid w:val="009652B4"/>
  </w:style>
  <w:style w:type="character" w:customStyle="1" w:styleId="Heading1Char">
    <w:name w:val="Heading 1 Char"/>
    <w:basedOn w:val="DefaultParagraphFont"/>
    <w:link w:val="Heading1"/>
    <w:uiPriority w:val="9"/>
    <w:rsid w:val="00FB1817"/>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FB1817"/>
    <w:rPr>
      <w:rFonts w:asciiTheme="majorHAnsi" w:eastAsiaTheme="majorEastAsia" w:hAnsiTheme="majorHAnsi" w:cstheme="majorBidi"/>
      <w:color w:val="365F91" w:themeColor="accent1" w:themeShade="BF"/>
      <w:sz w:val="26"/>
      <w:szCs w:val="26"/>
      <w:lang w:eastAsia="en-US"/>
    </w:rPr>
  </w:style>
  <w:style w:type="character" w:customStyle="1" w:styleId="tgc">
    <w:name w:val="_tgc"/>
    <w:basedOn w:val="DefaultParagraphFont"/>
    <w:rsid w:val="00FB1817"/>
  </w:style>
  <w:style w:type="character" w:customStyle="1" w:styleId="filesize2">
    <w:name w:val="filesize2"/>
    <w:basedOn w:val="DefaultParagraphFont"/>
    <w:rsid w:val="0051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70490">
      <w:bodyDiv w:val="1"/>
      <w:marLeft w:val="0"/>
      <w:marRight w:val="0"/>
      <w:marTop w:val="0"/>
      <w:marBottom w:val="0"/>
      <w:divBdr>
        <w:top w:val="none" w:sz="0" w:space="0" w:color="auto"/>
        <w:left w:val="none" w:sz="0" w:space="0" w:color="auto"/>
        <w:bottom w:val="none" w:sz="0" w:space="0" w:color="auto"/>
        <w:right w:val="none" w:sz="0" w:space="0" w:color="auto"/>
      </w:divBdr>
    </w:div>
    <w:div w:id="169622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b4\Local%20Settings\Temporary%20Internet%20Files\Content.IE5\657MUC63\Report%20Template%20-%20with%20guidance%20v4%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_x0020_with xmlns="33c21ab7-8639-4c13-b42b-b9a83603972b">
      <UserInfo>
        <DisplayName/>
        <AccountId xsi:nil="true"/>
        <AccountType/>
      </UserInfo>
    </Shared_x0020_with>
    <LikesCount xmlns="http://schemas.microsoft.com/sharepoint/v3" xsi:nil="true"/>
    <_Status xmlns="http://schemas.microsoft.com/sharepoint/v3/fields">Draft</_Status>
    <IconOverlay xmlns="http://schemas.microsoft.com/sharepoint/v4" xsi:nil="true"/>
    <o095e3082ed64d02819bd8c46025a5a8 xmlns="fb327e23-5148-4a9a-abfa-73bf69bfc68a">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8076c07f-7654-4495-9769-5f9546725f9b</TermId>
        </TermInfo>
      </Terms>
    </o095e3082ed64d02819bd8c46025a5a8>
    <Ratings xmlns="http://schemas.microsoft.com/sharepoint/v3" xsi:nil="true"/>
    <TaxKeywordTaxHTField xmlns="33c21ab7-8639-4c13-b42b-b9a83603972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3473a882-6c5c-4ccf-a023-b12848f272d7</TermId>
        </TermInfo>
      </Terms>
    </TaxKeywordTaxHTField>
    <Intranet_x0020_section xmlns="fb327e23-5148-4a9a-abfa-73bf69bfc68a">Working for NCC</Intranet_x0020_section>
    <LikedBy xmlns="http://schemas.microsoft.com/sharepoint/v3">
      <UserInfo>
        <DisplayName/>
        <AccountId xsi:nil="true"/>
        <AccountType/>
      </UserInfo>
    </LikedBy>
    <Audience xmlns="http://schemas.microsoft.com/sharepoint/v3" xsi:nil="true"/>
    <PublishingExpirationDate xmlns="http://schemas.microsoft.com/sharepoint/v3" xsi:nil="true"/>
    <TaxCatchAll xmlns="33c21ab7-8639-4c13-b42b-b9a83603972b">
      <Value>5</Value>
      <Value>10</Value>
    </TaxCatchAll>
    <PublishingStartDate xmlns="http://schemas.microsoft.com/sharepoint/v3" xsi:nil="true"/>
    <RatedBy xmlns="http://schemas.microsoft.com/sharepoint/v3">
      <UserInfo>
        <DisplayName/>
        <AccountId xsi:nil="true"/>
        <AccountType/>
      </UserInfo>
    </RatedBy>
    <_dlc_DocId xmlns="33c21ab7-8639-4c13-b42b-b9a83603972b">NCCID-531700760-161</_dlc_DocId>
    <_dlc_DocIdUrl xmlns="33c21ab7-8639-4c13-b42b-b9a83603972b">
      <Url>http://onespace.nottscc.gov.uk/sites/intranetdocuments/_layouts/15/DocIdRedir.aspx?ID=NCCID-531700760-161</Url>
      <Description>NCCID-531700760-161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38CBDD72780C439B679308A475D708" ma:contentTypeVersion="14" ma:contentTypeDescription="Create a new document." ma:contentTypeScope="" ma:versionID="65414b9a1970fd7970784f49ed950777">
  <xsd:schema xmlns:xsd="http://www.w3.org/2001/XMLSchema" xmlns:xs="http://www.w3.org/2001/XMLSchema" xmlns:p="http://schemas.microsoft.com/office/2006/metadata/properties" xmlns:ns1="http://schemas.microsoft.com/sharepoint/v3" xmlns:ns2="33c21ab7-8639-4c13-b42b-b9a83603972b" xmlns:ns3="http://schemas.microsoft.com/sharepoint/v3/fields" xmlns:ns4="http://schemas.microsoft.com/sharepoint/v4" xmlns:ns5="fb327e23-5148-4a9a-abfa-73bf69bfc68a" targetNamespace="http://schemas.microsoft.com/office/2006/metadata/properties" ma:root="true" ma:fieldsID="309a66097f5041fb8dcaf734059dab2a" ns1:_="" ns2:_="" ns3:_="" ns4:_="" ns5:_="">
    <xsd:import namespace="http://schemas.microsoft.com/sharepoint/v3"/>
    <xsd:import namespace="33c21ab7-8639-4c13-b42b-b9a83603972b"/>
    <xsd:import namespace="http://schemas.microsoft.com/sharepoint/v3/fields"/>
    <xsd:import namespace="http://schemas.microsoft.com/sharepoint/v4"/>
    <xsd:import namespace="fb327e23-5148-4a9a-abfa-73bf69bfc6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_Status"/>
                <xsd:element ref="ns2:Shared_x0020_with"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TaxCatchAllLabel" minOccurs="0"/>
                <xsd:element ref="ns1:Audience" minOccurs="0"/>
                <xsd:element ref="ns4:IconOverlay" minOccurs="0"/>
                <xsd:element ref="ns5:o095e3082ed64d02819bd8c46025a5a8" minOccurs="0"/>
                <xsd:element ref="ns5:Intranet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ence" ma:index="25"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21ab7-8639-4c13-b42b-b9a8360397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_x0020_with" ma:index="14" nillable="true" ma:displayName="Shared with" ma:list="UserInfo" ma:SearchPeopleOnly="false" ma:SharePointGroup="0" ma:internalName="Shared_x0020_with"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64c9d834-598d-44db-8280-f2a48873429d"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574f70b0-0c5b-4989-a477-ca84dd02d0d0}" ma:internalName="TaxCatchAll" ma:showField="CatchAllData" ma:web="33c21ab7-8639-4c13-b42b-b9a83603972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74f70b0-0c5b-4989-a477-ca84dd02d0d0}" ma:internalName="TaxCatchAllLabel" ma:readOnly="true" ma:showField="CatchAllDataLabel" ma:web="33c21ab7-8639-4c13-b42b-b9a8360397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ma:displayName="Status" ma:default="Draft" ma:format="Dropdown" ma:internalName="_Status">
      <xsd:simpleType>
        <xsd:restriction base="dms:Choice">
          <xsd:enumeration value="Draft"/>
          <xsd:enumeration value="Collaboration"/>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27e23-5148-4a9a-abfa-73bf69bfc68a" elementFormDefault="qualified">
    <xsd:import namespace="http://schemas.microsoft.com/office/2006/documentManagement/types"/>
    <xsd:import namespace="http://schemas.microsoft.com/office/infopath/2007/PartnerControls"/>
    <xsd:element name="o095e3082ed64d02819bd8c46025a5a8" ma:index="28" nillable="true" ma:taxonomy="true" ma:internalName="o095e3082ed64d02819bd8c46025a5a8" ma:taxonomyFieldName="Department" ma:displayName="Department" ma:default="" ma:fieldId="{8095e308-2ed6-4d02-819b-d8c46025a5a8}" ma:sspId="64c9d834-598d-44db-8280-f2a48873429d" ma:termSetId="6242f038-2619-45fe-aa94-e56472ad262a" ma:anchorId="00000000-0000-0000-0000-000000000000" ma:open="false" ma:isKeyword="false">
      <xsd:complexType>
        <xsd:sequence>
          <xsd:element ref="pc:Terms" minOccurs="0" maxOccurs="1"/>
        </xsd:sequence>
      </xsd:complexType>
    </xsd:element>
    <xsd:element name="Intranet_x0020_section" ma:index="29" nillable="true" ma:displayName="Intranet section" ma:default="Working for NCC" ma:description="Section of the Intranet this document relates to" ma:format="Dropdown" ma:internalName="Intranet_x0020_section">
      <xsd:simpleType>
        <xsd:restriction base="dms:Choice">
          <xsd:enumeration value="Working for NCC"/>
          <xsd:enumeration value="Managing your team and budgets"/>
          <xsd:enumeration value="Information for councillors"/>
          <xsd:enumeration value="News and discus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F2E5-DF48-422A-93EB-2788D69C2B96}">
  <ds:schemaRefs>
    <ds:schemaRef ds:uri="http://schemas.microsoft.com/sharepoint/v3/contenttype/forms"/>
  </ds:schemaRefs>
</ds:datastoreItem>
</file>

<file path=customXml/itemProps2.xml><?xml version="1.0" encoding="utf-8"?>
<ds:datastoreItem xmlns:ds="http://schemas.openxmlformats.org/officeDocument/2006/customXml" ds:itemID="{21CEC925-6B38-4286-A4F4-CD18CC8AF9B7}">
  <ds:schemaRefs>
    <ds:schemaRef ds:uri="http://schemas.microsoft.com/office/2006/metadata/properties"/>
    <ds:schemaRef ds:uri="http://schemas.microsoft.com/office/infopath/2007/PartnerControls"/>
    <ds:schemaRef ds:uri="33c21ab7-8639-4c13-b42b-b9a83603972b"/>
    <ds:schemaRef ds:uri="http://schemas.microsoft.com/sharepoint/v3"/>
    <ds:schemaRef ds:uri="http://schemas.microsoft.com/sharepoint/v3/fields"/>
    <ds:schemaRef ds:uri="http://schemas.microsoft.com/sharepoint/v4"/>
    <ds:schemaRef ds:uri="fb327e23-5148-4a9a-abfa-73bf69bfc68a"/>
  </ds:schemaRefs>
</ds:datastoreItem>
</file>

<file path=customXml/itemProps3.xml><?xml version="1.0" encoding="utf-8"?>
<ds:datastoreItem xmlns:ds="http://schemas.openxmlformats.org/officeDocument/2006/customXml" ds:itemID="{057E2286-2FA2-4730-961D-826E55E5E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c21ab7-8639-4c13-b42b-b9a83603972b"/>
    <ds:schemaRef ds:uri="http://schemas.microsoft.com/sharepoint/v3/fields"/>
    <ds:schemaRef ds:uri="http://schemas.microsoft.com/sharepoint/v4"/>
    <ds:schemaRef ds:uri="fb327e23-5148-4a9a-abfa-73bf69bfc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0AA89-9C1A-4CE0-8088-A594377ABDB0}">
  <ds:schemaRefs>
    <ds:schemaRef ds:uri="http://schemas.microsoft.com/sharepoint/events"/>
  </ds:schemaRefs>
</ds:datastoreItem>
</file>

<file path=customXml/itemProps5.xml><?xml version="1.0" encoding="utf-8"?>
<ds:datastoreItem xmlns:ds="http://schemas.openxmlformats.org/officeDocument/2006/customXml" ds:itemID="{5C314E8E-77E3-4657-8ECA-B25B1215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with guidance v4[1].dot</Template>
  <TotalTime>0</TotalTime>
  <Pages>11</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Committe report template (with guidance)</vt:lpstr>
    </vt:vector>
  </TitlesOfParts>
  <Company>Microsoft</Company>
  <LinksUpToDate>false</LinksUpToDate>
  <CharactersWithSpaces>20438</CharactersWithSpaces>
  <SharedDoc>false</SharedDoc>
  <HLinks>
    <vt:vector size="24" baseType="variant">
      <vt:variant>
        <vt:i4>2490381</vt:i4>
      </vt:variant>
      <vt:variant>
        <vt:i4>12</vt:i4>
      </vt:variant>
      <vt:variant>
        <vt:i4>0</vt:i4>
      </vt:variant>
      <vt:variant>
        <vt:i4>5</vt:i4>
      </vt:variant>
      <vt:variant>
        <vt:lpwstr>http://cms.nottinghamshire.gov.uk/home/your_council/councillorsandtheirrole/councillors/whoisyourcllr.htm</vt:lpwstr>
      </vt:variant>
      <vt:variant>
        <vt:lpwstr/>
      </vt:variant>
      <vt:variant>
        <vt:i4>7209062</vt:i4>
      </vt:variant>
      <vt:variant>
        <vt:i4>9</vt:i4>
      </vt:variant>
      <vt:variant>
        <vt:i4>0</vt:i4>
      </vt:variant>
      <vt:variant>
        <vt:i4>5</vt:i4>
      </vt:variant>
      <vt:variant>
        <vt:lpwstr>http://intranet.nottscc.gov.uk/EasySiteWeb/GatewayLink.aspx?alId=120326</vt:lpwstr>
      </vt:variant>
      <vt:variant>
        <vt:lpwstr/>
      </vt:variant>
      <vt:variant>
        <vt:i4>7209062</vt:i4>
      </vt:variant>
      <vt:variant>
        <vt:i4>6</vt:i4>
      </vt:variant>
      <vt:variant>
        <vt:i4>0</vt:i4>
      </vt:variant>
      <vt:variant>
        <vt:i4>5</vt:i4>
      </vt:variant>
      <vt:variant>
        <vt:lpwstr>http://intranet.nottscc.gov.uk/EasySiteWeb/GatewayLink.aspx?alId=120326</vt:lpwstr>
      </vt:variant>
      <vt:variant>
        <vt:lpwstr/>
      </vt:variant>
      <vt:variant>
        <vt:i4>7667824</vt:i4>
      </vt:variant>
      <vt:variant>
        <vt:i4>3</vt:i4>
      </vt:variant>
      <vt:variant>
        <vt:i4>0</vt:i4>
      </vt:variant>
      <vt:variant>
        <vt:i4>5</vt:i4>
      </vt:variant>
      <vt:variant>
        <vt:lpwstr>http://intranet.nottscc.gov.uk/index/departments/chiefexecutives/decisionmakinggovernmentandscrutiny/report-writing/exempt-information/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 report template (with guidance)</dc:title>
  <dc:creator>Nottinghamshire County Council</dc:creator>
  <cp:keywords>Template</cp:keywords>
  <cp:lastModifiedBy>Richard Hindes</cp:lastModifiedBy>
  <cp:revision>2</cp:revision>
  <cp:lastPrinted>2017-11-22T16:26:00Z</cp:lastPrinted>
  <dcterms:created xsi:type="dcterms:W3CDTF">2018-02-01T17:01:00Z</dcterms:created>
  <dcterms:modified xsi:type="dcterms:W3CDTF">2018-02-01T17:01:00Z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0x0101004638CBDD72780C439B679308A475D708</vt:lpwstr>
  </property>
  <property fmtid="{D5CDD505-2E9C-101B-9397-08002B2CF9AE}" pid="3" name="_dlc_DocIdItemGuid">
    <vt:lpwstr>e00bae07-df83-4d4c-8804-a56c685b1375</vt:lpwstr>
  </property>
  <property fmtid="{D5CDD505-2E9C-101B-9397-08002B2CF9AE}" pid="4" name="TaxKeyword">
    <vt:lpwstr>10;#Template|3473a882-6c5c-4ccf-a023-b12848f272d7</vt:lpwstr>
  </property>
  <property fmtid="{D5CDD505-2E9C-101B-9397-08002B2CF9AE}" pid="5" name="Department">
    <vt:lpwstr>5;#Resources|8076c07f-7654-4495-9769-5f9546725f9b</vt:lpwstr>
  </property>
</Properties>
</file>