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D1" w:rsidRDefault="00F16AD1" w:rsidP="00F16AD1">
      <w:pPr>
        <w:shd w:val="clear" w:color="auto" w:fill="FFFFFF"/>
        <w:rPr>
          <w:color w:val="000000"/>
        </w:rPr>
      </w:pPr>
      <w:r>
        <w:rPr>
          <w:rStyle w:val="Strong"/>
          <w:color w:val="000000"/>
        </w:rPr>
        <w:t>Leamington Primary and Nursery Academy</w:t>
      </w:r>
      <w:r w:rsidR="00186413">
        <w:rPr>
          <w:rStyle w:val="Strong"/>
          <w:color w:val="000000"/>
        </w:rPr>
        <w:t xml:space="preserve"> 2016-2017</w:t>
      </w:r>
      <w:bookmarkStart w:id="0" w:name="_GoBack"/>
      <w:bookmarkEnd w:id="0"/>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Admissions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Leamington Primary and Nursery Academy is a member of School Partnership Trust Academies.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The published admission number is 60.</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Catchment</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 xml:space="preserve">Our catchment area is defined by a map available in school. Parents can check their catchment address by visiting </w:t>
      </w:r>
      <w:hyperlink r:id="rId6" w:history="1">
        <w:r>
          <w:rPr>
            <w:rStyle w:val="Hyperlink"/>
          </w:rPr>
          <w:t>www.nottinghamshire.gov.uk</w:t>
        </w:r>
      </w:hyperlink>
      <w:r>
        <w:rPr>
          <w:color w:val="000000"/>
        </w:rPr>
        <w:t>.</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Admission to Reception (Full time education)</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Children are of statutory school age at the start of the school term following their fifth birthday but schools in Nottinghamshire take all children into full time education during the school year (September 1st - August 31st) in which they are five i.e. from the September following their fourth birthday.</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 xml:space="preserve">Parents can request that the date their child is admitted to school is deferred until later in the academic year, or until the term in which the child reaches compulsory school age. For full details, please refer to Nottinghamshire County Council’s Admissions to schools: guide for parents available at </w:t>
      </w:r>
      <w:hyperlink r:id="rId7" w:history="1">
        <w:r>
          <w:rPr>
            <w:rStyle w:val="Hyperlink"/>
          </w:rPr>
          <w:t>www.nottinghamshire.gov.uk</w:t>
        </w:r>
      </w:hyperlink>
      <w:r>
        <w:rPr>
          <w:color w:val="000000"/>
        </w:rPr>
        <w:t>.</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Nottinghamshire County Council as the local authority is responsible for co-ordinating admission arrangements for all maintained schools and Academies in its area and for determining admission arrangements for community and voluntary controlled schools. These requirements are described in the School Standards and Framework Act (SSFA) 1998 and the School Admissions Code (SAC) 2009.</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All children who require a school place need to apply to their home local authority.</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Admission oversubscription criteria</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In the event of over-subscription, the following criteria will be applied, in priority order, to determine which applications will be granted once places have first been allocated to pupils who have a statement of special educational needs or Educational Health and Care Plan (EHCP) which names the school:</w:t>
      </w:r>
    </w:p>
    <w:p w:rsidR="00F16AD1" w:rsidRDefault="00F16AD1" w:rsidP="00F16AD1">
      <w:pPr>
        <w:shd w:val="clear" w:color="auto" w:fill="FFFFFF"/>
        <w:rPr>
          <w:color w:val="000000"/>
        </w:rPr>
      </w:pPr>
    </w:p>
    <w:p w:rsidR="00F16AD1" w:rsidRDefault="00F16AD1" w:rsidP="00F16AD1">
      <w:pPr>
        <w:pStyle w:val="ListParagraph"/>
        <w:numPr>
          <w:ilvl w:val="0"/>
          <w:numId w:val="1"/>
        </w:numPr>
        <w:shd w:val="clear" w:color="auto" w:fill="FFFFFF"/>
        <w:rPr>
          <w:rFonts w:ascii="Calibri" w:hAnsi="Calibri" w:cs="Calibri"/>
          <w:color w:val="000000"/>
        </w:rPr>
      </w:pPr>
      <w:r>
        <w:rPr>
          <w:rFonts w:ascii="Calibri" w:hAnsi="Calibri" w:cs="Calibri"/>
          <w:color w:val="000000"/>
        </w:rPr>
        <w:t>Children looked after by a local authority and previously looked after children</w:t>
      </w:r>
    </w:p>
    <w:p w:rsidR="00F16AD1" w:rsidRDefault="00F16AD1" w:rsidP="00F16AD1">
      <w:pPr>
        <w:pStyle w:val="ListParagraph"/>
        <w:numPr>
          <w:ilvl w:val="0"/>
          <w:numId w:val="1"/>
        </w:numPr>
        <w:shd w:val="clear" w:color="auto" w:fill="FFFFFF"/>
        <w:rPr>
          <w:rFonts w:ascii="Calibri" w:hAnsi="Calibri" w:cs="Calibri"/>
          <w:color w:val="000000"/>
        </w:rPr>
      </w:pPr>
      <w:r>
        <w:rPr>
          <w:rFonts w:ascii="Calibri" w:hAnsi="Calibri" w:cs="Calibri"/>
          <w:color w:val="000000"/>
        </w:rPr>
        <w:t>Children who live in the catchment area and who, at the time of admission, will have a brother or sister attending the school</w:t>
      </w:r>
    </w:p>
    <w:p w:rsidR="00F16AD1" w:rsidRDefault="00F16AD1" w:rsidP="00F16AD1">
      <w:pPr>
        <w:pStyle w:val="ListParagraph"/>
        <w:numPr>
          <w:ilvl w:val="0"/>
          <w:numId w:val="1"/>
        </w:numPr>
        <w:shd w:val="clear" w:color="auto" w:fill="FFFFFF"/>
        <w:rPr>
          <w:rFonts w:ascii="Calibri" w:hAnsi="Calibri" w:cs="Calibri"/>
          <w:color w:val="000000"/>
        </w:rPr>
      </w:pPr>
      <w:r>
        <w:rPr>
          <w:rFonts w:ascii="Calibri" w:hAnsi="Calibri" w:cs="Calibri"/>
          <w:color w:val="000000"/>
        </w:rPr>
        <w:t>Other children who live in the catchment area.</w:t>
      </w:r>
    </w:p>
    <w:p w:rsidR="00F16AD1" w:rsidRDefault="00F16AD1" w:rsidP="00F16AD1">
      <w:pPr>
        <w:pStyle w:val="ListParagraph"/>
        <w:numPr>
          <w:ilvl w:val="0"/>
          <w:numId w:val="1"/>
        </w:numPr>
        <w:shd w:val="clear" w:color="auto" w:fill="FFFFFF"/>
        <w:rPr>
          <w:rFonts w:ascii="Calibri" w:hAnsi="Calibri" w:cs="Calibri"/>
          <w:color w:val="000000"/>
        </w:rPr>
      </w:pPr>
      <w:r>
        <w:rPr>
          <w:rFonts w:ascii="Calibri" w:hAnsi="Calibri" w:cs="Calibri"/>
          <w:color w:val="000000"/>
        </w:rPr>
        <w:t>Children who live outside the catchment area and who, at the time of admission, will have a brother or sister attending the school</w:t>
      </w:r>
    </w:p>
    <w:p w:rsidR="00F16AD1" w:rsidRDefault="00F16AD1" w:rsidP="00F16AD1">
      <w:pPr>
        <w:pStyle w:val="ListParagraph"/>
        <w:numPr>
          <w:ilvl w:val="0"/>
          <w:numId w:val="1"/>
        </w:numPr>
        <w:shd w:val="clear" w:color="auto" w:fill="FFFFFF"/>
        <w:rPr>
          <w:rFonts w:ascii="Calibri" w:hAnsi="Calibri" w:cs="Calibri"/>
          <w:color w:val="000000"/>
        </w:rPr>
      </w:pPr>
      <w:r>
        <w:rPr>
          <w:rFonts w:ascii="Calibri" w:hAnsi="Calibri" w:cs="Calibri"/>
          <w:color w:val="000000"/>
        </w:rPr>
        <w:t>Other children</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In the event of over-subscription within any criterion, preference will be given to children who live nearest to the school as the crow flies. Distances are measured using Nottinghamshire County Council’s computerised distance measuring software from the main administrative point at the school campus to a point at the entrance to the child’s home.</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In the case of twins/multiple births, where one child can be admitted, the other child/children will also be admitted.</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Special Circumstances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application. The governing body will consider each case on its merits and determine the allocation of any such place on the basis of the written evidence. Admission under special circumstances will take precedence over all but the first of the numbered criteria.</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Appeals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If a child is not allocated a place, Parents/Carers have a statutory right to appeal. This should be done by writing to the Clerk to Governors of your preferred school no later than 20 school days) after the decision letter has been received from the home local authority. The decision of the panel will be binding both on you and on the school.</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In-year admissions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 xml:space="preserve">Leamington Primary Academy participates in Nottinghamshire County Council’s in-year coordinated scheme. Information on how to apply is available at </w:t>
      </w:r>
      <w:hyperlink r:id="rId8" w:history="1">
        <w:r>
          <w:rPr>
            <w:rStyle w:val="Hyperlink"/>
          </w:rPr>
          <w:t>www.nottinghamshire.gov.uk</w:t>
        </w:r>
      </w:hyperlink>
      <w:r>
        <w:rPr>
          <w:color w:val="000000"/>
        </w:rPr>
        <w:t>.</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If the respective year group total is below the published admission number for that year group, the child will be offered a place. If your child is not allocated a place, you have a statutory right to appeal (see ‘Appeals’ above). Your appeal should be lodged within 20 school days) after the date of your refusal letter.</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Fair Access Protocol</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The government has stated that all Local Authorities must have a Fair Access agreement that allows hard to place children to be given a place before any over-subscription criteria are applied and before anyone is considered from the reserve list.</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Leamington Primary Academy participates in Nottinghamshire County Council’s Fair Access Protocol.</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The purpose of the Fair Access Protocol is to ensure that vulnerable children are offered a school place as quickly as possible and to evenly spread children with additional needs across all schools in the county. The protocol only applies to mid-term applications; it does not operate when children transfer from primary school to secondary school.</w:t>
      </w:r>
    </w:p>
    <w:p w:rsidR="00F16AD1" w:rsidRDefault="00F16AD1" w:rsidP="00F16AD1">
      <w:pPr>
        <w:shd w:val="clear" w:color="auto" w:fill="FFFFFF"/>
        <w:rPr>
          <w:color w:val="000000"/>
        </w:rPr>
      </w:pPr>
    </w:p>
    <w:p w:rsidR="00F16AD1" w:rsidRDefault="00F16AD1">
      <w:pPr>
        <w:spacing w:after="200" w:line="276" w:lineRule="auto"/>
        <w:rPr>
          <w:b/>
          <w:bCs/>
          <w:color w:val="000000"/>
        </w:rPr>
      </w:pPr>
      <w:r>
        <w:rPr>
          <w:b/>
          <w:bCs/>
          <w:color w:val="000000"/>
        </w:rPr>
        <w:br w:type="page"/>
      </w:r>
    </w:p>
    <w:p w:rsidR="00F16AD1" w:rsidRDefault="00F16AD1" w:rsidP="00F16AD1">
      <w:pPr>
        <w:shd w:val="clear" w:color="auto" w:fill="FFFFFF"/>
        <w:rPr>
          <w:b/>
          <w:bCs/>
          <w:color w:val="000000"/>
        </w:rPr>
      </w:pPr>
      <w:r>
        <w:rPr>
          <w:b/>
          <w:bCs/>
          <w:color w:val="000000"/>
        </w:rPr>
        <w:lastRenderedPageBreak/>
        <w:t>Admission of children outside the normal age group</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w:t>
      </w:r>
    </w:p>
    <w:p w:rsidR="00F16AD1" w:rsidRDefault="00F16AD1" w:rsidP="00F16AD1">
      <w:pPr>
        <w:shd w:val="clear" w:color="auto" w:fill="FFFFFF"/>
        <w:rPr>
          <w:color w:val="000000"/>
        </w:rPr>
      </w:pPr>
      <w:proofErr w:type="gramStart"/>
      <w:r>
        <w:rPr>
          <w:color w:val="000000"/>
        </w:rPr>
        <w:t>decision</w:t>
      </w:r>
      <w:proofErr w:type="gramEnd"/>
      <w:r>
        <w:rPr>
          <w:color w:val="000000"/>
        </w:rPr>
        <w:t xml:space="preserve"> on the year group to which the child should be admitted, the parent will be notified of the reasons for the decision.</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w:t>
      </w:r>
    </w:p>
    <w:p w:rsidR="00F16AD1" w:rsidRDefault="00F16AD1" w:rsidP="00F16AD1">
      <w:pPr>
        <w:shd w:val="clear" w:color="auto" w:fill="FFFFFF"/>
        <w:rPr>
          <w:color w:val="000000"/>
        </w:rPr>
      </w:pPr>
    </w:p>
    <w:p w:rsidR="00F16AD1" w:rsidRDefault="00F16AD1" w:rsidP="00F16AD1">
      <w:pPr>
        <w:shd w:val="clear" w:color="auto" w:fill="FFFFFF"/>
        <w:rPr>
          <w:b/>
          <w:bCs/>
          <w:color w:val="000000"/>
        </w:rPr>
      </w:pPr>
      <w:r>
        <w:rPr>
          <w:b/>
          <w:bCs/>
          <w:color w:val="000000"/>
        </w:rPr>
        <w:t>Definitions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1. Siblings</w:t>
      </w:r>
    </w:p>
    <w:p w:rsidR="00F16AD1" w:rsidRDefault="00F16AD1" w:rsidP="00F16AD1">
      <w:pPr>
        <w:shd w:val="clear" w:color="auto" w:fill="FFFFFF"/>
        <w:rPr>
          <w:color w:val="000000"/>
        </w:rPr>
      </w:pPr>
      <w:r>
        <w:rPr>
          <w:color w:val="000000"/>
        </w:rPr>
        <w:t>Sibling is defined as children who live as brother or sister in the same house, including natural brothers or sisters, adopted siblings, stepbrothers or sisters and foster brothers and sisters.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2. Definition of ‘Looked After’ children and previously looked after children</w:t>
      </w:r>
    </w:p>
    <w:p w:rsidR="00F16AD1" w:rsidRDefault="00F16AD1" w:rsidP="00F16AD1">
      <w:pPr>
        <w:autoSpaceDE w:val="0"/>
        <w:autoSpaceDN w:val="0"/>
      </w:pPr>
      <w: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16AD1" w:rsidRDefault="00F16AD1" w:rsidP="00F16AD1">
      <w:pPr>
        <w:autoSpaceDE w:val="0"/>
        <w:autoSpaceDN w:val="0"/>
      </w:pPr>
    </w:p>
    <w:p w:rsidR="00F16AD1" w:rsidRDefault="00F16AD1" w:rsidP="00F16AD1">
      <w:pPr>
        <w:autoSpaceDE w:val="0"/>
        <w:autoSpaceDN w:val="0"/>
      </w:pPr>
      <w:proofErr w:type="gramStart"/>
      <w:r>
        <w:t>Previously looked after children are children who were looked after, but ceased to be so because they were adopted (or became subject to a child arrangements order or special guardianship order).</w:t>
      </w:r>
      <w:proofErr w:type="gramEnd"/>
      <w:r>
        <w:t xml:space="preserve"> This includes children who were adopted under the Adoption Act 1976 and children who were adopted under section 46 of the Adoption and Children Act 2002.</w:t>
      </w:r>
    </w:p>
    <w:p w:rsidR="00F16AD1" w:rsidRDefault="00F16AD1" w:rsidP="00F16AD1">
      <w:pPr>
        <w:autoSpaceDE w:val="0"/>
        <w:autoSpaceDN w:val="0"/>
      </w:pPr>
    </w:p>
    <w:p w:rsidR="00F16AD1" w:rsidRDefault="00F16AD1" w:rsidP="00F16AD1">
      <w:pPr>
        <w:autoSpaceDE w:val="0"/>
        <w:autoSpaceDN w:val="0"/>
      </w:pPr>
      <w: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F16AD1" w:rsidRDefault="00F16AD1" w:rsidP="00F16AD1">
      <w:pPr>
        <w:autoSpaceDE w:val="0"/>
        <w:autoSpaceDN w:val="0"/>
      </w:pPr>
    </w:p>
    <w:p w:rsidR="00F16AD1" w:rsidRDefault="00F16AD1" w:rsidP="00F16AD1">
      <w:pPr>
        <w:shd w:val="clear" w:color="auto" w:fill="FFFFFF"/>
        <w:rPr>
          <w:color w:val="000000"/>
          <w:lang w:eastAsia="en-GB"/>
        </w:rPr>
      </w:pPr>
      <w:r>
        <w:rPr>
          <w:color w:val="000000"/>
        </w:rPr>
        <w:t>In the case of twins/multiple births, where one child can be admitted, the other child/children will also be admitted.</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3. Home address</w:t>
      </w:r>
    </w:p>
    <w:p w:rsidR="00F16AD1" w:rsidRDefault="00F16AD1" w:rsidP="00F16AD1">
      <w:pPr>
        <w:shd w:val="clear" w:color="auto" w:fill="FFFFFF"/>
        <w:rPr>
          <w:color w:val="000000"/>
        </w:rPr>
      </w:pPr>
      <w:r>
        <w:rPr>
          <w:color w:val="000000"/>
        </w:rPr>
        <w:t>The child’s place of residence is taken to be the parental home, other than in the case of children fostered by a local authority, where either the parental address or that of the foster parent may be used. If a child’s parents live at separate addresses, the address where the child permanently spends at least three ‘school’ nights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by the governors. The evidence should prove that a child lived at the address at the time of the application. Informal arrangements between parents will not be taken into consideration.</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4. Parents</w:t>
      </w:r>
    </w:p>
    <w:p w:rsidR="00F16AD1" w:rsidRDefault="00F16AD1" w:rsidP="00F16AD1">
      <w:pPr>
        <w:shd w:val="clear" w:color="auto" w:fill="FFFFFF"/>
        <w:rPr>
          <w:color w:val="000000"/>
        </w:rPr>
      </w:pPr>
      <w:r>
        <w:rPr>
          <w:color w:val="000000"/>
        </w:rPr>
        <w:t xml:space="preserve">· </w:t>
      </w:r>
      <w:proofErr w:type="gramStart"/>
      <w:r>
        <w:rPr>
          <w:color w:val="000000"/>
        </w:rPr>
        <w:t>the</w:t>
      </w:r>
      <w:proofErr w:type="gramEnd"/>
      <w:r>
        <w:rPr>
          <w:color w:val="000000"/>
        </w:rPr>
        <w:t xml:space="preserve"> mother of the child</w:t>
      </w:r>
    </w:p>
    <w:p w:rsidR="00F16AD1" w:rsidRDefault="00F16AD1" w:rsidP="00F16AD1">
      <w:pPr>
        <w:shd w:val="clear" w:color="auto" w:fill="FFFFFF"/>
        <w:rPr>
          <w:color w:val="000000"/>
        </w:rPr>
      </w:pPr>
      <w:r>
        <w:rPr>
          <w:color w:val="000000"/>
        </w:rPr>
        <w:t xml:space="preserve">· </w:t>
      </w:r>
      <w:proofErr w:type="gramStart"/>
      <w:r>
        <w:rPr>
          <w:color w:val="000000"/>
        </w:rPr>
        <w:t>the</w:t>
      </w:r>
      <w:proofErr w:type="gramEnd"/>
      <w:r>
        <w:rPr>
          <w:color w:val="000000"/>
        </w:rPr>
        <w:t xml:space="preserve"> father of the child where he was married to the mother either when the child was born or at a later date</w:t>
      </w:r>
    </w:p>
    <w:p w:rsidR="00F16AD1" w:rsidRDefault="00F16AD1" w:rsidP="00F16AD1">
      <w:pPr>
        <w:shd w:val="clear" w:color="auto" w:fill="FFFFFF"/>
        <w:rPr>
          <w:color w:val="000000"/>
        </w:rPr>
      </w:pPr>
      <w:r>
        <w:rPr>
          <w:color w:val="000000"/>
        </w:rPr>
        <w:t xml:space="preserve">· </w:t>
      </w:r>
      <w:proofErr w:type="gramStart"/>
      <w:r>
        <w:rPr>
          <w:color w:val="000000"/>
        </w:rPr>
        <w:t>the</w:t>
      </w:r>
      <w:proofErr w:type="gramEnd"/>
      <w:r>
        <w:rPr>
          <w:color w:val="000000"/>
        </w:rPr>
        <w:t xml:space="preserve"> father of the child if (since 1 December 2003) he was registered as the father on the birth certificate</w:t>
      </w:r>
    </w:p>
    <w:p w:rsidR="00F16AD1" w:rsidRDefault="00F16AD1" w:rsidP="00F16AD1">
      <w:pPr>
        <w:shd w:val="clear" w:color="auto" w:fill="FFFFFF"/>
        <w:rPr>
          <w:color w:val="000000"/>
        </w:rPr>
      </w:pPr>
      <w:r>
        <w:rPr>
          <w:color w:val="000000"/>
        </w:rPr>
        <w:t xml:space="preserve">· </w:t>
      </w:r>
      <w:proofErr w:type="gramStart"/>
      <w:r>
        <w:rPr>
          <w:color w:val="000000"/>
        </w:rPr>
        <w:t>an</w:t>
      </w:r>
      <w:proofErr w:type="gramEnd"/>
      <w:r>
        <w:rPr>
          <w:color w:val="000000"/>
        </w:rPr>
        <w:t xml:space="preserve"> adoptive parent</w:t>
      </w:r>
    </w:p>
    <w:p w:rsidR="00F16AD1" w:rsidRDefault="00F16AD1" w:rsidP="00F16AD1">
      <w:pPr>
        <w:shd w:val="clear" w:color="auto" w:fill="FFFFFF"/>
        <w:rPr>
          <w:color w:val="000000"/>
        </w:rPr>
      </w:pPr>
      <w:r>
        <w:rPr>
          <w:color w:val="000000"/>
        </w:rPr>
        <w:t xml:space="preserve">· </w:t>
      </w:r>
      <w:proofErr w:type="gramStart"/>
      <w:r>
        <w:rPr>
          <w:color w:val="000000"/>
        </w:rPr>
        <w:t>any</w:t>
      </w:r>
      <w:proofErr w:type="gramEnd"/>
      <w:r>
        <w:rPr>
          <w:color w:val="000000"/>
        </w:rPr>
        <w:t xml:space="preserve"> other person who has acquired ‘parental responsibility’ through the courts; evidence of this may be required by the governors.</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In all cases, those with parental responsibility must be in agreement with preferences made.</w:t>
      </w:r>
    </w:p>
    <w:p w:rsidR="00F16AD1" w:rsidRDefault="00F16AD1" w:rsidP="00F16AD1">
      <w:pPr>
        <w:shd w:val="clear" w:color="auto" w:fill="FFFFFF"/>
        <w:rPr>
          <w:color w:val="000000"/>
        </w:rPr>
      </w:pPr>
    </w:p>
    <w:p w:rsidR="00F16AD1" w:rsidRDefault="00F16AD1" w:rsidP="00F16AD1">
      <w:pPr>
        <w:shd w:val="clear" w:color="auto" w:fill="FFFFFF"/>
        <w:rPr>
          <w:color w:val="000000"/>
        </w:rPr>
      </w:pPr>
      <w:r>
        <w:rPr>
          <w:color w:val="000000"/>
        </w:rPr>
        <w:t>5. Tie-break</w:t>
      </w:r>
    </w:p>
    <w:p w:rsidR="00F16AD1" w:rsidRDefault="00F16AD1" w:rsidP="00F16AD1">
      <w:pPr>
        <w:shd w:val="clear" w:color="auto" w:fill="FFFFFF"/>
        <w:rPr>
          <w:color w:val="000000"/>
        </w:rPr>
      </w:pPr>
      <w:r>
        <w:rPr>
          <w:color w:val="000000"/>
        </w:rPr>
        <w:t>If the distance criterion is not sufficient to distinguish between two applicants for the last remaining place then a lottery will be conducted by an independent person.</w:t>
      </w:r>
    </w:p>
    <w:p w:rsidR="00F16AD1" w:rsidRDefault="00F16AD1" w:rsidP="00F16AD1"/>
    <w:p w:rsidR="00F16AD1" w:rsidRDefault="00F16AD1" w:rsidP="00F16AD1">
      <w:pPr>
        <w:rPr>
          <w:color w:val="1F497D"/>
        </w:rPr>
      </w:pPr>
    </w:p>
    <w:p w:rsidR="00B579AB" w:rsidRDefault="00B579AB"/>
    <w:sectPr w:rsidR="00B5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852B6"/>
    <w:multiLevelType w:val="hybridMultilevel"/>
    <w:tmpl w:val="A67EB5F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D1"/>
    <w:rsid w:val="00186413"/>
    <w:rsid w:val="00B579AB"/>
    <w:rsid w:val="00F1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D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AD1"/>
    <w:rPr>
      <w:color w:val="0000FF"/>
      <w:u w:val="single"/>
    </w:rPr>
  </w:style>
  <w:style w:type="paragraph" w:styleId="ListParagraph">
    <w:name w:val="List Paragraph"/>
    <w:basedOn w:val="Normal"/>
    <w:uiPriority w:val="34"/>
    <w:qFormat/>
    <w:rsid w:val="00F16AD1"/>
    <w:pPr>
      <w:ind w:left="720"/>
      <w:contextualSpacing/>
    </w:pPr>
    <w:rPr>
      <w:rFonts w:ascii="Times New Roman" w:hAnsi="Times New Roman" w:cs="Times New Roman"/>
      <w:sz w:val="24"/>
      <w:szCs w:val="24"/>
      <w:lang w:eastAsia="en-GB"/>
    </w:rPr>
  </w:style>
  <w:style w:type="character" w:styleId="Strong">
    <w:name w:val="Strong"/>
    <w:basedOn w:val="DefaultParagraphFont"/>
    <w:uiPriority w:val="22"/>
    <w:qFormat/>
    <w:rsid w:val="00F16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D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AD1"/>
    <w:rPr>
      <w:color w:val="0000FF"/>
      <w:u w:val="single"/>
    </w:rPr>
  </w:style>
  <w:style w:type="paragraph" w:styleId="ListParagraph">
    <w:name w:val="List Paragraph"/>
    <w:basedOn w:val="Normal"/>
    <w:uiPriority w:val="34"/>
    <w:qFormat/>
    <w:rsid w:val="00F16AD1"/>
    <w:pPr>
      <w:ind w:left="720"/>
      <w:contextualSpacing/>
    </w:pPr>
    <w:rPr>
      <w:rFonts w:ascii="Times New Roman" w:hAnsi="Times New Roman" w:cs="Times New Roman"/>
      <w:sz w:val="24"/>
      <w:szCs w:val="24"/>
      <w:lang w:eastAsia="en-GB"/>
    </w:rPr>
  </w:style>
  <w:style w:type="character" w:styleId="Strong">
    <w:name w:val="Strong"/>
    <w:basedOn w:val="DefaultParagraphFont"/>
    <w:uiPriority w:val="22"/>
    <w:qFormat/>
    <w:rsid w:val="00F16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 TargetMode="External"/><Relationship Id="rId3" Type="http://schemas.microsoft.com/office/2007/relationships/stylesWithEffects" Target="stylesWithEffects.xml"/><Relationship Id="rId7" Type="http://schemas.openxmlformats.org/officeDocument/2006/relationships/hyperlink" Target="http://www.nottingham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tinghamshir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Wilcoxson</dc:creator>
  <cp:lastModifiedBy>Claire Wilcoxson</cp:lastModifiedBy>
  <cp:revision>2</cp:revision>
  <cp:lastPrinted>2015-07-14T07:37:00Z</cp:lastPrinted>
  <dcterms:created xsi:type="dcterms:W3CDTF">2015-07-14T07:36:00Z</dcterms:created>
  <dcterms:modified xsi:type="dcterms:W3CDTF">2015-07-16T08:12:00Z</dcterms:modified>
</cp:coreProperties>
</file>